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429D" w14:textId="77777777" w:rsidR="00970430" w:rsidRDefault="00970430" w:rsidP="005D74C5">
      <w:pPr>
        <w:pStyle w:val="Heading6"/>
        <w:rPr>
          <w:noProof/>
          <w:lang w:eastAsia="en-GB"/>
        </w:rPr>
      </w:pPr>
    </w:p>
    <w:p w14:paraId="485A429E" w14:textId="77777777" w:rsidR="00CE4454" w:rsidRDefault="00CE4454" w:rsidP="00CE4454">
      <w:pPr>
        <w:rPr>
          <w:lang w:eastAsia="en-GB"/>
        </w:rPr>
      </w:pPr>
    </w:p>
    <w:p w14:paraId="485A429F" w14:textId="77777777" w:rsidR="00D34473" w:rsidRPr="00512BAB" w:rsidRDefault="003E1190" w:rsidP="00D34473">
      <w:pPr>
        <w:jc w:val="center"/>
      </w:pPr>
      <w:r w:rsidRPr="00512BAB">
        <w:rPr>
          <w:noProof/>
          <w:lang w:eastAsia="en-GB"/>
        </w:rPr>
        <w:drawing>
          <wp:inline distT="0" distB="0" distL="0" distR="0" wp14:anchorId="485A49F9" wp14:editId="485A49FA">
            <wp:extent cx="1477645" cy="1492250"/>
            <wp:effectExtent l="0" t="0" r="825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7645" cy="1492250"/>
                    </a:xfrm>
                    <a:prstGeom prst="rect">
                      <a:avLst/>
                    </a:prstGeom>
                    <a:noFill/>
                    <a:ln>
                      <a:noFill/>
                    </a:ln>
                  </pic:spPr>
                </pic:pic>
              </a:graphicData>
            </a:graphic>
          </wp:inline>
        </w:drawing>
      </w:r>
    </w:p>
    <w:p w14:paraId="485A42A0" w14:textId="77777777" w:rsidR="00D34473" w:rsidRPr="00512BAB" w:rsidRDefault="00D34473" w:rsidP="004471B4">
      <w:pPr>
        <w:jc w:val="center"/>
      </w:pPr>
    </w:p>
    <w:p w14:paraId="485A42A1" w14:textId="633CF797" w:rsidR="00D34473" w:rsidRPr="00B967AB" w:rsidRDefault="00E9418C" w:rsidP="004471B4">
      <w:pPr>
        <w:pStyle w:val="Default"/>
        <w:jc w:val="center"/>
        <w:rPr>
          <w:color w:val="221E1F"/>
          <w:sz w:val="72"/>
          <w:szCs w:val="72"/>
        </w:rPr>
      </w:pPr>
      <w:r w:rsidRPr="00B967AB">
        <w:rPr>
          <w:color w:val="221E1F"/>
          <w:sz w:val="72"/>
          <w:szCs w:val="72"/>
        </w:rPr>
        <w:t>Statement</w:t>
      </w:r>
      <w:r w:rsidR="006870F1" w:rsidRPr="00B967AB">
        <w:rPr>
          <w:color w:val="221E1F"/>
          <w:sz w:val="72"/>
          <w:szCs w:val="72"/>
        </w:rPr>
        <w:t xml:space="preserve"> </w:t>
      </w:r>
      <w:r w:rsidRPr="00B967AB">
        <w:rPr>
          <w:color w:val="221E1F"/>
          <w:sz w:val="72"/>
          <w:szCs w:val="72"/>
        </w:rPr>
        <w:t>of Accounts 20</w:t>
      </w:r>
      <w:r w:rsidR="00A66674" w:rsidRPr="00B967AB">
        <w:rPr>
          <w:color w:val="221E1F"/>
          <w:sz w:val="72"/>
          <w:szCs w:val="72"/>
        </w:rPr>
        <w:t>2</w:t>
      </w:r>
      <w:r w:rsidR="004D5CA8" w:rsidRPr="00B967AB">
        <w:rPr>
          <w:color w:val="221E1F"/>
          <w:sz w:val="72"/>
          <w:szCs w:val="72"/>
        </w:rPr>
        <w:t>2</w:t>
      </w:r>
      <w:r w:rsidR="00376BE1" w:rsidRPr="00B967AB">
        <w:rPr>
          <w:color w:val="221E1F"/>
          <w:sz w:val="72"/>
          <w:szCs w:val="72"/>
        </w:rPr>
        <w:t>/2</w:t>
      </w:r>
      <w:r w:rsidR="004D5CA8" w:rsidRPr="00B967AB">
        <w:rPr>
          <w:color w:val="221E1F"/>
          <w:sz w:val="72"/>
          <w:szCs w:val="72"/>
        </w:rPr>
        <w:t>3</w:t>
      </w:r>
    </w:p>
    <w:p w14:paraId="565C96DF" w14:textId="6EDB70A9" w:rsidR="00512BAB" w:rsidRPr="00B967AB" w:rsidRDefault="00512BAB" w:rsidP="004471B4">
      <w:pPr>
        <w:pStyle w:val="Default"/>
        <w:jc w:val="center"/>
        <w:rPr>
          <w:color w:val="221E1F"/>
          <w:sz w:val="16"/>
          <w:szCs w:val="16"/>
        </w:rPr>
      </w:pPr>
      <w:r w:rsidRPr="00B967AB">
        <w:rPr>
          <w:color w:val="221E1F"/>
          <w:sz w:val="16"/>
          <w:szCs w:val="16"/>
        </w:rPr>
        <w:t>Unaudited v</w:t>
      </w:r>
      <w:r w:rsidR="005F47F9" w:rsidRPr="00B967AB">
        <w:rPr>
          <w:color w:val="221E1F"/>
          <w:sz w:val="16"/>
          <w:szCs w:val="16"/>
        </w:rPr>
        <w:t>31</w:t>
      </w:r>
      <w:r w:rsidRPr="00B967AB">
        <w:rPr>
          <w:color w:val="221E1F"/>
          <w:sz w:val="16"/>
          <w:szCs w:val="16"/>
        </w:rPr>
        <w:t>/5/23</w:t>
      </w:r>
    </w:p>
    <w:p w14:paraId="070354F6" w14:textId="3E166B20" w:rsidR="00E049F7" w:rsidRPr="00B967AB" w:rsidRDefault="00E049F7" w:rsidP="004471B4">
      <w:pPr>
        <w:pStyle w:val="Default"/>
        <w:jc w:val="center"/>
        <w:rPr>
          <w:color w:val="221E1F"/>
          <w:sz w:val="20"/>
          <w:szCs w:val="20"/>
        </w:rPr>
      </w:pPr>
    </w:p>
    <w:p w14:paraId="485A42A2" w14:textId="77777777" w:rsidR="00D34473" w:rsidRPr="00B967AB" w:rsidRDefault="00D34473" w:rsidP="004471B4">
      <w:pPr>
        <w:pStyle w:val="Default"/>
        <w:jc w:val="center"/>
        <w:rPr>
          <w:color w:val="221E1F"/>
          <w:sz w:val="72"/>
          <w:szCs w:val="72"/>
        </w:rPr>
      </w:pPr>
    </w:p>
    <w:p w14:paraId="485A42A3" w14:textId="77777777" w:rsidR="00D34473" w:rsidRPr="00B967AB" w:rsidRDefault="003E1190" w:rsidP="004471B4">
      <w:pPr>
        <w:pStyle w:val="Default"/>
        <w:jc w:val="center"/>
      </w:pPr>
      <w:r w:rsidRPr="00B967AB">
        <w:rPr>
          <w:noProof/>
          <w:color w:val="221E1F"/>
          <w:sz w:val="80"/>
          <w:szCs w:val="80"/>
        </w:rPr>
        <w:drawing>
          <wp:inline distT="0" distB="0" distL="0" distR="0" wp14:anchorId="485A49FB" wp14:editId="5D8FB244">
            <wp:extent cx="5354955" cy="6241774"/>
            <wp:effectExtent l="0" t="0" r="0" b="698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9282" cy="6246817"/>
                    </a:xfrm>
                    <a:prstGeom prst="rect">
                      <a:avLst/>
                    </a:prstGeom>
                    <a:noFill/>
                    <a:ln>
                      <a:noFill/>
                    </a:ln>
                  </pic:spPr>
                </pic:pic>
              </a:graphicData>
            </a:graphic>
          </wp:inline>
        </w:drawing>
      </w:r>
    </w:p>
    <w:p w14:paraId="485A42A4" w14:textId="77777777" w:rsidR="00D34473" w:rsidRPr="004D5CA8" w:rsidRDefault="00D34473">
      <w:pPr>
        <w:rPr>
          <w:highlight w:val="yellow"/>
        </w:rPr>
      </w:pPr>
    </w:p>
    <w:p w14:paraId="485A42A5" w14:textId="77777777" w:rsidR="00D34473" w:rsidRPr="004D5CA8" w:rsidRDefault="00D34473" w:rsidP="00D34473">
      <w:pPr>
        <w:pStyle w:val="Default"/>
        <w:framePr w:w="11925" w:wrap="auto" w:vAnchor="page" w:hAnchor="page" w:x="1" w:y="1891"/>
        <w:jc w:val="center"/>
        <w:rPr>
          <w:color w:val="221E1F"/>
          <w:sz w:val="80"/>
          <w:szCs w:val="80"/>
          <w:highlight w:val="yellow"/>
        </w:rPr>
      </w:pPr>
    </w:p>
    <w:p w14:paraId="485A42A6" w14:textId="77777777" w:rsidR="00166AA9" w:rsidRPr="004D5CA8" w:rsidRDefault="00166AA9" w:rsidP="00D34473">
      <w:pPr>
        <w:pStyle w:val="Heading4"/>
        <w:spacing w:line="480" w:lineRule="auto"/>
        <w:jc w:val="center"/>
        <w:rPr>
          <w:sz w:val="28"/>
          <w:highlight w:val="yellow"/>
          <w:u w:val="single"/>
        </w:rPr>
      </w:pPr>
    </w:p>
    <w:p w14:paraId="485A42A7" w14:textId="77777777" w:rsidR="00D34473" w:rsidRPr="004D5CA8" w:rsidRDefault="00D34473" w:rsidP="00D34473">
      <w:pPr>
        <w:rPr>
          <w:highlight w:val="yellow"/>
        </w:rPr>
      </w:pPr>
    </w:p>
    <w:p w14:paraId="485A42A8" w14:textId="77777777" w:rsidR="008A14A3" w:rsidRPr="000C5A45" w:rsidRDefault="005942E8" w:rsidP="001B6F5E">
      <w:pPr>
        <w:pStyle w:val="Heading4"/>
        <w:spacing w:line="480" w:lineRule="auto"/>
        <w:jc w:val="center"/>
        <w:rPr>
          <w:sz w:val="28"/>
        </w:rPr>
      </w:pPr>
      <w:r w:rsidRPr="000C5A45">
        <w:rPr>
          <w:sz w:val="28"/>
        </w:rPr>
        <w:t>T</w:t>
      </w:r>
      <w:r w:rsidR="008A14A3" w:rsidRPr="000C5A45">
        <w:rPr>
          <w:sz w:val="28"/>
        </w:rPr>
        <w:t>ABLE OF CONTENTS</w:t>
      </w:r>
    </w:p>
    <w:p w14:paraId="5573C487" w14:textId="77777777" w:rsidR="004D5CA8" w:rsidRPr="004D5CA8" w:rsidRDefault="004D5CA8" w:rsidP="004D5CA8">
      <w:pPr>
        <w:rPr>
          <w:highlight w:val="yellow"/>
        </w:rPr>
      </w:pPr>
    </w:p>
    <w:p w14:paraId="485A42AA" w14:textId="77777777" w:rsidR="008A14A3" w:rsidRPr="0082644A" w:rsidRDefault="0080555F" w:rsidP="002A09D6">
      <w:pPr>
        <w:pStyle w:val="Heading4"/>
        <w:spacing w:line="480" w:lineRule="auto"/>
        <w:ind w:left="1080"/>
      </w:pPr>
      <w:r w:rsidRPr="0082644A">
        <w:t xml:space="preserve">Narrative </w:t>
      </w:r>
      <w:r w:rsidR="007A1A5F" w:rsidRPr="0082644A">
        <w:t>Report</w:t>
      </w:r>
      <w:r w:rsidRPr="0082644A">
        <w:tab/>
      </w:r>
      <w:r w:rsidRPr="0082644A">
        <w:tab/>
      </w:r>
      <w:r w:rsidR="00CF687B" w:rsidRPr="0082644A">
        <w:tab/>
      </w:r>
      <w:r w:rsidR="00CF687B" w:rsidRPr="0082644A">
        <w:tab/>
      </w:r>
      <w:r w:rsidR="00CF687B" w:rsidRPr="0082644A">
        <w:tab/>
      </w:r>
      <w:r w:rsidR="00CF687B" w:rsidRPr="0082644A">
        <w:tab/>
      </w:r>
      <w:r w:rsidR="00CF687B" w:rsidRPr="0082644A">
        <w:tab/>
      </w:r>
      <w:r w:rsidR="00D95903" w:rsidRPr="0082644A">
        <w:t xml:space="preserve"> </w:t>
      </w:r>
      <w:r w:rsidR="002A09D6" w:rsidRPr="0082644A">
        <w:t xml:space="preserve"> </w:t>
      </w:r>
      <w:r w:rsidR="00C46B39" w:rsidRPr="0082644A">
        <w:t>3</w:t>
      </w:r>
    </w:p>
    <w:p w14:paraId="485A42AB" w14:textId="4A4C5CE3" w:rsidR="008A14A3" w:rsidRPr="0082644A" w:rsidRDefault="00FF267F" w:rsidP="00222819">
      <w:pPr>
        <w:pStyle w:val="Heading4"/>
        <w:spacing w:line="480" w:lineRule="auto"/>
        <w:ind w:left="1080"/>
      </w:pPr>
      <w:r w:rsidRPr="0082644A">
        <w:t>S</w:t>
      </w:r>
      <w:r w:rsidR="007303EB" w:rsidRPr="0082644A">
        <w:t xml:space="preserve">tatement of </w:t>
      </w:r>
      <w:r w:rsidRPr="0082644A">
        <w:t>Responsibilities</w:t>
      </w:r>
      <w:r w:rsidRPr="0082644A">
        <w:tab/>
      </w:r>
      <w:r w:rsidRPr="0082644A">
        <w:tab/>
      </w:r>
      <w:r w:rsidRPr="0082644A">
        <w:tab/>
      </w:r>
      <w:r w:rsidRPr="0082644A">
        <w:tab/>
      </w:r>
      <w:r w:rsidR="007303EB" w:rsidRPr="0082644A">
        <w:tab/>
        <w:t xml:space="preserve">          </w:t>
      </w:r>
      <w:r w:rsidR="00C00404" w:rsidRPr="0082644A">
        <w:t xml:space="preserve"> </w:t>
      </w:r>
      <w:r w:rsidR="003662C5" w:rsidRPr="0082644A">
        <w:t>15</w:t>
      </w:r>
    </w:p>
    <w:p w14:paraId="2183B060" w14:textId="62BE0F7F" w:rsidR="003662C5" w:rsidRPr="0082644A" w:rsidRDefault="003662C5" w:rsidP="003662C5">
      <w:r w:rsidRPr="0082644A">
        <w:tab/>
        <w:t xml:space="preserve">      </w:t>
      </w:r>
      <w:r w:rsidRPr="0082644A">
        <w:rPr>
          <w:b/>
          <w:bCs/>
        </w:rPr>
        <w:t>Chief Finance Officer certificate</w:t>
      </w:r>
      <w:r w:rsidRPr="0082644A">
        <w:rPr>
          <w:b/>
          <w:bCs/>
        </w:rPr>
        <w:tab/>
      </w:r>
      <w:r w:rsidRPr="0082644A">
        <w:tab/>
      </w:r>
      <w:r w:rsidRPr="0082644A">
        <w:tab/>
      </w:r>
      <w:r w:rsidRPr="0082644A">
        <w:tab/>
      </w:r>
      <w:r w:rsidRPr="0082644A">
        <w:tab/>
      </w:r>
      <w:r w:rsidRPr="004D7221">
        <w:rPr>
          <w:b/>
          <w:bCs/>
        </w:rPr>
        <w:t>16</w:t>
      </w:r>
    </w:p>
    <w:p w14:paraId="291EDE47" w14:textId="77777777" w:rsidR="003662C5" w:rsidRPr="0082644A" w:rsidRDefault="003662C5" w:rsidP="003662C5"/>
    <w:p w14:paraId="485A42AC" w14:textId="4821B8F5" w:rsidR="001E258E" w:rsidRPr="0082644A" w:rsidRDefault="00CF687B" w:rsidP="00222819">
      <w:pPr>
        <w:pStyle w:val="Heading4"/>
        <w:ind w:left="1080"/>
      </w:pPr>
      <w:r w:rsidRPr="0082644A">
        <w:t>Independent Auditor’s R</w:t>
      </w:r>
      <w:r w:rsidR="00FF5712" w:rsidRPr="0082644A">
        <w:t xml:space="preserve">eport to the Members of the </w:t>
      </w:r>
      <w:r w:rsidR="00FF5712" w:rsidRPr="0082644A">
        <w:tab/>
      </w:r>
      <w:r w:rsidR="00FF5712" w:rsidRPr="0082644A">
        <w:tab/>
      </w:r>
      <w:r w:rsidR="007303EB" w:rsidRPr="0082644A">
        <w:t>1</w:t>
      </w:r>
      <w:r w:rsidR="003662C5" w:rsidRPr="0082644A">
        <w:t>7</w:t>
      </w:r>
    </w:p>
    <w:p w14:paraId="485A42AD" w14:textId="77777777" w:rsidR="006E6F5C" w:rsidRPr="0082644A" w:rsidRDefault="00CF687B" w:rsidP="00222819">
      <w:pPr>
        <w:pStyle w:val="Heading4"/>
        <w:ind w:left="1080"/>
      </w:pPr>
      <w:r w:rsidRPr="0082644A">
        <w:t>Lake District National Park Authority</w:t>
      </w:r>
    </w:p>
    <w:p w14:paraId="485A42AE" w14:textId="77777777" w:rsidR="008A14A3" w:rsidRPr="0082644A" w:rsidRDefault="008A14A3" w:rsidP="00222819">
      <w:pPr>
        <w:pStyle w:val="Heading4"/>
        <w:ind w:left="1080"/>
      </w:pPr>
    </w:p>
    <w:p w14:paraId="485A42AF" w14:textId="264C6EA5" w:rsidR="00E231DB" w:rsidRPr="0082644A" w:rsidRDefault="00E231DB" w:rsidP="00E231DB">
      <w:pPr>
        <w:rPr>
          <w:b/>
        </w:rPr>
      </w:pPr>
      <w:r w:rsidRPr="0082644A">
        <w:tab/>
        <w:t xml:space="preserve">     </w:t>
      </w:r>
      <w:r w:rsidRPr="0082644A">
        <w:rPr>
          <w:b/>
        </w:rPr>
        <w:t>Statement of Significant Accounting Policies</w:t>
      </w:r>
      <w:r w:rsidR="007303EB" w:rsidRPr="0082644A">
        <w:rPr>
          <w:b/>
        </w:rPr>
        <w:tab/>
      </w:r>
      <w:r w:rsidR="007303EB" w:rsidRPr="0082644A">
        <w:rPr>
          <w:b/>
        </w:rPr>
        <w:tab/>
      </w:r>
      <w:r w:rsidR="007303EB" w:rsidRPr="0082644A">
        <w:rPr>
          <w:b/>
        </w:rPr>
        <w:tab/>
      </w:r>
      <w:r w:rsidR="0082644A" w:rsidRPr="0082644A">
        <w:rPr>
          <w:b/>
        </w:rPr>
        <w:t>18</w:t>
      </w:r>
    </w:p>
    <w:p w14:paraId="485A42B0" w14:textId="77777777" w:rsidR="00E231DB" w:rsidRPr="0082644A" w:rsidRDefault="00E231DB" w:rsidP="00E231DB">
      <w:r w:rsidRPr="0082644A">
        <w:tab/>
      </w:r>
    </w:p>
    <w:p w14:paraId="485A42B1" w14:textId="179E4C0C" w:rsidR="00E231DB" w:rsidRPr="0082644A" w:rsidRDefault="00E231DB" w:rsidP="00E231DB">
      <w:pPr>
        <w:pStyle w:val="Heading4"/>
        <w:spacing w:line="480" w:lineRule="auto"/>
        <w:ind w:left="1080"/>
      </w:pPr>
      <w:r w:rsidRPr="0082644A">
        <w:t>Comprehensive Inc</w:t>
      </w:r>
      <w:r w:rsidR="007303EB" w:rsidRPr="0082644A">
        <w:t>ome and Expenditure Statement</w:t>
      </w:r>
      <w:r w:rsidR="007303EB" w:rsidRPr="0082644A">
        <w:tab/>
      </w:r>
      <w:r w:rsidR="007303EB" w:rsidRPr="0082644A">
        <w:tab/>
      </w:r>
      <w:r w:rsidR="0082644A" w:rsidRPr="0082644A">
        <w:t>27</w:t>
      </w:r>
    </w:p>
    <w:p w14:paraId="485A42B2" w14:textId="55DEC230" w:rsidR="008A14A3" w:rsidRPr="0082644A" w:rsidRDefault="00E231DB" w:rsidP="00222819">
      <w:pPr>
        <w:pStyle w:val="Heading4"/>
        <w:spacing w:line="480" w:lineRule="auto"/>
        <w:ind w:left="1080"/>
      </w:pPr>
      <w:r w:rsidRPr="0082644A">
        <w:t>M</w:t>
      </w:r>
      <w:r w:rsidR="00CF687B" w:rsidRPr="0082644A">
        <w:t>ovement in Reserves Statement</w:t>
      </w:r>
      <w:r w:rsidR="00CF687B" w:rsidRPr="0082644A">
        <w:tab/>
      </w:r>
      <w:r w:rsidR="00CF687B" w:rsidRPr="0082644A">
        <w:tab/>
      </w:r>
      <w:r w:rsidR="00CF687B" w:rsidRPr="0082644A">
        <w:tab/>
      </w:r>
      <w:r w:rsidR="00CF687B" w:rsidRPr="0082644A">
        <w:tab/>
      </w:r>
      <w:r w:rsidR="00CF687B" w:rsidRPr="0082644A">
        <w:tab/>
      </w:r>
      <w:r w:rsidR="0082644A" w:rsidRPr="0082644A">
        <w:t>28</w:t>
      </w:r>
    </w:p>
    <w:p w14:paraId="485A42B3" w14:textId="7C326A6D" w:rsidR="008A14A3" w:rsidRPr="0082644A" w:rsidRDefault="00CF687B" w:rsidP="00222819">
      <w:pPr>
        <w:pStyle w:val="Heading4"/>
        <w:spacing w:line="480" w:lineRule="auto"/>
        <w:ind w:left="1080"/>
      </w:pPr>
      <w:r w:rsidRPr="0082644A">
        <w:t>Balance Sheet</w:t>
      </w:r>
      <w:r w:rsidRPr="0082644A">
        <w:tab/>
      </w:r>
      <w:r w:rsidRPr="0082644A">
        <w:tab/>
      </w:r>
      <w:r w:rsidRPr="0082644A">
        <w:tab/>
      </w:r>
      <w:r w:rsidRPr="0082644A">
        <w:tab/>
      </w:r>
      <w:r w:rsidRPr="0082644A">
        <w:tab/>
      </w:r>
      <w:r w:rsidRPr="0082644A">
        <w:tab/>
      </w:r>
      <w:r w:rsidRPr="0082644A">
        <w:tab/>
      </w:r>
      <w:r w:rsidRPr="0082644A">
        <w:tab/>
      </w:r>
      <w:r w:rsidR="0082644A" w:rsidRPr="0082644A">
        <w:t>29</w:t>
      </w:r>
    </w:p>
    <w:p w14:paraId="485A42B4" w14:textId="216E0377" w:rsidR="008A14A3" w:rsidRPr="0082644A" w:rsidRDefault="00CF687B" w:rsidP="00222819">
      <w:pPr>
        <w:pStyle w:val="Heading4"/>
        <w:spacing w:line="480" w:lineRule="auto"/>
        <w:ind w:left="1080"/>
      </w:pPr>
      <w:r w:rsidRPr="0082644A">
        <w:t>Cash Flow Statement</w:t>
      </w:r>
      <w:r w:rsidRPr="0082644A">
        <w:tab/>
      </w:r>
      <w:r w:rsidRPr="0082644A">
        <w:tab/>
      </w:r>
      <w:r w:rsidRPr="0082644A">
        <w:tab/>
      </w:r>
      <w:r w:rsidRPr="0082644A">
        <w:tab/>
      </w:r>
      <w:r w:rsidRPr="0082644A">
        <w:tab/>
      </w:r>
      <w:r w:rsidRPr="0082644A">
        <w:tab/>
      </w:r>
      <w:r w:rsidRPr="0082644A">
        <w:tab/>
      </w:r>
      <w:r w:rsidR="007303EB" w:rsidRPr="0082644A">
        <w:t>3</w:t>
      </w:r>
      <w:r w:rsidR="0082644A" w:rsidRPr="0082644A">
        <w:t>0</w:t>
      </w:r>
    </w:p>
    <w:p w14:paraId="485A42B5" w14:textId="356DAD3E" w:rsidR="008A14A3" w:rsidRPr="0082644A" w:rsidRDefault="00CF687B" w:rsidP="00222819">
      <w:pPr>
        <w:pStyle w:val="Heading4"/>
        <w:spacing w:line="480" w:lineRule="auto"/>
        <w:ind w:left="1080"/>
      </w:pPr>
      <w:r w:rsidRPr="0082644A">
        <w:t>Notes to the Core Financial Statements</w:t>
      </w:r>
      <w:r w:rsidRPr="0082644A">
        <w:tab/>
      </w:r>
      <w:r w:rsidRPr="0082644A">
        <w:tab/>
      </w:r>
      <w:r w:rsidRPr="0082644A">
        <w:tab/>
      </w:r>
      <w:r w:rsidRPr="0082644A">
        <w:tab/>
      </w:r>
      <w:r w:rsidR="00EF607F" w:rsidRPr="0082644A">
        <w:t>3</w:t>
      </w:r>
      <w:r w:rsidR="0082644A" w:rsidRPr="0082644A">
        <w:t>1</w:t>
      </w:r>
    </w:p>
    <w:p w14:paraId="485A42B6" w14:textId="2053E346" w:rsidR="006B57E8" w:rsidRPr="0082644A" w:rsidRDefault="006B57E8" w:rsidP="006B57E8">
      <w:pPr>
        <w:spacing w:line="480" w:lineRule="auto"/>
        <w:ind w:left="1080" w:right="-195"/>
        <w:rPr>
          <w:b/>
          <w:bCs/>
        </w:rPr>
      </w:pPr>
      <w:r w:rsidRPr="0082644A">
        <w:rPr>
          <w:b/>
          <w:bCs/>
        </w:rPr>
        <w:t>An</w:t>
      </w:r>
      <w:r w:rsidR="007303EB" w:rsidRPr="0082644A">
        <w:rPr>
          <w:b/>
          <w:bCs/>
        </w:rPr>
        <w:t>nual Governance Statement</w:t>
      </w:r>
      <w:r w:rsidR="007303EB" w:rsidRPr="0082644A">
        <w:rPr>
          <w:b/>
          <w:bCs/>
        </w:rPr>
        <w:tab/>
      </w:r>
      <w:r w:rsidR="007303EB" w:rsidRPr="0082644A">
        <w:rPr>
          <w:b/>
          <w:bCs/>
        </w:rPr>
        <w:tab/>
      </w:r>
      <w:r w:rsidR="007303EB" w:rsidRPr="0082644A">
        <w:rPr>
          <w:b/>
          <w:bCs/>
        </w:rPr>
        <w:tab/>
      </w:r>
      <w:r w:rsidR="007303EB" w:rsidRPr="0082644A">
        <w:rPr>
          <w:b/>
          <w:bCs/>
        </w:rPr>
        <w:tab/>
      </w:r>
      <w:r w:rsidR="007303EB" w:rsidRPr="0082644A">
        <w:rPr>
          <w:b/>
          <w:bCs/>
        </w:rPr>
        <w:tab/>
      </w:r>
      <w:r w:rsidR="0082644A" w:rsidRPr="0082644A">
        <w:rPr>
          <w:b/>
          <w:bCs/>
        </w:rPr>
        <w:t>6</w:t>
      </w:r>
      <w:r w:rsidR="000D7C2D">
        <w:rPr>
          <w:b/>
          <w:bCs/>
        </w:rPr>
        <w:t>9</w:t>
      </w:r>
    </w:p>
    <w:p w14:paraId="485A42B7" w14:textId="128388B3" w:rsidR="0080555F" w:rsidRPr="000C5A45" w:rsidRDefault="007303EB" w:rsidP="006B57E8">
      <w:pPr>
        <w:spacing w:line="480" w:lineRule="auto"/>
        <w:ind w:left="1080" w:right="-195"/>
        <w:rPr>
          <w:b/>
          <w:bCs/>
        </w:rPr>
      </w:pPr>
      <w:r w:rsidRPr="0082644A">
        <w:rPr>
          <w:b/>
          <w:bCs/>
        </w:rPr>
        <w:t>Glossary</w:t>
      </w:r>
      <w:r w:rsidRPr="0082644A">
        <w:rPr>
          <w:b/>
          <w:bCs/>
        </w:rPr>
        <w:tab/>
        <w:t>of Terms</w:t>
      </w:r>
      <w:r w:rsidRPr="0082644A">
        <w:rPr>
          <w:b/>
          <w:bCs/>
        </w:rPr>
        <w:tab/>
      </w:r>
      <w:r w:rsidRPr="0082644A">
        <w:rPr>
          <w:b/>
          <w:bCs/>
        </w:rPr>
        <w:tab/>
      </w:r>
      <w:r w:rsidRPr="0082644A">
        <w:rPr>
          <w:b/>
          <w:bCs/>
        </w:rPr>
        <w:tab/>
      </w:r>
      <w:r w:rsidRPr="0082644A">
        <w:rPr>
          <w:b/>
          <w:bCs/>
        </w:rPr>
        <w:tab/>
      </w:r>
      <w:r w:rsidRPr="0082644A">
        <w:rPr>
          <w:b/>
          <w:bCs/>
        </w:rPr>
        <w:tab/>
      </w:r>
      <w:r w:rsidRPr="0082644A">
        <w:rPr>
          <w:b/>
          <w:bCs/>
        </w:rPr>
        <w:tab/>
      </w:r>
      <w:r w:rsidRPr="0082644A">
        <w:rPr>
          <w:b/>
          <w:bCs/>
        </w:rPr>
        <w:tab/>
      </w:r>
      <w:r w:rsidR="0082644A" w:rsidRPr="0082644A">
        <w:rPr>
          <w:b/>
          <w:bCs/>
        </w:rPr>
        <w:t>7</w:t>
      </w:r>
      <w:r w:rsidR="000D7C2D">
        <w:rPr>
          <w:b/>
          <w:bCs/>
        </w:rPr>
        <w:t>8</w:t>
      </w:r>
    </w:p>
    <w:p w14:paraId="485A42B8" w14:textId="77777777" w:rsidR="008A14A3" w:rsidRPr="000C5A45" w:rsidRDefault="008A14A3" w:rsidP="00222819">
      <w:pPr>
        <w:ind w:right="-195"/>
      </w:pPr>
    </w:p>
    <w:p w14:paraId="485A42B9" w14:textId="77777777" w:rsidR="00AB48A2" w:rsidRPr="000C5A45" w:rsidRDefault="006B57E8" w:rsidP="00D34473">
      <w:pPr>
        <w:ind w:right="-195"/>
        <w:jc w:val="center"/>
        <w:sectPr w:rsidR="00AB48A2" w:rsidRPr="000C5A45" w:rsidSect="004050EA">
          <w:footerReference w:type="first" r:id="rId10"/>
          <w:pgSz w:w="11906" w:h="16838" w:code="9"/>
          <w:pgMar w:top="539" w:right="567" w:bottom="720" w:left="851" w:header="709" w:footer="221" w:gutter="0"/>
          <w:paperSrc w:first="7" w:other="7"/>
          <w:pgNumType w:start="1"/>
          <w:cols w:space="708"/>
          <w:titlePg/>
          <w:docGrid w:linePitch="360"/>
        </w:sectPr>
      </w:pPr>
      <w:r w:rsidRPr="000C5A45">
        <w:tab/>
      </w:r>
    </w:p>
    <w:p w14:paraId="55469C64" w14:textId="77777777" w:rsidR="00DA6E9A" w:rsidRPr="00831D94" w:rsidRDefault="00DA6E9A" w:rsidP="00DA6E9A">
      <w:pPr>
        <w:pStyle w:val="HEADING"/>
        <w:jc w:val="center"/>
        <w:rPr>
          <w:sz w:val="28"/>
          <w:szCs w:val="28"/>
        </w:rPr>
      </w:pPr>
      <w:bookmarkStart w:id="0" w:name="_Toc75750676"/>
      <w:bookmarkStart w:id="1" w:name="_Toc75750969"/>
      <w:bookmarkStart w:id="2" w:name="_Toc75751791"/>
      <w:bookmarkStart w:id="3" w:name="_Toc107817290"/>
      <w:r w:rsidRPr="00831D94">
        <w:rPr>
          <w:sz w:val="28"/>
          <w:szCs w:val="28"/>
        </w:rPr>
        <w:lastRenderedPageBreak/>
        <w:t>NARRATIVE REPORT</w:t>
      </w:r>
    </w:p>
    <w:p w14:paraId="10EA9EB8" w14:textId="2C2D2626" w:rsidR="00DA6E9A" w:rsidRPr="00831D94" w:rsidRDefault="00DA6E9A" w:rsidP="00DA6E9A">
      <w:pPr>
        <w:pStyle w:val="HEADING"/>
        <w:jc w:val="center"/>
        <w:rPr>
          <w:szCs w:val="24"/>
        </w:rPr>
      </w:pPr>
      <w:r w:rsidRPr="00831D94">
        <w:rPr>
          <w:sz w:val="28"/>
          <w:szCs w:val="28"/>
        </w:rPr>
        <w:t xml:space="preserve"> </w:t>
      </w:r>
      <w:r w:rsidRPr="00831D94">
        <w:rPr>
          <w:szCs w:val="24"/>
        </w:rPr>
        <w:t>FOR THE PERIOD 1 APRIL 202</w:t>
      </w:r>
      <w:r w:rsidR="00BA639D" w:rsidRPr="00831D94">
        <w:rPr>
          <w:szCs w:val="24"/>
        </w:rPr>
        <w:t>2</w:t>
      </w:r>
      <w:r w:rsidRPr="00831D94">
        <w:rPr>
          <w:szCs w:val="24"/>
        </w:rPr>
        <w:t xml:space="preserve"> TO 31 MARCH 202</w:t>
      </w:r>
      <w:r w:rsidR="00BA639D" w:rsidRPr="00831D94">
        <w:rPr>
          <w:szCs w:val="24"/>
        </w:rPr>
        <w:t>3</w:t>
      </w:r>
    </w:p>
    <w:p w14:paraId="13D7AC06" w14:textId="77777777" w:rsidR="00DA6E9A" w:rsidRPr="00831D94" w:rsidRDefault="00DA6E9A" w:rsidP="00DA6E9A">
      <w:pPr>
        <w:jc w:val="center"/>
      </w:pPr>
    </w:p>
    <w:p w14:paraId="53EF17FA" w14:textId="77777777" w:rsidR="00DA6E9A" w:rsidRPr="00E3732C" w:rsidRDefault="00DA6E9A" w:rsidP="00DA6E9A">
      <w:pPr>
        <w:pStyle w:val="Heading3"/>
        <w:rPr>
          <w:sz w:val="23"/>
          <w:szCs w:val="23"/>
        </w:rPr>
      </w:pPr>
      <w:r w:rsidRPr="00E3732C">
        <w:rPr>
          <w:sz w:val="23"/>
          <w:szCs w:val="23"/>
        </w:rPr>
        <w:t>Introduction</w:t>
      </w:r>
    </w:p>
    <w:p w14:paraId="1677BBB2" w14:textId="5ABF1F50" w:rsidR="00DA6E9A" w:rsidRPr="00831D94" w:rsidRDefault="00DA6E9A" w:rsidP="00DA6E9A"/>
    <w:p w14:paraId="0A686865" w14:textId="397EF583" w:rsidR="00DA6E9A" w:rsidRPr="00831D94" w:rsidRDefault="00DA6E9A" w:rsidP="00DA6E9A">
      <w:r w:rsidRPr="00831D94">
        <w:t xml:space="preserve">The Lake District National Park Authority </w:t>
      </w:r>
      <w:r w:rsidR="00446933">
        <w:t xml:space="preserve">(LDNPA) </w:t>
      </w:r>
      <w:r w:rsidRPr="00831D94">
        <w:t>is an independent local authority, forming part of the system of local government in the Lake District. It does some, but not all, of the work that is done by County and District Councils in other areas of the country. Other local authorities operating inside the Lake District National Park have an important role to play.</w:t>
      </w:r>
    </w:p>
    <w:p w14:paraId="62799E2A" w14:textId="77777777" w:rsidR="00DA6E9A" w:rsidRPr="00831D94" w:rsidRDefault="00DA6E9A" w:rsidP="00DA6E9A"/>
    <w:p w14:paraId="6EB5A94A" w14:textId="77777777" w:rsidR="00DA6E9A" w:rsidRDefault="00DA6E9A" w:rsidP="00DA6E9A">
      <w:r w:rsidRPr="00831D94">
        <w:t>The National Parks and Access to the Countryside Act 1949, subsequently amended by the Environment Act 1995, sets out key responsibilities through two statutory purposes for National Parks:</w:t>
      </w:r>
    </w:p>
    <w:p w14:paraId="665B5720" w14:textId="77777777" w:rsidR="00831D94" w:rsidRPr="00831D94" w:rsidRDefault="00831D94" w:rsidP="00DA6E9A"/>
    <w:p w14:paraId="4A2C7BA3" w14:textId="77777777" w:rsidR="00DA6E9A" w:rsidRPr="00831D94" w:rsidRDefault="00DA6E9A" w:rsidP="00317745">
      <w:pPr>
        <w:numPr>
          <w:ilvl w:val="0"/>
          <w:numId w:val="19"/>
        </w:numPr>
      </w:pPr>
      <w:r w:rsidRPr="00831D94">
        <w:t>To conserve and enhance the Parks’ natural beauty, wildlife and cultural heritage; and</w:t>
      </w:r>
    </w:p>
    <w:p w14:paraId="278FEA84" w14:textId="77777777" w:rsidR="00DA6E9A" w:rsidRPr="00831D94" w:rsidRDefault="00DA6E9A" w:rsidP="00317745">
      <w:pPr>
        <w:numPr>
          <w:ilvl w:val="0"/>
          <w:numId w:val="19"/>
        </w:numPr>
      </w:pPr>
      <w:r w:rsidRPr="00831D94">
        <w:t>To promote opportunities for the understanding and enjoyment of the special qualities (of the Parks) by the public.</w:t>
      </w:r>
    </w:p>
    <w:p w14:paraId="57249CAC" w14:textId="77777777" w:rsidR="00DA6E9A" w:rsidRPr="00831D94" w:rsidRDefault="00DA6E9A" w:rsidP="00DA6E9A"/>
    <w:p w14:paraId="329B60B4" w14:textId="569D728A" w:rsidR="00DA6E9A" w:rsidRPr="00831D94" w:rsidRDefault="00DA6E9A" w:rsidP="00DA6E9A">
      <w:r w:rsidRPr="00831D94">
        <w:t>The Authority’s services are delivered so as to contribute to the Vision for the Lake District National Park. The Vision sets out the strategic aims of the Lake District National Park Partnership, which is comprised of many key stakeholders in the future of the Park. The Vision’s strategic aim is that the Lake District National Park will be an inspirational example of sustainable development in action. It will be a place where its prosperous economy, world class visitor experiences and vibrant communities all come together to sustain the spectacular landscape, its wildlife and cultural heritage.  Local people, visitors, and the many organisations working in the National Park, or have a contribution to make to it, must be united in achieving this</w:t>
      </w:r>
      <w:r w:rsidR="00446933">
        <w:t>.</w:t>
      </w:r>
    </w:p>
    <w:p w14:paraId="0DD9BAA7" w14:textId="77777777" w:rsidR="00DA6E9A" w:rsidRPr="00831D94" w:rsidRDefault="00DA6E9A" w:rsidP="00DA6E9A"/>
    <w:p w14:paraId="74DA434D" w14:textId="77777777" w:rsidR="00DA6E9A" w:rsidRPr="00831D94" w:rsidRDefault="00DA6E9A" w:rsidP="00DA6E9A">
      <w:r w:rsidRPr="00831D94">
        <w:t>The Partnership’s near-term objectives are set out in the Partnership’s Plan. The plan will ensure that the Lake District’s World Heritage Site Status is protected and that we remain on track to achieving our 2030 Vision of the Lake District. A refreshed Partnership Plan was adopted on 20</w:t>
      </w:r>
      <w:r w:rsidRPr="00831D94">
        <w:rPr>
          <w:vertAlign w:val="superscript"/>
        </w:rPr>
        <w:t>th</w:t>
      </w:r>
      <w:r w:rsidRPr="00831D94">
        <w:t xml:space="preserve"> October 2021.</w:t>
      </w:r>
    </w:p>
    <w:p w14:paraId="7454C85F" w14:textId="77777777" w:rsidR="00DA6E9A" w:rsidRPr="004D5CA8" w:rsidRDefault="00DA6E9A" w:rsidP="00DA6E9A">
      <w:pPr>
        <w:rPr>
          <w:highlight w:val="yellow"/>
        </w:rPr>
      </w:pPr>
    </w:p>
    <w:p w14:paraId="7397D7D3" w14:textId="77777777" w:rsidR="00DA6E9A" w:rsidRPr="00831D94" w:rsidRDefault="00DA6E9A" w:rsidP="00DA6E9A">
      <w:r w:rsidRPr="00831D94">
        <w:t xml:space="preserve">The Authority’s strong working relationships with all member organisations within the Partnership are essential to its success in effective service delivery, working together to combine expertise and skill sets in the most effective ways. This model of operation allows the Authority to add significant value to the delivery of the Partnership’s Plan, which is the management plan for the National Park. </w:t>
      </w:r>
    </w:p>
    <w:p w14:paraId="233FA879" w14:textId="77777777" w:rsidR="00DA6E9A" w:rsidRPr="004D5CA8" w:rsidRDefault="00DA6E9A" w:rsidP="00DA6E9A">
      <w:pPr>
        <w:rPr>
          <w:highlight w:val="yellow"/>
        </w:rPr>
      </w:pPr>
    </w:p>
    <w:p w14:paraId="5C2EF64F" w14:textId="77777777" w:rsidR="00DA6E9A" w:rsidRPr="00831D94" w:rsidRDefault="00DA6E9A" w:rsidP="00DA6E9A">
      <w:r w:rsidRPr="00831D94">
        <w:t>The Authority’s responsibilities within the Partnership’s Plan are formalised in, and monitored with reference to, the Authority’s Business Plan, which sets out actions and milestones relating to our contribution to priority areas which include:</w:t>
      </w:r>
    </w:p>
    <w:p w14:paraId="10AC1210" w14:textId="77777777" w:rsidR="00DA6E9A" w:rsidRPr="004D5CA8" w:rsidRDefault="00DA6E9A" w:rsidP="00DA6E9A">
      <w:pPr>
        <w:rPr>
          <w:highlight w:val="yellow"/>
        </w:rPr>
      </w:pPr>
    </w:p>
    <w:p w14:paraId="343DAFBA" w14:textId="77777777" w:rsidR="00DA6E9A" w:rsidRPr="00831D94" w:rsidRDefault="00DA6E9A" w:rsidP="00317745">
      <w:pPr>
        <w:pStyle w:val="ListParagraph"/>
        <w:numPr>
          <w:ilvl w:val="0"/>
          <w:numId w:val="36"/>
        </w:numPr>
        <w:rPr>
          <w:sz w:val="23"/>
          <w:szCs w:val="23"/>
          <w:u w:val="none"/>
        </w:rPr>
      </w:pPr>
      <w:r w:rsidRPr="00831D94">
        <w:rPr>
          <w:sz w:val="23"/>
          <w:szCs w:val="23"/>
          <w:u w:val="none"/>
        </w:rPr>
        <w:t>Climate Action</w:t>
      </w:r>
    </w:p>
    <w:p w14:paraId="3D8B4A16" w14:textId="77777777" w:rsidR="00DA6E9A" w:rsidRPr="00831D94" w:rsidRDefault="00DA6E9A" w:rsidP="00317745">
      <w:pPr>
        <w:pStyle w:val="ListParagraph"/>
        <w:numPr>
          <w:ilvl w:val="0"/>
          <w:numId w:val="36"/>
        </w:numPr>
        <w:rPr>
          <w:sz w:val="23"/>
          <w:szCs w:val="23"/>
          <w:u w:val="none"/>
        </w:rPr>
      </w:pPr>
      <w:r w:rsidRPr="00831D94">
        <w:rPr>
          <w:sz w:val="23"/>
          <w:szCs w:val="23"/>
          <w:u w:val="none"/>
        </w:rPr>
        <w:t>Farming and Nature Recovery</w:t>
      </w:r>
    </w:p>
    <w:p w14:paraId="23A60DD4" w14:textId="77777777" w:rsidR="00DA6E9A" w:rsidRPr="00831D94" w:rsidRDefault="00DA6E9A" w:rsidP="00317745">
      <w:pPr>
        <w:pStyle w:val="ListParagraph"/>
        <w:numPr>
          <w:ilvl w:val="0"/>
          <w:numId w:val="36"/>
        </w:numPr>
        <w:rPr>
          <w:sz w:val="23"/>
          <w:szCs w:val="23"/>
          <w:u w:val="none"/>
        </w:rPr>
      </w:pPr>
      <w:r w:rsidRPr="00831D94">
        <w:rPr>
          <w:sz w:val="23"/>
          <w:szCs w:val="23"/>
          <w:u w:val="none"/>
        </w:rPr>
        <w:t>Landscape, Culture and Beauty</w:t>
      </w:r>
    </w:p>
    <w:p w14:paraId="346D3DB5" w14:textId="77777777" w:rsidR="00DA6E9A" w:rsidRPr="00831D94" w:rsidRDefault="00DA6E9A" w:rsidP="00317745">
      <w:pPr>
        <w:pStyle w:val="ListParagraph"/>
        <w:numPr>
          <w:ilvl w:val="0"/>
          <w:numId w:val="36"/>
        </w:numPr>
        <w:rPr>
          <w:sz w:val="23"/>
          <w:szCs w:val="23"/>
          <w:u w:val="none"/>
        </w:rPr>
      </w:pPr>
      <w:r w:rsidRPr="00831D94">
        <w:rPr>
          <w:sz w:val="23"/>
          <w:szCs w:val="23"/>
          <w:u w:val="none"/>
        </w:rPr>
        <w:t>Sustainable Travel and Transport</w:t>
      </w:r>
    </w:p>
    <w:p w14:paraId="5DE50B5D" w14:textId="77777777" w:rsidR="00DA6E9A" w:rsidRPr="00831D94" w:rsidRDefault="00DA6E9A" w:rsidP="00317745">
      <w:pPr>
        <w:pStyle w:val="ListParagraph"/>
        <w:numPr>
          <w:ilvl w:val="0"/>
          <w:numId w:val="36"/>
        </w:numPr>
        <w:rPr>
          <w:sz w:val="23"/>
          <w:szCs w:val="23"/>
          <w:u w:val="none"/>
        </w:rPr>
      </w:pPr>
      <w:r w:rsidRPr="00831D94">
        <w:rPr>
          <w:sz w:val="23"/>
          <w:szCs w:val="23"/>
          <w:u w:val="none"/>
        </w:rPr>
        <w:t>Vibrant Communities and Prosperous Economy</w:t>
      </w:r>
    </w:p>
    <w:p w14:paraId="36F1DAFC" w14:textId="77777777" w:rsidR="00DA6E9A" w:rsidRPr="00831D94" w:rsidRDefault="00DA6E9A" w:rsidP="00317745">
      <w:pPr>
        <w:pStyle w:val="ListParagraph"/>
        <w:numPr>
          <w:ilvl w:val="0"/>
          <w:numId w:val="36"/>
        </w:numPr>
        <w:rPr>
          <w:sz w:val="23"/>
          <w:szCs w:val="23"/>
          <w:u w:val="none"/>
        </w:rPr>
      </w:pPr>
      <w:r w:rsidRPr="00831D94">
        <w:rPr>
          <w:sz w:val="23"/>
          <w:szCs w:val="23"/>
          <w:u w:val="none"/>
        </w:rPr>
        <w:t>Lake District for Everyone</w:t>
      </w:r>
    </w:p>
    <w:p w14:paraId="776AB41C" w14:textId="77777777" w:rsidR="00DA6E9A" w:rsidRPr="004D5CA8" w:rsidRDefault="00DA6E9A" w:rsidP="00DA6E9A">
      <w:pPr>
        <w:rPr>
          <w:highlight w:val="yellow"/>
        </w:rPr>
      </w:pPr>
    </w:p>
    <w:p w14:paraId="538C89B6" w14:textId="77777777" w:rsidR="00DA6E9A" w:rsidRPr="00831D94" w:rsidRDefault="00DA6E9A" w:rsidP="00DA6E9A">
      <w:r w:rsidRPr="00831D94">
        <w:t xml:space="preserve">These documents can be found on the Authority’s website. </w:t>
      </w:r>
    </w:p>
    <w:p w14:paraId="518BE88D" w14:textId="77777777" w:rsidR="00DA6E9A" w:rsidRPr="004D5CA8" w:rsidRDefault="00DA6E9A" w:rsidP="00DA6E9A">
      <w:pPr>
        <w:rPr>
          <w:highlight w:val="yellow"/>
        </w:rPr>
      </w:pPr>
    </w:p>
    <w:p w14:paraId="7F655677" w14:textId="0D394B69" w:rsidR="00DA6E9A" w:rsidRPr="00831D94" w:rsidRDefault="00DA6E9A" w:rsidP="00DA6E9A">
      <w:pPr>
        <w:rPr>
          <w:rFonts w:cs="Arial"/>
        </w:rPr>
      </w:pPr>
      <w:r w:rsidRPr="00831D94">
        <w:t xml:space="preserve">Our financial planning is set out in our Medium Term Financial Strategy. The strategy formalises the Authority’s key revenue and capital principles in relation to the management of its finances, given the prevailing financial environment. It sets out projections for future years’ </w:t>
      </w:r>
      <w:r w:rsidRPr="00831D94">
        <w:lastRenderedPageBreak/>
        <w:t>budgets over a f</w:t>
      </w:r>
      <w:r w:rsidR="00446933">
        <w:t>ive</w:t>
      </w:r>
      <w:r w:rsidRPr="00831D94">
        <w:t xml:space="preserve"> year period to inform understanding of the likely availability of financial resources, which will be used in the provision of services. The Medium Term Financial Strategy can also be found on the Authority’s website.</w:t>
      </w:r>
    </w:p>
    <w:p w14:paraId="6DB30CFD" w14:textId="77777777" w:rsidR="00DA6E9A" w:rsidRPr="004D5CA8" w:rsidRDefault="00DA6E9A" w:rsidP="00DA6E9A">
      <w:pPr>
        <w:rPr>
          <w:highlight w:val="yellow"/>
        </w:rPr>
      </w:pPr>
    </w:p>
    <w:p w14:paraId="0BA94F7D" w14:textId="77777777" w:rsidR="00762FE5" w:rsidRDefault="00DA6E9A" w:rsidP="00DA6E9A">
      <w:r w:rsidRPr="00831D94">
        <w:t xml:space="preserve">One of the Authority’s key responsibilities to its communities is to act as the Planning Authority for the geographical area of the National Park. Other principal services include work in areas such as conservation, recreation management and transport, promoting understanding, rangers and volunteers, and forward planning and communities. </w:t>
      </w:r>
    </w:p>
    <w:p w14:paraId="3B602E69" w14:textId="77777777" w:rsidR="00762FE5" w:rsidRDefault="00762FE5" w:rsidP="00DA6E9A"/>
    <w:p w14:paraId="09062632" w14:textId="795B372A" w:rsidR="00DA6E9A" w:rsidRPr="00831D94" w:rsidRDefault="00DA6E9A" w:rsidP="00DA6E9A">
      <w:r w:rsidRPr="00831D94">
        <w:t>Ethics are very important to the Authority and are central to our day-to-day work. Our organisational culture is represented by our core values, which underpin all actions and decision making. These are to be:</w:t>
      </w:r>
    </w:p>
    <w:p w14:paraId="4BF40F60" w14:textId="77777777" w:rsidR="00DA6E9A" w:rsidRPr="004D5CA8" w:rsidRDefault="00DA6E9A" w:rsidP="00DA6E9A">
      <w:pPr>
        <w:rPr>
          <w:highlight w:val="yellow"/>
        </w:rPr>
      </w:pPr>
    </w:p>
    <w:p w14:paraId="6CFEAD17" w14:textId="77777777" w:rsidR="00DA6E9A" w:rsidRPr="00831D94" w:rsidRDefault="00DA6E9A" w:rsidP="00317745">
      <w:pPr>
        <w:numPr>
          <w:ilvl w:val="0"/>
          <w:numId w:val="23"/>
        </w:numPr>
        <w:ind w:left="426" w:hanging="426"/>
      </w:pPr>
      <w:r w:rsidRPr="00831D94">
        <w:t>Empowered – we think creatively, encouraging innovation, adapting to change and being willing to take risks</w:t>
      </w:r>
    </w:p>
    <w:p w14:paraId="014335AF" w14:textId="77777777" w:rsidR="00DA6E9A" w:rsidRPr="00831D94" w:rsidRDefault="00DA6E9A" w:rsidP="00317745">
      <w:pPr>
        <w:numPr>
          <w:ilvl w:val="0"/>
          <w:numId w:val="23"/>
        </w:numPr>
        <w:ind w:left="426" w:hanging="426"/>
      </w:pPr>
      <w:r w:rsidRPr="00831D94">
        <w:t xml:space="preserve">Forward Thinking – we plan for the future, recognising that our future sustainability is in our own hands </w:t>
      </w:r>
    </w:p>
    <w:p w14:paraId="0A6F2476" w14:textId="77777777" w:rsidR="00DA6E9A" w:rsidRPr="00831D94" w:rsidRDefault="00DA6E9A" w:rsidP="00317745">
      <w:pPr>
        <w:numPr>
          <w:ilvl w:val="0"/>
          <w:numId w:val="23"/>
        </w:numPr>
        <w:ind w:left="426" w:hanging="426"/>
      </w:pPr>
      <w:r w:rsidRPr="00831D94">
        <w:t>Leaders – we lead the way, delivering the vision and inspiring people and the landscape to flourish</w:t>
      </w:r>
    </w:p>
    <w:p w14:paraId="64D68AF3" w14:textId="77777777" w:rsidR="00DA6E9A" w:rsidRPr="00831D94" w:rsidRDefault="00DA6E9A" w:rsidP="00317745">
      <w:pPr>
        <w:numPr>
          <w:ilvl w:val="0"/>
          <w:numId w:val="23"/>
        </w:numPr>
        <w:ind w:left="426" w:hanging="426"/>
      </w:pPr>
      <w:r w:rsidRPr="00831D94">
        <w:t>Nurturing – we nurture the Lake District, our teams and where we work, respectfully managing the Lake District National Park on behalf of those who live, work or visit here</w:t>
      </w:r>
    </w:p>
    <w:p w14:paraId="159D6795" w14:textId="77777777" w:rsidR="00DA6E9A" w:rsidRPr="00831D94" w:rsidRDefault="00DA6E9A" w:rsidP="00317745">
      <w:pPr>
        <w:numPr>
          <w:ilvl w:val="0"/>
          <w:numId w:val="23"/>
        </w:numPr>
        <w:ind w:left="426" w:hanging="426"/>
      </w:pPr>
      <w:r w:rsidRPr="00831D94">
        <w:t>Proud – we are proud of the Lake District and what we do at the Lake District National Park Authority, which drives us to be our best</w:t>
      </w:r>
    </w:p>
    <w:p w14:paraId="529B6C16" w14:textId="77777777" w:rsidR="00DA6E9A" w:rsidRPr="00831D94" w:rsidRDefault="00DA6E9A" w:rsidP="00317745">
      <w:pPr>
        <w:numPr>
          <w:ilvl w:val="0"/>
          <w:numId w:val="23"/>
        </w:numPr>
        <w:ind w:left="426" w:hanging="426"/>
      </w:pPr>
      <w:r w:rsidRPr="00831D94">
        <w:t>Team Players – we cooperate and work together, creating a sense of belonging where trust thrives.</w:t>
      </w:r>
    </w:p>
    <w:p w14:paraId="7F914EFC" w14:textId="77777777" w:rsidR="00DA6E9A" w:rsidRPr="004D5CA8" w:rsidRDefault="00DA6E9A" w:rsidP="00DA6E9A">
      <w:pPr>
        <w:rPr>
          <w:highlight w:val="yellow"/>
        </w:rPr>
      </w:pPr>
    </w:p>
    <w:p w14:paraId="7A667E9A" w14:textId="44AB973E" w:rsidR="00257698" w:rsidRPr="004D5CA8" w:rsidRDefault="00257698" w:rsidP="00DA6E9A">
      <w:pPr>
        <w:rPr>
          <w:highlight w:val="yellow"/>
        </w:rPr>
      </w:pPr>
    </w:p>
    <w:p w14:paraId="7EA99955" w14:textId="11676E5C" w:rsidR="00257698" w:rsidRPr="00E3732C" w:rsidRDefault="00257698" w:rsidP="00257698">
      <w:pPr>
        <w:tabs>
          <w:tab w:val="left" w:pos="4320"/>
        </w:tabs>
      </w:pPr>
      <w:r w:rsidRPr="00E3732C">
        <w:rPr>
          <w:b/>
          <w:bCs/>
        </w:rPr>
        <w:t>Significant Matters Reported in the 202</w:t>
      </w:r>
      <w:r w:rsidR="007D0045" w:rsidRPr="00E3732C">
        <w:rPr>
          <w:b/>
          <w:bCs/>
        </w:rPr>
        <w:t>2</w:t>
      </w:r>
      <w:r w:rsidRPr="00E3732C">
        <w:rPr>
          <w:b/>
          <w:bCs/>
        </w:rPr>
        <w:t>/2</w:t>
      </w:r>
      <w:r w:rsidR="007D0045" w:rsidRPr="00E3732C">
        <w:rPr>
          <w:b/>
          <w:bCs/>
        </w:rPr>
        <w:t>3</w:t>
      </w:r>
      <w:r w:rsidRPr="00E3732C">
        <w:rPr>
          <w:b/>
          <w:bCs/>
        </w:rPr>
        <w:t xml:space="preserve"> Accounts</w:t>
      </w:r>
    </w:p>
    <w:p w14:paraId="4B6C487D" w14:textId="77777777" w:rsidR="00257698" w:rsidRPr="007D0045" w:rsidRDefault="00257698" w:rsidP="00257698">
      <w:pPr>
        <w:tabs>
          <w:tab w:val="left" w:pos="4320"/>
        </w:tabs>
      </w:pPr>
    </w:p>
    <w:p w14:paraId="1727FE69" w14:textId="77777777" w:rsidR="00762FE5" w:rsidRPr="00831D94" w:rsidRDefault="00762FE5" w:rsidP="00762FE5">
      <w:r w:rsidRPr="00831D94">
        <w:t>The aim of our Statement of Accounts is to demonstrate the overall financial performance and position of the Authority at the end of the 2022/23 financial year. The Authority’s accounts for the year ending 31 March 2023 are presented in the format laid down in the Code of Practice on Local Authority Accounting in the United Kingdom 2022/23 (the Code). This format incorporates the requirements of International Financial Reporting Standards (IFRS) wherever this is possible.</w:t>
      </w:r>
    </w:p>
    <w:p w14:paraId="050475CD" w14:textId="77777777" w:rsidR="00762FE5" w:rsidRDefault="00762FE5" w:rsidP="00762FE5"/>
    <w:p w14:paraId="0C1B410E" w14:textId="26F7A1BC" w:rsidR="00762FE5" w:rsidRDefault="00762FE5" w:rsidP="00762FE5">
      <w:r>
        <w:t>The external financial and economic environment for the year has posed a number of challenges to the authority. With inflation running at double digits and interest rates increasing, this has put pressure on Visitors’ income whilst at the same time increasing underlying running costs, with particular pressures around fuel and wages. At the same time, this has impacted positively on the value of the Authority’s assets and interest returns on investments, with bank base rate rising from 0.75% to 4.25%.</w:t>
      </w:r>
    </w:p>
    <w:p w14:paraId="0C9B690A" w14:textId="77777777" w:rsidR="00762FE5" w:rsidRDefault="00762FE5" w:rsidP="00762FE5"/>
    <w:p w14:paraId="41196BE4" w14:textId="065364C5" w:rsidR="00762FE5" w:rsidRDefault="00762FE5" w:rsidP="00762FE5">
      <w:r w:rsidRPr="00831D94">
        <w:t xml:space="preserve">The Department of Environment, Food and Rural Affairs (Defra) sets the level of Government funding for the National Park Authority on an annual basis through National Park Grant. For 2022/23, the level of core funding allocated by Defra resulted in a flat-cash settlement at the same level as funding received in </w:t>
      </w:r>
      <w:r w:rsidR="00516F4C">
        <w:t xml:space="preserve">each year since </w:t>
      </w:r>
      <w:r w:rsidRPr="00831D94">
        <w:t>2019/20 at £5,590k. The Authority also received a one-off top up of £440k in year</w:t>
      </w:r>
      <w:r>
        <w:t xml:space="preserve"> which partly recognised the impact of inflationary cost pressures. </w:t>
      </w:r>
    </w:p>
    <w:p w14:paraId="074CD9B5" w14:textId="77777777" w:rsidR="00762FE5" w:rsidRDefault="00762FE5" w:rsidP="00762FE5"/>
    <w:p w14:paraId="2A4899FF" w14:textId="3A57E376" w:rsidR="00762FE5" w:rsidRPr="00831D94" w:rsidRDefault="00762FE5" w:rsidP="00762FE5">
      <w:r w:rsidRPr="00831D94">
        <w:t>The Authority’s Medium Term Financial Strategy (MTFS) assumes this flat cash level of funding continues without uplift over subsequent years of the strategy. This leaves a significant level of income from other sources required to balance the budget</w:t>
      </w:r>
      <w:r>
        <w:t xml:space="preserve"> with the current inflationary cost pressures adding to the level of real terms reduction in core grant. </w:t>
      </w:r>
    </w:p>
    <w:p w14:paraId="3E4889AE" w14:textId="77777777" w:rsidR="00762FE5" w:rsidRPr="004D5CA8" w:rsidRDefault="00762FE5" w:rsidP="00762FE5">
      <w:pPr>
        <w:rPr>
          <w:highlight w:val="yellow"/>
        </w:rPr>
      </w:pPr>
    </w:p>
    <w:p w14:paraId="31822C2F" w14:textId="77777777" w:rsidR="00762FE5" w:rsidRDefault="00762FE5" w:rsidP="00762FE5">
      <w:r>
        <w:lastRenderedPageBreak/>
        <w:t xml:space="preserve">To address this, the Authority has grown its Visitor Services offer. As well as delivering on the Authority’s statutory objectives this also delivers a level of financial contribution. </w:t>
      </w:r>
      <w:r w:rsidRPr="002B5035">
        <w:t xml:space="preserve">2021/22 saw a strong financial performance  within Visitor Services as the pandemic restrictions lessoned.  This allowed the Authority to establish a separate trading reserve of £500K to provide contingency in the event of adverse trading conditions. </w:t>
      </w:r>
    </w:p>
    <w:p w14:paraId="30BA8C39" w14:textId="77777777" w:rsidR="00762FE5" w:rsidRDefault="00762FE5" w:rsidP="00762FE5"/>
    <w:p w14:paraId="7FD69AF8" w14:textId="7DF0C684" w:rsidR="00762FE5" w:rsidRDefault="00762FE5" w:rsidP="00762FE5">
      <w:r>
        <w:t>The Authority’s Visitor Services are exposed to</w:t>
      </w:r>
      <w:r w:rsidRPr="002B5035">
        <w:t xml:space="preserve"> factors such as </w:t>
      </w:r>
      <w:r w:rsidR="00516F4C">
        <w:t xml:space="preserve">the changing demography of visitors and </w:t>
      </w:r>
      <w:r w:rsidRPr="002B5035">
        <w:t xml:space="preserve">the weather but </w:t>
      </w:r>
      <w:r>
        <w:t>this has been</w:t>
      </w:r>
      <w:r w:rsidRPr="002B5035">
        <w:t xml:space="preserve"> further </w:t>
      </w:r>
      <w:r>
        <w:t>exacerbated by the current economic climate</w:t>
      </w:r>
      <w:r w:rsidRPr="002B5035">
        <w:t>. Largely as a result of</w:t>
      </w:r>
      <w:r>
        <w:t xml:space="preserve"> cost</w:t>
      </w:r>
      <w:r w:rsidRPr="002B5035">
        <w:t xml:space="preserve"> pressures, </w:t>
      </w:r>
      <w:r>
        <w:t>performance during 2022/23 was below the budget expectation and</w:t>
      </w:r>
      <w:r w:rsidRPr="002B5035">
        <w:t xml:space="preserve"> the trading reserve dropped </w:t>
      </w:r>
      <w:r>
        <w:t xml:space="preserve">50% </w:t>
      </w:r>
      <w:r w:rsidRPr="002B5035">
        <w:t>to £250k.</w:t>
      </w:r>
      <w:r>
        <w:t xml:space="preserve"> This reinforces the need for a reserve to protect the General Fund from fluctuations in trading performance. </w:t>
      </w:r>
    </w:p>
    <w:p w14:paraId="57D72C04" w14:textId="77777777" w:rsidR="00762FE5" w:rsidRDefault="00762FE5" w:rsidP="00762FE5"/>
    <w:p w14:paraId="1765EBCE" w14:textId="0D4539D5" w:rsidR="00762FE5" w:rsidRDefault="00762FE5" w:rsidP="00762FE5">
      <w:r>
        <w:t>The General Fund overall closed at £1.57m which is consistent with the assumptions in the MTFS, including the impact of the £440k one off grant top up from DEFRA.</w:t>
      </w:r>
    </w:p>
    <w:p w14:paraId="01E83E89" w14:textId="77777777" w:rsidR="00B978F5" w:rsidRDefault="00B978F5" w:rsidP="00B978F5">
      <w:pPr>
        <w:tabs>
          <w:tab w:val="left" w:pos="4320"/>
        </w:tabs>
        <w:rPr>
          <w:highlight w:val="yellow"/>
        </w:rPr>
      </w:pPr>
    </w:p>
    <w:p w14:paraId="2277D310" w14:textId="77777777" w:rsidR="008D324A" w:rsidRDefault="008D324A" w:rsidP="00B978F5">
      <w:pPr>
        <w:tabs>
          <w:tab w:val="left" w:pos="4320"/>
        </w:tabs>
        <w:rPr>
          <w:b/>
          <w:bCs/>
        </w:rPr>
      </w:pPr>
    </w:p>
    <w:p w14:paraId="62A0BCEF" w14:textId="4FF26E21" w:rsidR="008D324A" w:rsidRPr="008D324A" w:rsidRDefault="008D324A" w:rsidP="00B978F5">
      <w:pPr>
        <w:tabs>
          <w:tab w:val="left" w:pos="4320"/>
        </w:tabs>
        <w:rPr>
          <w:b/>
          <w:bCs/>
        </w:rPr>
      </w:pPr>
      <w:r w:rsidRPr="008D324A">
        <w:rPr>
          <w:b/>
          <w:bCs/>
        </w:rPr>
        <w:t>Other significant items for 2022/23</w:t>
      </w:r>
    </w:p>
    <w:p w14:paraId="13E76B3E" w14:textId="77777777" w:rsidR="008D324A" w:rsidRPr="004D5CA8" w:rsidRDefault="008D324A" w:rsidP="00B978F5">
      <w:pPr>
        <w:tabs>
          <w:tab w:val="left" w:pos="4320"/>
        </w:tabs>
        <w:rPr>
          <w:highlight w:val="yellow"/>
        </w:rPr>
      </w:pPr>
    </w:p>
    <w:p w14:paraId="4AB3F98C" w14:textId="6E1E4EF1" w:rsidR="00810848" w:rsidRPr="00B44B50" w:rsidRDefault="00B44B50" w:rsidP="00B978F5">
      <w:pPr>
        <w:tabs>
          <w:tab w:val="left" w:pos="4320"/>
        </w:tabs>
      </w:pPr>
      <w:r w:rsidRPr="00B44B50">
        <w:t>There</w:t>
      </w:r>
      <w:r w:rsidR="00B978F5" w:rsidRPr="00B44B50">
        <w:t xml:space="preserve"> was significant revenue</w:t>
      </w:r>
      <w:r w:rsidRPr="00B44B50">
        <w:t xml:space="preserve"> in year</w:t>
      </w:r>
      <w:r w:rsidR="00B978F5" w:rsidRPr="00B44B50">
        <w:t xml:space="preserve"> relating to Farming in Protected Landscapes (</w:t>
      </w:r>
      <w:proofErr w:type="spellStart"/>
      <w:r w:rsidR="00B978F5" w:rsidRPr="00B44B50">
        <w:t>FiPL</w:t>
      </w:r>
      <w:proofErr w:type="spellEnd"/>
      <w:r w:rsidR="00B978F5" w:rsidRPr="00B44B50">
        <w:t xml:space="preserve">). The Farming in Protected Landscapes programme is a part of Defra’s Agricultural Transition Plan. It offers funding to farmers and land managers in Areas of Outstanding Natural Beauty (AONB), National Parks and the Broads. </w:t>
      </w:r>
    </w:p>
    <w:p w14:paraId="29A282FB" w14:textId="77777777" w:rsidR="00810848" w:rsidRPr="004D5CA8" w:rsidRDefault="00810848" w:rsidP="00B978F5">
      <w:pPr>
        <w:tabs>
          <w:tab w:val="left" w:pos="4320"/>
        </w:tabs>
        <w:rPr>
          <w:highlight w:val="yellow"/>
        </w:rPr>
      </w:pPr>
    </w:p>
    <w:p w14:paraId="45B3B52F" w14:textId="1BE48A83" w:rsidR="00B978F5" w:rsidRPr="008D324A" w:rsidRDefault="00B978F5" w:rsidP="00B978F5">
      <w:pPr>
        <w:tabs>
          <w:tab w:val="left" w:pos="4320"/>
        </w:tabs>
      </w:pPr>
      <w:r w:rsidRPr="008D324A">
        <w:t>The programme will fund projects that:</w:t>
      </w:r>
    </w:p>
    <w:p w14:paraId="1A3A9463" w14:textId="77777777" w:rsidR="00B978F5" w:rsidRPr="008D324A" w:rsidRDefault="00B978F5" w:rsidP="00B978F5">
      <w:pPr>
        <w:tabs>
          <w:tab w:val="left" w:pos="4320"/>
        </w:tabs>
      </w:pPr>
    </w:p>
    <w:p w14:paraId="545B48F2" w14:textId="77777777" w:rsidR="00B978F5" w:rsidRPr="008D324A" w:rsidRDefault="00B978F5" w:rsidP="00317745">
      <w:pPr>
        <w:pStyle w:val="ListParagraph"/>
        <w:numPr>
          <w:ilvl w:val="0"/>
          <w:numId w:val="38"/>
        </w:numPr>
        <w:tabs>
          <w:tab w:val="left" w:pos="4320"/>
        </w:tabs>
        <w:rPr>
          <w:u w:val="none"/>
        </w:rPr>
      </w:pPr>
      <w:r w:rsidRPr="008D324A">
        <w:rPr>
          <w:u w:val="none"/>
        </w:rPr>
        <w:t>support nature recovery</w:t>
      </w:r>
    </w:p>
    <w:p w14:paraId="4D0A417B" w14:textId="77777777" w:rsidR="00B978F5" w:rsidRPr="008D324A" w:rsidRDefault="00B978F5" w:rsidP="00317745">
      <w:pPr>
        <w:pStyle w:val="ListParagraph"/>
        <w:numPr>
          <w:ilvl w:val="0"/>
          <w:numId w:val="38"/>
        </w:numPr>
        <w:tabs>
          <w:tab w:val="left" w:pos="4320"/>
        </w:tabs>
        <w:rPr>
          <w:u w:val="none"/>
        </w:rPr>
      </w:pPr>
      <w:r w:rsidRPr="008D324A">
        <w:rPr>
          <w:u w:val="none"/>
        </w:rPr>
        <w:t>mitigate the impacts of climate change</w:t>
      </w:r>
    </w:p>
    <w:p w14:paraId="1D7EF629" w14:textId="77777777" w:rsidR="00B978F5" w:rsidRPr="008D324A" w:rsidRDefault="00B978F5" w:rsidP="00317745">
      <w:pPr>
        <w:pStyle w:val="ListParagraph"/>
        <w:numPr>
          <w:ilvl w:val="0"/>
          <w:numId w:val="38"/>
        </w:numPr>
        <w:tabs>
          <w:tab w:val="left" w:pos="4320"/>
        </w:tabs>
        <w:rPr>
          <w:u w:val="none"/>
        </w:rPr>
      </w:pPr>
      <w:r w:rsidRPr="008D324A">
        <w:rPr>
          <w:u w:val="none"/>
        </w:rPr>
        <w:t>provide opportunities for people to discover, enjoy and understand the landscape and its cultural heritage</w:t>
      </w:r>
    </w:p>
    <w:p w14:paraId="2AB63AA5" w14:textId="77777777" w:rsidR="00B978F5" w:rsidRPr="008D324A" w:rsidRDefault="00B978F5" w:rsidP="00317745">
      <w:pPr>
        <w:pStyle w:val="ListParagraph"/>
        <w:numPr>
          <w:ilvl w:val="0"/>
          <w:numId w:val="38"/>
        </w:numPr>
        <w:tabs>
          <w:tab w:val="left" w:pos="4320"/>
        </w:tabs>
        <w:rPr>
          <w:u w:val="none"/>
        </w:rPr>
      </w:pPr>
      <w:r w:rsidRPr="008D324A">
        <w:rPr>
          <w:u w:val="none"/>
        </w:rPr>
        <w:t>protect or improve the quality and character of the landscape or place</w:t>
      </w:r>
    </w:p>
    <w:p w14:paraId="2BF484D0" w14:textId="77777777" w:rsidR="00B978F5" w:rsidRPr="004D5CA8" w:rsidRDefault="00B978F5" w:rsidP="00B978F5">
      <w:pPr>
        <w:tabs>
          <w:tab w:val="left" w:pos="4320"/>
        </w:tabs>
        <w:rPr>
          <w:highlight w:val="yellow"/>
        </w:rPr>
      </w:pPr>
    </w:p>
    <w:p w14:paraId="7355E26E" w14:textId="3AF614EC" w:rsidR="00257698" w:rsidRPr="004D5CA8" w:rsidRDefault="00B978F5" w:rsidP="00257698">
      <w:pPr>
        <w:tabs>
          <w:tab w:val="left" w:pos="4320"/>
        </w:tabs>
        <w:rPr>
          <w:highlight w:val="yellow"/>
        </w:rPr>
      </w:pPr>
      <w:r w:rsidRPr="008D324A">
        <w:t>During 2021/22, there was £6</w:t>
      </w:r>
      <w:r w:rsidR="00D96F9B" w:rsidRPr="008D324A">
        <w:t>73</w:t>
      </w:r>
      <w:r w:rsidRPr="008D324A">
        <w:t xml:space="preserve">k of </w:t>
      </w:r>
      <w:proofErr w:type="spellStart"/>
      <w:r w:rsidRPr="008D324A">
        <w:t>FiPL</w:t>
      </w:r>
      <w:proofErr w:type="spellEnd"/>
      <w:r w:rsidRPr="008D324A">
        <w:t xml:space="preserve"> grant recognised</w:t>
      </w:r>
      <w:r w:rsidR="007D0045" w:rsidRPr="008D324A">
        <w:t>, this increased to</w:t>
      </w:r>
      <w:r w:rsidR="008D324A" w:rsidRPr="008D324A">
        <w:t xml:space="preserve"> £1.4m</w:t>
      </w:r>
      <w:r w:rsidR="008D324A">
        <w:t xml:space="preserve"> for 2022/23 in</w:t>
      </w:r>
      <w:r w:rsidR="00B43A8B">
        <w:t>c</w:t>
      </w:r>
      <w:r w:rsidR="008D324A">
        <w:t>luding both payments to third parties and direct funding of LDNPA schemes.</w:t>
      </w:r>
    </w:p>
    <w:p w14:paraId="130B5D8B" w14:textId="77777777" w:rsidR="00B978F5" w:rsidRPr="004D5CA8" w:rsidRDefault="00B978F5" w:rsidP="00B978F5">
      <w:pPr>
        <w:tabs>
          <w:tab w:val="left" w:pos="4320"/>
        </w:tabs>
        <w:rPr>
          <w:highlight w:val="yellow"/>
        </w:rPr>
      </w:pPr>
    </w:p>
    <w:p w14:paraId="361062E1" w14:textId="44C8709A" w:rsidR="00B978F5" w:rsidRPr="00B44B50" w:rsidRDefault="00B978F5" w:rsidP="00B978F5">
      <w:pPr>
        <w:tabs>
          <w:tab w:val="left" w:pos="4320"/>
        </w:tabs>
      </w:pPr>
      <w:r w:rsidRPr="000B43DC">
        <w:t>Overall Net Assets held by the Authority increased by £</w:t>
      </w:r>
      <w:r w:rsidR="00B44B50" w:rsidRPr="000B43DC">
        <w:t>23,</w:t>
      </w:r>
      <w:r w:rsidR="000B43DC" w:rsidRPr="000B43DC">
        <w:t>804</w:t>
      </w:r>
      <w:r w:rsidR="00B44B50" w:rsidRPr="000B43DC">
        <w:t>k</w:t>
      </w:r>
      <w:r w:rsidRPr="000B43DC">
        <w:t xml:space="preserve"> from £</w:t>
      </w:r>
      <w:r w:rsidR="00B44B50" w:rsidRPr="000B43DC">
        <w:t>21,331k</w:t>
      </w:r>
      <w:r w:rsidRPr="000B43DC">
        <w:t xml:space="preserve"> in 202</w:t>
      </w:r>
      <w:r w:rsidR="00B44B50" w:rsidRPr="000B43DC">
        <w:t>1</w:t>
      </w:r>
      <w:r w:rsidRPr="000B43DC">
        <w:t>/2</w:t>
      </w:r>
      <w:r w:rsidR="00B44B50" w:rsidRPr="000B43DC">
        <w:t>2</w:t>
      </w:r>
      <w:r w:rsidRPr="000B43DC">
        <w:t xml:space="preserve"> to £</w:t>
      </w:r>
      <w:r w:rsidR="00B44B50" w:rsidRPr="000B43DC">
        <w:t>4</w:t>
      </w:r>
      <w:r w:rsidR="000B43DC" w:rsidRPr="000B43DC">
        <w:t>5,135</w:t>
      </w:r>
      <w:r w:rsidR="00B44B50" w:rsidRPr="000B43DC">
        <w:t>k</w:t>
      </w:r>
      <w:r w:rsidRPr="000B43DC">
        <w:t xml:space="preserve">. This </w:t>
      </w:r>
      <w:r w:rsidR="00B43A8B" w:rsidRPr="000B43DC">
        <w:t>largely relates to a</w:t>
      </w:r>
      <w:r w:rsidRPr="000B43DC">
        <w:t xml:space="preserve"> significant reduction to the net defined benefit pension liability</w:t>
      </w:r>
      <w:r w:rsidR="00B44B50" w:rsidRPr="000B43DC">
        <w:t xml:space="preserve"> which</w:t>
      </w:r>
      <w:r w:rsidR="00B44B50" w:rsidRPr="00B44B50">
        <w:t xml:space="preserve"> now stands at a £4.8m asset</w:t>
      </w:r>
      <w:r w:rsidR="00B43A8B">
        <w:t xml:space="preserve"> from a £17.4m liability at last year end</w:t>
      </w:r>
      <w:r w:rsidRPr="00B44B50">
        <w:t xml:space="preserve">. </w:t>
      </w:r>
      <w:r w:rsidR="00B44B50">
        <w:t>The defined benefit pension asset is valued by expert actuaries and the impact of the increased value is limited through statutory adjustments to the accounts. This means that there is no impact on the Authority’s usable reserves</w:t>
      </w:r>
      <w:r w:rsidR="008D324A">
        <w:t xml:space="preserve"> as a result of movements in the net asset. The positive movement in fund value indicates that there is potential for reduced future contribution rates. However, this will not be confirmed until the next full valuation which is due in 2025.</w:t>
      </w:r>
    </w:p>
    <w:p w14:paraId="2DAE3339" w14:textId="77777777" w:rsidR="00B978F5" w:rsidRPr="004D5CA8" w:rsidRDefault="00B978F5" w:rsidP="00B978F5">
      <w:pPr>
        <w:tabs>
          <w:tab w:val="left" w:pos="4320"/>
        </w:tabs>
        <w:rPr>
          <w:highlight w:val="yellow"/>
        </w:rPr>
      </w:pPr>
    </w:p>
    <w:p w14:paraId="0EEFD140" w14:textId="73B00F4D" w:rsidR="00B978F5" w:rsidRPr="00B44B50" w:rsidRDefault="00B978F5" w:rsidP="00B978F5">
      <w:pPr>
        <w:tabs>
          <w:tab w:val="left" w:pos="4320"/>
        </w:tabs>
      </w:pPr>
      <w:r w:rsidRPr="00B44B50">
        <w:t>Total capital expenditure for 202</w:t>
      </w:r>
      <w:r w:rsidR="00B44B50" w:rsidRPr="00B44B50">
        <w:t>2</w:t>
      </w:r>
      <w:r w:rsidRPr="00B44B50">
        <w:t>/2</w:t>
      </w:r>
      <w:r w:rsidR="00B44B50" w:rsidRPr="00B44B50">
        <w:t>3</w:t>
      </w:r>
      <w:r w:rsidRPr="00B44B50">
        <w:t xml:space="preserve"> was £1.</w:t>
      </w:r>
      <w:r w:rsidR="00B44B50" w:rsidRPr="00B44B50">
        <w:t>9</w:t>
      </w:r>
      <w:r w:rsidRPr="00B44B50">
        <w:t>m (£</w:t>
      </w:r>
      <w:r w:rsidR="00B44B50" w:rsidRPr="00B44B50">
        <w:t>1.1</w:t>
      </w:r>
      <w:r w:rsidRPr="00B44B50">
        <w:t>m for 202</w:t>
      </w:r>
      <w:r w:rsidR="00B44B50" w:rsidRPr="00B44B50">
        <w:t>1</w:t>
      </w:r>
      <w:r w:rsidRPr="00B44B50">
        <w:t>/2</w:t>
      </w:r>
      <w:r w:rsidR="00B44B50" w:rsidRPr="00B44B50">
        <w:t>2</w:t>
      </w:r>
      <w:r w:rsidRPr="00B44B50">
        <w:t>). The spend in year in was spread across a range of projects (</w:t>
      </w:r>
      <w:r w:rsidR="00A01E56" w:rsidRPr="00B44B50">
        <w:t>see capital investment section below and note 20</w:t>
      </w:r>
      <w:r w:rsidRPr="00B44B50">
        <w:t>)</w:t>
      </w:r>
      <w:r w:rsidR="00B44B50" w:rsidRPr="00B44B50">
        <w:t xml:space="preserve"> with the single largest element (£1.3m) on the </w:t>
      </w:r>
      <w:r w:rsidR="00516F4C">
        <w:t>West Windermere Way</w:t>
      </w:r>
      <w:r w:rsidR="00B44B50" w:rsidRPr="00B44B50">
        <w:t xml:space="preserve">. This is a largely grant funded </w:t>
      </w:r>
      <w:r w:rsidR="00516F4C">
        <w:t xml:space="preserve">project </w:t>
      </w:r>
      <w:r w:rsidR="00B44B50" w:rsidRPr="00B44B50">
        <w:t>which is enhancing existing rights of way and adding new sections to make a coherent route around the South-West area of Windermere. The scheme is due to complete in June 2023.</w:t>
      </w:r>
    </w:p>
    <w:p w14:paraId="150293D2" w14:textId="1EEDA4F7" w:rsidR="00B978F5" w:rsidRPr="004D5CA8" w:rsidRDefault="00B978F5" w:rsidP="00B978F5">
      <w:pPr>
        <w:tabs>
          <w:tab w:val="left" w:pos="4320"/>
        </w:tabs>
        <w:rPr>
          <w:highlight w:val="yellow"/>
        </w:rPr>
      </w:pPr>
    </w:p>
    <w:p w14:paraId="77018EF1" w14:textId="05906F8E" w:rsidR="00B978F5" w:rsidRPr="008D324A" w:rsidRDefault="00B44B50" w:rsidP="00B978F5">
      <w:r w:rsidRPr="008D324A">
        <w:t>During the year, the Authority sold Woodend Farm generating a net capital receipt of £1.4m. Part of this was used to fund the 2022/23 capital programme with £1.2</w:t>
      </w:r>
      <w:r w:rsidR="008D324A" w:rsidRPr="008D324A">
        <w:t>8m remaining for future use.</w:t>
      </w:r>
      <w:r w:rsidR="00B978F5" w:rsidRPr="008D324A">
        <w:t xml:space="preserve"> The Authority currently remains debt free but may decide to undertake prudential borrowing to finance capital expenditure in future.</w:t>
      </w:r>
    </w:p>
    <w:p w14:paraId="60E2B15B" w14:textId="77777777" w:rsidR="004F3100" w:rsidRPr="00B43A8B" w:rsidRDefault="004F3100" w:rsidP="004F3100">
      <w:r w:rsidRPr="00B43A8B">
        <w:rPr>
          <w:b/>
        </w:rPr>
        <w:lastRenderedPageBreak/>
        <w:t>Application of Funds</w:t>
      </w:r>
    </w:p>
    <w:p w14:paraId="73BAE5FE" w14:textId="77777777" w:rsidR="004F3100" w:rsidRPr="0025666B" w:rsidRDefault="004F3100" w:rsidP="004F3100"/>
    <w:p w14:paraId="64163DBA" w14:textId="039501D2" w:rsidR="004F3100" w:rsidRPr="0025666B" w:rsidRDefault="004F3100" w:rsidP="004F3100">
      <w:r w:rsidRPr="0025666B">
        <w:t xml:space="preserve">The Authority translates the total resources available into an annual budget, managed by service areas, across </w:t>
      </w:r>
      <w:r w:rsidRPr="00BC63DA">
        <w:t>which 19</w:t>
      </w:r>
      <w:r w:rsidR="00BC63DA" w:rsidRPr="00BC63DA">
        <w:t>0</w:t>
      </w:r>
      <w:r w:rsidRPr="00BC63DA">
        <w:t xml:space="preserve"> FTE staff are employed.</w:t>
      </w:r>
      <w:r w:rsidRPr="0025666B">
        <w:t xml:space="preserve"> The following table shows how these resources were spent during 202</w:t>
      </w:r>
      <w:r w:rsidR="0025666B" w:rsidRPr="0025666B">
        <w:t>2</w:t>
      </w:r>
      <w:r w:rsidRPr="0025666B">
        <w:t>/2</w:t>
      </w:r>
      <w:r w:rsidR="0025666B" w:rsidRPr="0025666B">
        <w:t>3</w:t>
      </w:r>
      <w:r w:rsidRPr="0025666B">
        <w:t xml:space="preserve"> compared to their respective budgets. The actual spending in the table below summarises all revenue income and expenditure.</w:t>
      </w:r>
    </w:p>
    <w:p w14:paraId="1E5D772F" w14:textId="77777777" w:rsidR="0025666B" w:rsidRDefault="0025666B" w:rsidP="004F3100">
      <w:pPr>
        <w:rPr>
          <w:highlight w:val="yellow"/>
        </w:rPr>
      </w:pPr>
    </w:p>
    <w:tbl>
      <w:tblPr>
        <w:tblW w:w="8779" w:type="dxa"/>
        <w:jc w:val="center"/>
        <w:tblLook w:val="04A0" w:firstRow="1" w:lastRow="0" w:firstColumn="1" w:lastColumn="0" w:noHBand="0" w:noVBand="1"/>
      </w:tblPr>
      <w:tblGrid>
        <w:gridCol w:w="5103"/>
        <w:gridCol w:w="1340"/>
        <w:gridCol w:w="1202"/>
        <w:gridCol w:w="1134"/>
      </w:tblGrid>
      <w:tr w:rsidR="007D47BB" w:rsidRPr="007D47BB" w14:paraId="006C6866" w14:textId="77777777" w:rsidTr="007D47BB">
        <w:trPr>
          <w:trHeight w:val="290"/>
          <w:jc w:val="center"/>
        </w:trPr>
        <w:tc>
          <w:tcPr>
            <w:tcW w:w="5103" w:type="dxa"/>
            <w:tcBorders>
              <w:top w:val="single" w:sz="8" w:space="0" w:color="auto"/>
              <w:left w:val="single" w:sz="8" w:space="0" w:color="auto"/>
              <w:bottom w:val="nil"/>
              <w:right w:val="single" w:sz="4" w:space="0" w:color="auto"/>
            </w:tcBorders>
            <w:shd w:val="clear" w:color="000000" w:fill="000000"/>
            <w:noWrap/>
            <w:vAlign w:val="center"/>
            <w:hideMark/>
          </w:tcPr>
          <w:p w14:paraId="5000CF06"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 </w:t>
            </w:r>
          </w:p>
        </w:tc>
        <w:tc>
          <w:tcPr>
            <w:tcW w:w="1340" w:type="dxa"/>
            <w:tcBorders>
              <w:top w:val="single" w:sz="4" w:space="0" w:color="auto"/>
              <w:left w:val="single" w:sz="4" w:space="0" w:color="auto"/>
              <w:bottom w:val="nil"/>
              <w:right w:val="single" w:sz="4" w:space="0" w:color="auto"/>
            </w:tcBorders>
            <w:shd w:val="clear" w:color="000000" w:fill="000000"/>
            <w:vAlign w:val="center"/>
            <w:hideMark/>
          </w:tcPr>
          <w:p w14:paraId="4A12FB09" w14:textId="77777777" w:rsidR="007D47BB" w:rsidRPr="007D47BB" w:rsidRDefault="007D47BB" w:rsidP="007D47BB">
            <w:pPr>
              <w:jc w:val="center"/>
              <w:rPr>
                <w:rFonts w:cs="Arial"/>
                <w:b/>
                <w:bCs/>
                <w:color w:val="FFFFFF"/>
                <w:sz w:val="20"/>
                <w:szCs w:val="20"/>
                <w:lang w:eastAsia="en-GB"/>
              </w:rPr>
            </w:pPr>
            <w:r w:rsidRPr="007D47BB">
              <w:rPr>
                <w:rFonts w:cs="Arial"/>
                <w:b/>
                <w:bCs/>
                <w:color w:val="FFFFFF"/>
                <w:sz w:val="20"/>
                <w:szCs w:val="20"/>
                <w:lang w:eastAsia="en-GB"/>
              </w:rPr>
              <w:t>Net Exp</w:t>
            </w:r>
          </w:p>
        </w:tc>
        <w:tc>
          <w:tcPr>
            <w:tcW w:w="1202" w:type="dxa"/>
            <w:tcBorders>
              <w:top w:val="single" w:sz="8" w:space="0" w:color="auto"/>
              <w:left w:val="single" w:sz="4" w:space="0" w:color="auto"/>
              <w:bottom w:val="nil"/>
              <w:right w:val="single" w:sz="8" w:space="0" w:color="auto"/>
            </w:tcBorders>
            <w:shd w:val="clear" w:color="000000" w:fill="000000"/>
            <w:vAlign w:val="center"/>
            <w:hideMark/>
          </w:tcPr>
          <w:p w14:paraId="55356AA6" w14:textId="77777777" w:rsidR="007D47BB" w:rsidRPr="007D47BB" w:rsidRDefault="007D47BB" w:rsidP="007D47BB">
            <w:pPr>
              <w:jc w:val="center"/>
              <w:rPr>
                <w:rFonts w:cs="Arial"/>
                <w:b/>
                <w:bCs/>
                <w:color w:val="FFFFFF"/>
                <w:sz w:val="20"/>
                <w:szCs w:val="20"/>
                <w:lang w:eastAsia="en-GB"/>
              </w:rPr>
            </w:pPr>
            <w:r w:rsidRPr="007D47BB">
              <w:rPr>
                <w:rFonts w:cs="Arial"/>
                <w:b/>
                <w:bCs/>
                <w:color w:val="FFFFFF"/>
                <w:sz w:val="20"/>
                <w:szCs w:val="20"/>
                <w:lang w:eastAsia="en-GB"/>
              </w:rPr>
              <w:t>Net budget</w:t>
            </w:r>
          </w:p>
        </w:tc>
        <w:tc>
          <w:tcPr>
            <w:tcW w:w="1134" w:type="dxa"/>
            <w:tcBorders>
              <w:top w:val="single" w:sz="8" w:space="0" w:color="auto"/>
              <w:left w:val="nil"/>
              <w:bottom w:val="nil"/>
              <w:right w:val="single" w:sz="8" w:space="0" w:color="auto"/>
            </w:tcBorders>
            <w:shd w:val="clear" w:color="000000" w:fill="000000"/>
            <w:vAlign w:val="center"/>
            <w:hideMark/>
          </w:tcPr>
          <w:p w14:paraId="7D494F19" w14:textId="77777777" w:rsidR="007D47BB" w:rsidRPr="007D47BB" w:rsidRDefault="007D47BB" w:rsidP="007D47BB">
            <w:pPr>
              <w:jc w:val="center"/>
              <w:rPr>
                <w:rFonts w:cs="Arial"/>
                <w:b/>
                <w:bCs/>
                <w:color w:val="FFFFFF"/>
                <w:sz w:val="20"/>
                <w:szCs w:val="20"/>
                <w:lang w:eastAsia="en-GB"/>
              </w:rPr>
            </w:pPr>
            <w:r w:rsidRPr="007D47BB">
              <w:rPr>
                <w:rFonts w:cs="Arial"/>
                <w:b/>
                <w:bCs/>
                <w:color w:val="FFFFFF"/>
                <w:sz w:val="20"/>
                <w:szCs w:val="20"/>
                <w:lang w:eastAsia="en-GB"/>
              </w:rPr>
              <w:t>Variance</w:t>
            </w:r>
          </w:p>
        </w:tc>
      </w:tr>
      <w:tr w:rsidR="007D47BB" w:rsidRPr="007D47BB" w14:paraId="3648FF94" w14:textId="77777777" w:rsidTr="007D47BB">
        <w:trPr>
          <w:trHeight w:val="290"/>
          <w:jc w:val="center"/>
        </w:trPr>
        <w:tc>
          <w:tcPr>
            <w:tcW w:w="5103" w:type="dxa"/>
            <w:tcBorders>
              <w:top w:val="nil"/>
              <w:left w:val="single" w:sz="8" w:space="0" w:color="auto"/>
              <w:bottom w:val="nil"/>
              <w:right w:val="single" w:sz="4" w:space="0" w:color="auto"/>
            </w:tcBorders>
            <w:shd w:val="clear" w:color="000000" w:fill="000000"/>
            <w:noWrap/>
            <w:vAlign w:val="center"/>
            <w:hideMark/>
          </w:tcPr>
          <w:p w14:paraId="59EDBD56"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 </w:t>
            </w:r>
          </w:p>
        </w:tc>
        <w:tc>
          <w:tcPr>
            <w:tcW w:w="1340" w:type="dxa"/>
            <w:tcBorders>
              <w:top w:val="nil"/>
              <w:left w:val="single" w:sz="4" w:space="0" w:color="auto"/>
              <w:bottom w:val="nil"/>
              <w:right w:val="single" w:sz="4" w:space="0" w:color="auto"/>
            </w:tcBorders>
            <w:shd w:val="clear" w:color="000000" w:fill="000000"/>
            <w:noWrap/>
            <w:vAlign w:val="center"/>
            <w:hideMark/>
          </w:tcPr>
          <w:p w14:paraId="1085737F" w14:textId="77777777" w:rsidR="007D47BB" w:rsidRPr="007D47BB" w:rsidRDefault="007D47BB" w:rsidP="007D47BB">
            <w:pPr>
              <w:jc w:val="center"/>
              <w:rPr>
                <w:rFonts w:cs="Arial"/>
                <w:b/>
                <w:bCs/>
                <w:color w:val="FFFFFF"/>
                <w:sz w:val="20"/>
                <w:szCs w:val="20"/>
                <w:lang w:eastAsia="en-GB"/>
              </w:rPr>
            </w:pPr>
            <w:r w:rsidRPr="007D47BB">
              <w:rPr>
                <w:rFonts w:cs="Arial"/>
                <w:b/>
                <w:bCs/>
                <w:color w:val="FFFFFF"/>
                <w:sz w:val="20"/>
                <w:szCs w:val="20"/>
                <w:lang w:eastAsia="en-GB"/>
              </w:rPr>
              <w:t>£000</w:t>
            </w:r>
          </w:p>
        </w:tc>
        <w:tc>
          <w:tcPr>
            <w:tcW w:w="1202" w:type="dxa"/>
            <w:tcBorders>
              <w:top w:val="nil"/>
              <w:left w:val="single" w:sz="4" w:space="0" w:color="auto"/>
              <w:bottom w:val="nil"/>
              <w:right w:val="single" w:sz="8" w:space="0" w:color="auto"/>
            </w:tcBorders>
            <w:shd w:val="clear" w:color="000000" w:fill="000000"/>
            <w:noWrap/>
            <w:vAlign w:val="center"/>
            <w:hideMark/>
          </w:tcPr>
          <w:p w14:paraId="6AAC999D" w14:textId="77777777" w:rsidR="007D47BB" w:rsidRPr="007D47BB" w:rsidRDefault="007D47BB" w:rsidP="007D47BB">
            <w:pPr>
              <w:jc w:val="center"/>
              <w:rPr>
                <w:rFonts w:cs="Arial"/>
                <w:b/>
                <w:bCs/>
                <w:color w:val="FFFFFF"/>
                <w:sz w:val="20"/>
                <w:szCs w:val="20"/>
                <w:lang w:eastAsia="en-GB"/>
              </w:rPr>
            </w:pPr>
            <w:r w:rsidRPr="007D47BB">
              <w:rPr>
                <w:rFonts w:cs="Arial"/>
                <w:b/>
                <w:bCs/>
                <w:color w:val="FFFFFF"/>
                <w:sz w:val="20"/>
                <w:szCs w:val="20"/>
                <w:lang w:eastAsia="en-GB"/>
              </w:rPr>
              <w:t>£000</w:t>
            </w:r>
          </w:p>
        </w:tc>
        <w:tc>
          <w:tcPr>
            <w:tcW w:w="1134" w:type="dxa"/>
            <w:tcBorders>
              <w:top w:val="nil"/>
              <w:left w:val="nil"/>
              <w:bottom w:val="nil"/>
              <w:right w:val="single" w:sz="8" w:space="0" w:color="auto"/>
            </w:tcBorders>
            <w:shd w:val="clear" w:color="000000" w:fill="000000"/>
            <w:noWrap/>
            <w:vAlign w:val="center"/>
            <w:hideMark/>
          </w:tcPr>
          <w:p w14:paraId="7A8E0B00" w14:textId="77777777" w:rsidR="007D47BB" w:rsidRPr="007D47BB" w:rsidRDefault="007D47BB" w:rsidP="007D47BB">
            <w:pPr>
              <w:jc w:val="center"/>
              <w:rPr>
                <w:rFonts w:cs="Arial"/>
                <w:b/>
                <w:bCs/>
                <w:color w:val="FFFFFF"/>
                <w:sz w:val="20"/>
                <w:szCs w:val="20"/>
                <w:lang w:eastAsia="en-GB"/>
              </w:rPr>
            </w:pPr>
            <w:r w:rsidRPr="007D47BB">
              <w:rPr>
                <w:rFonts w:cs="Arial"/>
                <w:b/>
                <w:bCs/>
                <w:color w:val="FFFFFF"/>
                <w:sz w:val="20"/>
                <w:szCs w:val="20"/>
                <w:lang w:eastAsia="en-GB"/>
              </w:rPr>
              <w:t>£000</w:t>
            </w:r>
          </w:p>
        </w:tc>
      </w:tr>
      <w:tr w:rsidR="007D47BB" w:rsidRPr="007D47BB" w14:paraId="4DB4968C" w14:textId="77777777" w:rsidTr="007D47BB">
        <w:trPr>
          <w:trHeight w:val="290"/>
          <w:jc w:val="center"/>
        </w:trPr>
        <w:tc>
          <w:tcPr>
            <w:tcW w:w="5103" w:type="dxa"/>
            <w:tcBorders>
              <w:top w:val="nil"/>
              <w:left w:val="single" w:sz="8" w:space="0" w:color="auto"/>
              <w:bottom w:val="nil"/>
              <w:right w:val="single" w:sz="4" w:space="0" w:color="auto"/>
            </w:tcBorders>
            <w:shd w:val="clear" w:color="000000" w:fill="FFFFFF"/>
            <w:noWrap/>
            <w:vAlign w:val="center"/>
            <w:hideMark/>
          </w:tcPr>
          <w:p w14:paraId="29819EEB"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 </w:t>
            </w:r>
          </w:p>
        </w:tc>
        <w:tc>
          <w:tcPr>
            <w:tcW w:w="1340" w:type="dxa"/>
            <w:tcBorders>
              <w:top w:val="nil"/>
              <w:left w:val="single" w:sz="4" w:space="0" w:color="auto"/>
              <w:bottom w:val="nil"/>
              <w:right w:val="single" w:sz="4" w:space="0" w:color="auto"/>
            </w:tcBorders>
            <w:shd w:val="clear" w:color="000000" w:fill="FFFFFF"/>
            <w:noWrap/>
            <w:vAlign w:val="center"/>
            <w:hideMark/>
          </w:tcPr>
          <w:p w14:paraId="6CBA6227" w14:textId="77777777" w:rsidR="007D47BB" w:rsidRPr="007D47BB" w:rsidRDefault="007D47BB" w:rsidP="007D47BB">
            <w:pPr>
              <w:jc w:val="center"/>
              <w:rPr>
                <w:rFonts w:cs="Arial"/>
                <w:b/>
                <w:bCs/>
                <w:color w:val="FFFFFF"/>
                <w:sz w:val="20"/>
                <w:szCs w:val="20"/>
                <w:lang w:eastAsia="en-GB"/>
              </w:rPr>
            </w:pPr>
            <w:r w:rsidRPr="007D47BB">
              <w:rPr>
                <w:rFonts w:cs="Arial"/>
                <w:b/>
                <w:bCs/>
                <w:color w:val="FFFFFF"/>
                <w:sz w:val="20"/>
                <w:szCs w:val="20"/>
                <w:lang w:eastAsia="en-GB"/>
              </w:rPr>
              <w:t> </w:t>
            </w:r>
          </w:p>
        </w:tc>
        <w:tc>
          <w:tcPr>
            <w:tcW w:w="1202" w:type="dxa"/>
            <w:tcBorders>
              <w:top w:val="nil"/>
              <w:left w:val="single" w:sz="4" w:space="0" w:color="auto"/>
              <w:bottom w:val="nil"/>
              <w:right w:val="single" w:sz="8" w:space="0" w:color="auto"/>
            </w:tcBorders>
            <w:shd w:val="clear" w:color="000000" w:fill="FFFFFF"/>
            <w:noWrap/>
            <w:vAlign w:val="center"/>
            <w:hideMark/>
          </w:tcPr>
          <w:p w14:paraId="455468A1" w14:textId="77777777" w:rsidR="007D47BB" w:rsidRPr="007D47BB" w:rsidRDefault="007D47BB" w:rsidP="007D47BB">
            <w:pPr>
              <w:jc w:val="center"/>
              <w:rPr>
                <w:rFonts w:cs="Arial"/>
                <w:b/>
                <w:bCs/>
                <w:color w:val="FFFFFF"/>
                <w:sz w:val="20"/>
                <w:szCs w:val="20"/>
                <w:lang w:eastAsia="en-GB"/>
              </w:rPr>
            </w:pPr>
            <w:r w:rsidRPr="007D47BB">
              <w:rPr>
                <w:rFonts w:cs="Arial"/>
                <w:b/>
                <w:bCs/>
                <w:color w:val="FFFFFF"/>
                <w:sz w:val="20"/>
                <w:szCs w:val="20"/>
                <w:lang w:eastAsia="en-GB"/>
              </w:rPr>
              <w:t> </w:t>
            </w:r>
          </w:p>
        </w:tc>
        <w:tc>
          <w:tcPr>
            <w:tcW w:w="1134" w:type="dxa"/>
            <w:tcBorders>
              <w:top w:val="nil"/>
              <w:left w:val="nil"/>
              <w:bottom w:val="nil"/>
              <w:right w:val="single" w:sz="8" w:space="0" w:color="auto"/>
            </w:tcBorders>
            <w:shd w:val="clear" w:color="000000" w:fill="FFFFFF"/>
            <w:noWrap/>
            <w:vAlign w:val="center"/>
            <w:hideMark/>
          </w:tcPr>
          <w:p w14:paraId="523EC912" w14:textId="77777777" w:rsidR="007D47BB" w:rsidRPr="007D47BB" w:rsidRDefault="007D47BB" w:rsidP="007D47BB">
            <w:pPr>
              <w:jc w:val="center"/>
              <w:rPr>
                <w:rFonts w:cs="Arial"/>
                <w:b/>
                <w:bCs/>
                <w:color w:val="FFFFFF"/>
                <w:sz w:val="20"/>
                <w:szCs w:val="20"/>
                <w:lang w:eastAsia="en-GB"/>
              </w:rPr>
            </w:pPr>
            <w:r w:rsidRPr="007D47BB">
              <w:rPr>
                <w:rFonts w:cs="Arial"/>
                <w:b/>
                <w:bCs/>
                <w:color w:val="FFFFFF"/>
                <w:sz w:val="20"/>
                <w:szCs w:val="20"/>
                <w:lang w:eastAsia="en-GB"/>
              </w:rPr>
              <w:t> </w:t>
            </w:r>
          </w:p>
        </w:tc>
      </w:tr>
      <w:tr w:rsidR="007D47BB" w:rsidRPr="007D47BB" w14:paraId="5CC7D059" w14:textId="77777777" w:rsidTr="007D47BB">
        <w:trPr>
          <w:trHeight w:val="290"/>
          <w:jc w:val="center"/>
        </w:trPr>
        <w:tc>
          <w:tcPr>
            <w:tcW w:w="5103" w:type="dxa"/>
            <w:tcBorders>
              <w:top w:val="nil"/>
              <w:left w:val="single" w:sz="8" w:space="0" w:color="auto"/>
              <w:bottom w:val="nil"/>
              <w:right w:val="single" w:sz="4" w:space="0" w:color="auto"/>
            </w:tcBorders>
            <w:shd w:val="clear" w:color="000000" w:fill="FFFFFF"/>
            <w:vAlign w:val="center"/>
            <w:hideMark/>
          </w:tcPr>
          <w:p w14:paraId="24005EFD"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Executive Board &amp; Legal</w:t>
            </w:r>
          </w:p>
        </w:tc>
        <w:tc>
          <w:tcPr>
            <w:tcW w:w="1340" w:type="dxa"/>
            <w:tcBorders>
              <w:top w:val="nil"/>
              <w:left w:val="single" w:sz="4" w:space="0" w:color="auto"/>
              <w:bottom w:val="nil"/>
              <w:right w:val="single" w:sz="4" w:space="0" w:color="auto"/>
            </w:tcBorders>
            <w:shd w:val="clear" w:color="000000" w:fill="FFFFFF"/>
            <w:noWrap/>
            <w:vAlign w:val="center"/>
            <w:hideMark/>
          </w:tcPr>
          <w:p w14:paraId="3D48D97D"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719</w:t>
            </w:r>
          </w:p>
        </w:tc>
        <w:tc>
          <w:tcPr>
            <w:tcW w:w="1202" w:type="dxa"/>
            <w:tcBorders>
              <w:top w:val="nil"/>
              <w:left w:val="single" w:sz="4" w:space="0" w:color="auto"/>
              <w:bottom w:val="nil"/>
              <w:right w:val="single" w:sz="8" w:space="0" w:color="auto"/>
            </w:tcBorders>
            <w:shd w:val="clear" w:color="000000" w:fill="FFFFFF"/>
            <w:noWrap/>
            <w:vAlign w:val="center"/>
            <w:hideMark/>
          </w:tcPr>
          <w:p w14:paraId="2ECC787D"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716</w:t>
            </w:r>
          </w:p>
        </w:tc>
        <w:tc>
          <w:tcPr>
            <w:tcW w:w="1134" w:type="dxa"/>
            <w:tcBorders>
              <w:top w:val="nil"/>
              <w:left w:val="nil"/>
              <w:bottom w:val="nil"/>
              <w:right w:val="single" w:sz="8" w:space="0" w:color="auto"/>
            </w:tcBorders>
            <w:shd w:val="clear" w:color="000000" w:fill="FFFFFF"/>
            <w:noWrap/>
            <w:vAlign w:val="center"/>
            <w:hideMark/>
          </w:tcPr>
          <w:p w14:paraId="75371259"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3</w:t>
            </w:r>
          </w:p>
        </w:tc>
      </w:tr>
      <w:tr w:rsidR="007D47BB" w:rsidRPr="007D47BB" w14:paraId="3E4EA759" w14:textId="77777777" w:rsidTr="007D47BB">
        <w:trPr>
          <w:trHeight w:val="290"/>
          <w:jc w:val="center"/>
        </w:trPr>
        <w:tc>
          <w:tcPr>
            <w:tcW w:w="5103" w:type="dxa"/>
            <w:tcBorders>
              <w:top w:val="nil"/>
              <w:left w:val="single" w:sz="8" w:space="0" w:color="auto"/>
              <w:bottom w:val="nil"/>
              <w:right w:val="single" w:sz="4" w:space="0" w:color="auto"/>
            </w:tcBorders>
            <w:shd w:val="clear" w:color="000000" w:fill="FFFFFF"/>
            <w:vAlign w:val="center"/>
            <w:hideMark/>
          </w:tcPr>
          <w:p w14:paraId="7890D573"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Resources</w:t>
            </w:r>
          </w:p>
        </w:tc>
        <w:tc>
          <w:tcPr>
            <w:tcW w:w="1340" w:type="dxa"/>
            <w:tcBorders>
              <w:top w:val="nil"/>
              <w:left w:val="single" w:sz="4" w:space="0" w:color="auto"/>
              <w:bottom w:val="nil"/>
              <w:right w:val="single" w:sz="4" w:space="0" w:color="auto"/>
            </w:tcBorders>
            <w:shd w:val="clear" w:color="000000" w:fill="FFFFFF"/>
            <w:noWrap/>
            <w:vAlign w:val="center"/>
            <w:hideMark/>
          </w:tcPr>
          <w:p w14:paraId="675984ED"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2,383</w:t>
            </w:r>
          </w:p>
        </w:tc>
        <w:tc>
          <w:tcPr>
            <w:tcW w:w="1202" w:type="dxa"/>
            <w:tcBorders>
              <w:top w:val="nil"/>
              <w:left w:val="single" w:sz="4" w:space="0" w:color="auto"/>
              <w:bottom w:val="nil"/>
              <w:right w:val="single" w:sz="8" w:space="0" w:color="auto"/>
            </w:tcBorders>
            <w:shd w:val="clear" w:color="000000" w:fill="FFFFFF"/>
            <w:noWrap/>
            <w:vAlign w:val="center"/>
            <w:hideMark/>
          </w:tcPr>
          <w:p w14:paraId="704D6484"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2,400</w:t>
            </w:r>
          </w:p>
        </w:tc>
        <w:tc>
          <w:tcPr>
            <w:tcW w:w="1134" w:type="dxa"/>
            <w:tcBorders>
              <w:top w:val="nil"/>
              <w:left w:val="nil"/>
              <w:bottom w:val="nil"/>
              <w:right w:val="single" w:sz="8" w:space="0" w:color="auto"/>
            </w:tcBorders>
            <w:shd w:val="clear" w:color="000000" w:fill="FFFFFF"/>
            <w:noWrap/>
            <w:vAlign w:val="center"/>
            <w:hideMark/>
          </w:tcPr>
          <w:p w14:paraId="641615C9"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-17</w:t>
            </w:r>
          </w:p>
        </w:tc>
      </w:tr>
      <w:tr w:rsidR="007D47BB" w:rsidRPr="007D47BB" w14:paraId="1C8D00D7" w14:textId="77777777" w:rsidTr="007D47BB">
        <w:trPr>
          <w:trHeight w:val="290"/>
          <w:jc w:val="center"/>
        </w:trPr>
        <w:tc>
          <w:tcPr>
            <w:tcW w:w="5103" w:type="dxa"/>
            <w:tcBorders>
              <w:top w:val="nil"/>
              <w:left w:val="single" w:sz="8" w:space="0" w:color="auto"/>
              <w:bottom w:val="nil"/>
              <w:right w:val="single" w:sz="4" w:space="0" w:color="auto"/>
            </w:tcBorders>
            <w:shd w:val="clear" w:color="000000" w:fill="FFFFFF"/>
            <w:vAlign w:val="center"/>
            <w:hideMark/>
          </w:tcPr>
          <w:p w14:paraId="6A76C750"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Visitor Services</w:t>
            </w:r>
          </w:p>
        </w:tc>
        <w:tc>
          <w:tcPr>
            <w:tcW w:w="1340" w:type="dxa"/>
            <w:tcBorders>
              <w:top w:val="nil"/>
              <w:left w:val="single" w:sz="4" w:space="0" w:color="auto"/>
              <w:bottom w:val="nil"/>
              <w:right w:val="single" w:sz="4" w:space="0" w:color="auto"/>
            </w:tcBorders>
            <w:shd w:val="clear" w:color="000000" w:fill="FFFFFF"/>
            <w:noWrap/>
            <w:vAlign w:val="center"/>
            <w:hideMark/>
          </w:tcPr>
          <w:p w14:paraId="69C93AED"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545</w:t>
            </w:r>
          </w:p>
        </w:tc>
        <w:tc>
          <w:tcPr>
            <w:tcW w:w="1202" w:type="dxa"/>
            <w:tcBorders>
              <w:top w:val="nil"/>
              <w:left w:val="single" w:sz="4" w:space="0" w:color="auto"/>
              <w:bottom w:val="nil"/>
              <w:right w:val="single" w:sz="8" w:space="0" w:color="auto"/>
            </w:tcBorders>
            <w:shd w:val="clear" w:color="000000" w:fill="FFFFFF"/>
            <w:noWrap/>
            <w:vAlign w:val="center"/>
            <w:hideMark/>
          </w:tcPr>
          <w:p w14:paraId="67E68165"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464</w:t>
            </w:r>
          </w:p>
        </w:tc>
        <w:tc>
          <w:tcPr>
            <w:tcW w:w="1134" w:type="dxa"/>
            <w:tcBorders>
              <w:top w:val="nil"/>
              <w:left w:val="nil"/>
              <w:bottom w:val="nil"/>
              <w:right w:val="single" w:sz="8" w:space="0" w:color="auto"/>
            </w:tcBorders>
            <w:shd w:val="clear" w:color="000000" w:fill="FFFFFF"/>
            <w:noWrap/>
            <w:vAlign w:val="center"/>
            <w:hideMark/>
          </w:tcPr>
          <w:p w14:paraId="10FEDDBB"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81</w:t>
            </w:r>
          </w:p>
        </w:tc>
      </w:tr>
      <w:tr w:rsidR="007D47BB" w:rsidRPr="007D47BB" w14:paraId="35A6CF2D" w14:textId="77777777" w:rsidTr="007D47BB">
        <w:trPr>
          <w:trHeight w:val="290"/>
          <w:jc w:val="center"/>
        </w:trPr>
        <w:tc>
          <w:tcPr>
            <w:tcW w:w="5103" w:type="dxa"/>
            <w:tcBorders>
              <w:top w:val="nil"/>
              <w:left w:val="single" w:sz="8" w:space="0" w:color="auto"/>
              <w:bottom w:val="nil"/>
              <w:right w:val="single" w:sz="4" w:space="0" w:color="auto"/>
            </w:tcBorders>
            <w:shd w:val="clear" w:color="000000" w:fill="FFFFFF"/>
            <w:vAlign w:val="center"/>
            <w:hideMark/>
          </w:tcPr>
          <w:p w14:paraId="6865EA88"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People</w:t>
            </w:r>
          </w:p>
        </w:tc>
        <w:tc>
          <w:tcPr>
            <w:tcW w:w="1340" w:type="dxa"/>
            <w:tcBorders>
              <w:top w:val="nil"/>
              <w:left w:val="single" w:sz="4" w:space="0" w:color="auto"/>
              <w:bottom w:val="nil"/>
              <w:right w:val="single" w:sz="4" w:space="0" w:color="auto"/>
            </w:tcBorders>
            <w:shd w:val="clear" w:color="000000" w:fill="FFFFFF"/>
            <w:noWrap/>
            <w:vAlign w:val="center"/>
            <w:hideMark/>
          </w:tcPr>
          <w:p w14:paraId="28E3469D"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567</w:t>
            </w:r>
          </w:p>
        </w:tc>
        <w:tc>
          <w:tcPr>
            <w:tcW w:w="1202" w:type="dxa"/>
            <w:tcBorders>
              <w:top w:val="nil"/>
              <w:left w:val="single" w:sz="4" w:space="0" w:color="auto"/>
              <w:bottom w:val="nil"/>
              <w:right w:val="single" w:sz="8" w:space="0" w:color="auto"/>
            </w:tcBorders>
            <w:shd w:val="clear" w:color="000000" w:fill="FFFFFF"/>
            <w:noWrap/>
            <w:vAlign w:val="center"/>
            <w:hideMark/>
          </w:tcPr>
          <w:p w14:paraId="3218BB65"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610</w:t>
            </w:r>
          </w:p>
        </w:tc>
        <w:tc>
          <w:tcPr>
            <w:tcW w:w="1134" w:type="dxa"/>
            <w:tcBorders>
              <w:top w:val="nil"/>
              <w:left w:val="nil"/>
              <w:bottom w:val="nil"/>
              <w:right w:val="single" w:sz="8" w:space="0" w:color="auto"/>
            </w:tcBorders>
            <w:shd w:val="clear" w:color="000000" w:fill="FFFFFF"/>
            <w:noWrap/>
            <w:vAlign w:val="center"/>
            <w:hideMark/>
          </w:tcPr>
          <w:p w14:paraId="79D9DAAB"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-43</w:t>
            </w:r>
          </w:p>
        </w:tc>
      </w:tr>
      <w:tr w:rsidR="007D47BB" w:rsidRPr="007D47BB" w14:paraId="38857D25" w14:textId="77777777" w:rsidTr="007D47BB">
        <w:trPr>
          <w:trHeight w:val="290"/>
          <w:jc w:val="center"/>
        </w:trPr>
        <w:tc>
          <w:tcPr>
            <w:tcW w:w="5103" w:type="dxa"/>
            <w:tcBorders>
              <w:top w:val="nil"/>
              <w:left w:val="single" w:sz="8" w:space="0" w:color="auto"/>
              <w:bottom w:val="nil"/>
              <w:right w:val="single" w:sz="4" w:space="0" w:color="auto"/>
            </w:tcBorders>
            <w:shd w:val="clear" w:color="000000" w:fill="FFFFFF"/>
            <w:vAlign w:val="center"/>
            <w:hideMark/>
          </w:tcPr>
          <w:p w14:paraId="5B66D154"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Communications</w:t>
            </w:r>
          </w:p>
        </w:tc>
        <w:tc>
          <w:tcPr>
            <w:tcW w:w="1340" w:type="dxa"/>
            <w:tcBorders>
              <w:top w:val="nil"/>
              <w:left w:val="single" w:sz="4" w:space="0" w:color="auto"/>
              <w:bottom w:val="nil"/>
              <w:right w:val="single" w:sz="4" w:space="0" w:color="auto"/>
            </w:tcBorders>
            <w:shd w:val="clear" w:color="000000" w:fill="FFFFFF"/>
            <w:noWrap/>
            <w:vAlign w:val="center"/>
            <w:hideMark/>
          </w:tcPr>
          <w:p w14:paraId="12797782"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560</w:t>
            </w:r>
          </w:p>
        </w:tc>
        <w:tc>
          <w:tcPr>
            <w:tcW w:w="1202" w:type="dxa"/>
            <w:tcBorders>
              <w:top w:val="nil"/>
              <w:left w:val="single" w:sz="4" w:space="0" w:color="auto"/>
              <w:bottom w:val="nil"/>
              <w:right w:val="single" w:sz="8" w:space="0" w:color="auto"/>
            </w:tcBorders>
            <w:shd w:val="clear" w:color="000000" w:fill="FFFFFF"/>
            <w:noWrap/>
            <w:vAlign w:val="center"/>
            <w:hideMark/>
          </w:tcPr>
          <w:p w14:paraId="58EA7098"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483</w:t>
            </w:r>
          </w:p>
        </w:tc>
        <w:tc>
          <w:tcPr>
            <w:tcW w:w="1134" w:type="dxa"/>
            <w:tcBorders>
              <w:top w:val="nil"/>
              <w:left w:val="nil"/>
              <w:bottom w:val="nil"/>
              <w:right w:val="single" w:sz="8" w:space="0" w:color="auto"/>
            </w:tcBorders>
            <w:shd w:val="clear" w:color="000000" w:fill="FFFFFF"/>
            <w:noWrap/>
            <w:vAlign w:val="center"/>
            <w:hideMark/>
          </w:tcPr>
          <w:p w14:paraId="34EE642A"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77</w:t>
            </w:r>
          </w:p>
        </w:tc>
      </w:tr>
      <w:tr w:rsidR="007D47BB" w:rsidRPr="007D47BB" w14:paraId="11B1F3FE" w14:textId="77777777" w:rsidTr="007D47BB">
        <w:trPr>
          <w:trHeight w:val="290"/>
          <w:jc w:val="center"/>
        </w:trPr>
        <w:tc>
          <w:tcPr>
            <w:tcW w:w="5103" w:type="dxa"/>
            <w:tcBorders>
              <w:top w:val="nil"/>
              <w:left w:val="single" w:sz="8" w:space="0" w:color="auto"/>
              <w:bottom w:val="nil"/>
              <w:right w:val="single" w:sz="4" w:space="0" w:color="auto"/>
            </w:tcBorders>
            <w:shd w:val="clear" w:color="000000" w:fill="FFFFFF"/>
            <w:vAlign w:val="center"/>
            <w:hideMark/>
          </w:tcPr>
          <w:p w14:paraId="741EBEC4"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Development Management</w:t>
            </w:r>
          </w:p>
        </w:tc>
        <w:tc>
          <w:tcPr>
            <w:tcW w:w="1340" w:type="dxa"/>
            <w:tcBorders>
              <w:top w:val="nil"/>
              <w:left w:val="single" w:sz="4" w:space="0" w:color="auto"/>
              <w:bottom w:val="nil"/>
              <w:right w:val="single" w:sz="4" w:space="0" w:color="auto"/>
            </w:tcBorders>
            <w:shd w:val="clear" w:color="000000" w:fill="FFFFFF"/>
            <w:noWrap/>
            <w:vAlign w:val="center"/>
            <w:hideMark/>
          </w:tcPr>
          <w:p w14:paraId="5A896C99"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775</w:t>
            </w:r>
          </w:p>
        </w:tc>
        <w:tc>
          <w:tcPr>
            <w:tcW w:w="1202" w:type="dxa"/>
            <w:tcBorders>
              <w:top w:val="nil"/>
              <w:left w:val="single" w:sz="4" w:space="0" w:color="auto"/>
              <w:bottom w:val="nil"/>
              <w:right w:val="single" w:sz="8" w:space="0" w:color="auto"/>
            </w:tcBorders>
            <w:shd w:val="clear" w:color="000000" w:fill="FFFFFF"/>
            <w:noWrap/>
            <w:vAlign w:val="center"/>
            <w:hideMark/>
          </w:tcPr>
          <w:p w14:paraId="65180C1C"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696</w:t>
            </w:r>
          </w:p>
        </w:tc>
        <w:tc>
          <w:tcPr>
            <w:tcW w:w="1134" w:type="dxa"/>
            <w:tcBorders>
              <w:top w:val="nil"/>
              <w:left w:val="nil"/>
              <w:bottom w:val="nil"/>
              <w:right w:val="single" w:sz="8" w:space="0" w:color="auto"/>
            </w:tcBorders>
            <w:shd w:val="clear" w:color="000000" w:fill="FFFFFF"/>
            <w:noWrap/>
            <w:vAlign w:val="center"/>
            <w:hideMark/>
          </w:tcPr>
          <w:p w14:paraId="669588E7"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79</w:t>
            </w:r>
          </w:p>
        </w:tc>
      </w:tr>
      <w:tr w:rsidR="007D47BB" w:rsidRPr="007D47BB" w14:paraId="01578E3D" w14:textId="77777777" w:rsidTr="007D47BB">
        <w:trPr>
          <w:trHeight w:val="290"/>
          <w:jc w:val="center"/>
        </w:trPr>
        <w:tc>
          <w:tcPr>
            <w:tcW w:w="5103" w:type="dxa"/>
            <w:tcBorders>
              <w:top w:val="nil"/>
              <w:left w:val="single" w:sz="8" w:space="0" w:color="auto"/>
              <w:bottom w:val="nil"/>
              <w:right w:val="single" w:sz="4" w:space="0" w:color="auto"/>
            </w:tcBorders>
            <w:shd w:val="clear" w:color="000000" w:fill="FFFFFF"/>
            <w:vAlign w:val="center"/>
            <w:hideMark/>
          </w:tcPr>
          <w:p w14:paraId="72EA043A"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Strategy &amp; Rangers</w:t>
            </w:r>
          </w:p>
        </w:tc>
        <w:tc>
          <w:tcPr>
            <w:tcW w:w="1340" w:type="dxa"/>
            <w:tcBorders>
              <w:top w:val="nil"/>
              <w:left w:val="single" w:sz="4" w:space="0" w:color="auto"/>
              <w:bottom w:val="nil"/>
              <w:right w:val="single" w:sz="4" w:space="0" w:color="auto"/>
            </w:tcBorders>
            <w:shd w:val="clear" w:color="000000" w:fill="FFFFFF"/>
            <w:noWrap/>
            <w:vAlign w:val="center"/>
            <w:hideMark/>
          </w:tcPr>
          <w:p w14:paraId="16B124AD"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2,800</w:t>
            </w:r>
          </w:p>
        </w:tc>
        <w:tc>
          <w:tcPr>
            <w:tcW w:w="1202" w:type="dxa"/>
            <w:tcBorders>
              <w:top w:val="nil"/>
              <w:left w:val="single" w:sz="4" w:space="0" w:color="auto"/>
              <w:bottom w:val="nil"/>
              <w:right w:val="single" w:sz="8" w:space="0" w:color="auto"/>
            </w:tcBorders>
            <w:shd w:val="clear" w:color="000000" w:fill="FFFFFF"/>
            <w:noWrap/>
            <w:vAlign w:val="center"/>
            <w:hideMark/>
          </w:tcPr>
          <w:p w14:paraId="24D8C137"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2,712</w:t>
            </w:r>
          </w:p>
        </w:tc>
        <w:tc>
          <w:tcPr>
            <w:tcW w:w="1134" w:type="dxa"/>
            <w:tcBorders>
              <w:top w:val="nil"/>
              <w:left w:val="nil"/>
              <w:bottom w:val="nil"/>
              <w:right w:val="single" w:sz="8" w:space="0" w:color="auto"/>
            </w:tcBorders>
            <w:shd w:val="clear" w:color="000000" w:fill="FFFFFF"/>
            <w:noWrap/>
            <w:vAlign w:val="center"/>
            <w:hideMark/>
          </w:tcPr>
          <w:p w14:paraId="2A790F95"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88</w:t>
            </w:r>
          </w:p>
        </w:tc>
      </w:tr>
      <w:tr w:rsidR="007D47BB" w:rsidRPr="007D47BB" w14:paraId="419BD245" w14:textId="77777777" w:rsidTr="007D47BB">
        <w:trPr>
          <w:trHeight w:val="300"/>
          <w:jc w:val="center"/>
        </w:trPr>
        <w:tc>
          <w:tcPr>
            <w:tcW w:w="5103" w:type="dxa"/>
            <w:tcBorders>
              <w:top w:val="nil"/>
              <w:left w:val="single" w:sz="8" w:space="0" w:color="auto"/>
              <w:bottom w:val="nil"/>
              <w:right w:val="single" w:sz="4" w:space="0" w:color="auto"/>
            </w:tcBorders>
            <w:shd w:val="clear" w:color="000000" w:fill="FFFFFF"/>
            <w:vAlign w:val="center"/>
            <w:hideMark/>
          </w:tcPr>
          <w:p w14:paraId="16F87C1A"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Non Distributed Costs</w:t>
            </w:r>
          </w:p>
        </w:tc>
        <w:tc>
          <w:tcPr>
            <w:tcW w:w="1340" w:type="dxa"/>
            <w:tcBorders>
              <w:top w:val="nil"/>
              <w:left w:val="single" w:sz="4" w:space="0" w:color="auto"/>
              <w:bottom w:val="nil"/>
              <w:right w:val="single" w:sz="4" w:space="0" w:color="auto"/>
            </w:tcBorders>
            <w:shd w:val="clear" w:color="000000" w:fill="FFFFFF"/>
            <w:noWrap/>
            <w:vAlign w:val="center"/>
            <w:hideMark/>
          </w:tcPr>
          <w:p w14:paraId="55BD9EED"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57</w:t>
            </w:r>
          </w:p>
        </w:tc>
        <w:tc>
          <w:tcPr>
            <w:tcW w:w="1202" w:type="dxa"/>
            <w:tcBorders>
              <w:top w:val="nil"/>
              <w:left w:val="single" w:sz="4" w:space="0" w:color="auto"/>
              <w:bottom w:val="nil"/>
              <w:right w:val="single" w:sz="8" w:space="0" w:color="auto"/>
            </w:tcBorders>
            <w:shd w:val="clear" w:color="000000" w:fill="FFFFFF"/>
            <w:noWrap/>
            <w:vAlign w:val="center"/>
            <w:hideMark/>
          </w:tcPr>
          <w:p w14:paraId="6686D940"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57</w:t>
            </w:r>
          </w:p>
        </w:tc>
        <w:tc>
          <w:tcPr>
            <w:tcW w:w="1134" w:type="dxa"/>
            <w:tcBorders>
              <w:top w:val="nil"/>
              <w:left w:val="nil"/>
              <w:bottom w:val="nil"/>
              <w:right w:val="single" w:sz="8" w:space="0" w:color="auto"/>
            </w:tcBorders>
            <w:shd w:val="clear" w:color="000000" w:fill="FFFFFF"/>
            <w:noWrap/>
            <w:vAlign w:val="center"/>
            <w:hideMark/>
          </w:tcPr>
          <w:p w14:paraId="5E496B07"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0</w:t>
            </w:r>
          </w:p>
        </w:tc>
      </w:tr>
      <w:tr w:rsidR="007D47BB" w:rsidRPr="007D47BB" w14:paraId="2ED69CA4" w14:textId="77777777" w:rsidTr="007D47BB">
        <w:trPr>
          <w:trHeight w:val="290"/>
          <w:jc w:val="center"/>
        </w:trPr>
        <w:tc>
          <w:tcPr>
            <w:tcW w:w="5103" w:type="dxa"/>
            <w:tcBorders>
              <w:top w:val="single" w:sz="8" w:space="0" w:color="auto"/>
              <w:left w:val="single" w:sz="8" w:space="0" w:color="auto"/>
              <w:bottom w:val="nil"/>
              <w:right w:val="single" w:sz="4" w:space="0" w:color="auto"/>
            </w:tcBorders>
            <w:shd w:val="clear" w:color="000000" w:fill="FFFFFF"/>
            <w:vAlign w:val="center"/>
            <w:hideMark/>
          </w:tcPr>
          <w:p w14:paraId="11DE7C08" w14:textId="77777777" w:rsidR="007D47BB" w:rsidRPr="007D47BB" w:rsidRDefault="007D47BB" w:rsidP="007D47BB">
            <w:pPr>
              <w:rPr>
                <w:rFonts w:cs="Arial"/>
                <w:b/>
                <w:bCs/>
                <w:color w:val="000000"/>
                <w:sz w:val="20"/>
                <w:szCs w:val="20"/>
                <w:lang w:eastAsia="en-GB"/>
              </w:rPr>
            </w:pPr>
            <w:r w:rsidRPr="007D47BB">
              <w:rPr>
                <w:rFonts w:cs="Arial"/>
                <w:b/>
                <w:bCs/>
                <w:color w:val="000000"/>
                <w:sz w:val="20"/>
                <w:szCs w:val="20"/>
                <w:lang w:eastAsia="en-GB"/>
              </w:rPr>
              <w:t>Cost of Services</w:t>
            </w:r>
          </w:p>
        </w:tc>
        <w:tc>
          <w:tcPr>
            <w:tcW w:w="1340" w:type="dxa"/>
            <w:tcBorders>
              <w:top w:val="single" w:sz="8" w:space="0" w:color="auto"/>
              <w:left w:val="single" w:sz="4" w:space="0" w:color="auto"/>
              <w:bottom w:val="nil"/>
              <w:right w:val="single" w:sz="4" w:space="0" w:color="auto"/>
            </w:tcBorders>
            <w:shd w:val="clear" w:color="000000" w:fill="FFFFFF"/>
            <w:noWrap/>
            <w:vAlign w:val="center"/>
            <w:hideMark/>
          </w:tcPr>
          <w:p w14:paraId="1F490604" w14:textId="77777777" w:rsidR="007D47BB" w:rsidRPr="007D47BB" w:rsidRDefault="007D47BB" w:rsidP="007D47BB">
            <w:pPr>
              <w:jc w:val="right"/>
              <w:rPr>
                <w:rFonts w:cs="Arial"/>
                <w:b/>
                <w:bCs/>
                <w:color w:val="000000"/>
                <w:sz w:val="20"/>
                <w:szCs w:val="20"/>
                <w:lang w:eastAsia="en-GB"/>
              </w:rPr>
            </w:pPr>
            <w:r w:rsidRPr="007D47BB">
              <w:rPr>
                <w:rFonts w:cs="Arial"/>
                <w:b/>
                <w:bCs/>
                <w:color w:val="000000"/>
                <w:sz w:val="20"/>
                <w:szCs w:val="20"/>
                <w:lang w:eastAsia="en-GB"/>
              </w:rPr>
              <w:t>8,406</w:t>
            </w:r>
          </w:p>
        </w:tc>
        <w:tc>
          <w:tcPr>
            <w:tcW w:w="1202" w:type="dxa"/>
            <w:tcBorders>
              <w:top w:val="single" w:sz="8" w:space="0" w:color="auto"/>
              <w:left w:val="single" w:sz="4" w:space="0" w:color="auto"/>
              <w:bottom w:val="nil"/>
              <w:right w:val="single" w:sz="8" w:space="0" w:color="auto"/>
            </w:tcBorders>
            <w:shd w:val="clear" w:color="000000" w:fill="FFFFFF"/>
            <w:noWrap/>
            <w:vAlign w:val="center"/>
            <w:hideMark/>
          </w:tcPr>
          <w:p w14:paraId="4F788964" w14:textId="77777777" w:rsidR="007D47BB" w:rsidRPr="007D47BB" w:rsidRDefault="007D47BB" w:rsidP="007D47BB">
            <w:pPr>
              <w:jc w:val="right"/>
              <w:rPr>
                <w:rFonts w:cs="Arial"/>
                <w:b/>
                <w:bCs/>
                <w:color w:val="000000"/>
                <w:sz w:val="20"/>
                <w:szCs w:val="20"/>
                <w:lang w:eastAsia="en-GB"/>
              </w:rPr>
            </w:pPr>
            <w:r w:rsidRPr="007D47BB">
              <w:rPr>
                <w:rFonts w:cs="Arial"/>
                <w:b/>
                <w:bCs/>
                <w:color w:val="000000"/>
                <w:sz w:val="20"/>
                <w:szCs w:val="20"/>
                <w:lang w:eastAsia="en-GB"/>
              </w:rPr>
              <w:t>8,138</w:t>
            </w:r>
          </w:p>
        </w:tc>
        <w:tc>
          <w:tcPr>
            <w:tcW w:w="1134" w:type="dxa"/>
            <w:tcBorders>
              <w:top w:val="single" w:sz="8" w:space="0" w:color="auto"/>
              <w:left w:val="nil"/>
              <w:bottom w:val="nil"/>
              <w:right w:val="single" w:sz="8" w:space="0" w:color="auto"/>
            </w:tcBorders>
            <w:shd w:val="clear" w:color="000000" w:fill="FFFFFF"/>
            <w:noWrap/>
            <w:vAlign w:val="center"/>
            <w:hideMark/>
          </w:tcPr>
          <w:p w14:paraId="5E3B952C" w14:textId="77777777" w:rsidR="007D47BB" w:rsidRPr="007D47BB" w:rsidRDefault="007D47BB" w:rsidP="007D47BB">
            <w:pPr>
              <w:jc w:val="right"/>
              <w:rPr>
                <w:rFonts w:cs="Arial"/>
                <w:b/>
                <w:bCs/>
                <w:color w:val="000000"/>
                <w:sz w:val="20"/>
                <w:szCs w:val="20"/>
                <w:lang w:eastAsia="en-GB"/>
              </w:rPr>
            </w:pPr>
            <w:r w:rsidRPr="007D47BB">
              <w:rPr>
                <w:rFonts w:cs="Arial"/>
                <w:b/>
                <w:bCs/>
                <w:color w:val="000000"/>
                <w:sz w:val="20"/>
                <w:szCs w:val="20"/>
                <w:lang w:eastAsia="en-GB"/>
              </w:rPr>
              <w:t>268</w:t>
            </w:r>
          </w:p>
        </w:tc>
      </w:tr>
      <w:tr w:rsidR="007D47BB" w:rsidRPr="007D47BB" w14:paraId="3893133D" w14:textId="77777777" w:rsidTr="007D47BB">
        <w:trPr>
          <w:trHeight w:val="290"/>
          <w:jc w:val="center"/>
        </w:trPr>
        <w:tc>
          <w:tcPr>
            <w:tcW w:w="5103" w:type="dxa"/>
            <w:tcBorders>
              <w:top w:val="nil"/>
              <w:left w:val="single" w:sz="8" w:space="0" w:color="auto"/>
              <w:bottom w:val="nil"/>
              <w:right w:val="single" w:sz="4" w:space="0" w:color="auto"/>
            </w:tcBorders>
            <w:shd w:val="clear" w:color="000000" w:fill="FFFFFF"/>
            <w:vAlign w:val="center"/>
            <w:hideMark/>
          </w:tcPr>
          <w:p w14:paraId="7A440961" w14:textId="77777777" w:rsidR="007D47BB" w:rsidRPr="007D47BB" w:rsidRDefault="007D47BB" w:rsidP="007D47BB">
            <w:pPr>
              <w:rPr>
                <w:rFonts w:cs="Arial"/>
                <w:b/>
                <w:bCs/>
                <w:color w:val="000000"/>
                <w:sz w:val="20"/>
                <w:szCs w:val="20"/>
                <w:lang w:eastAsia="en-GB"/>
              </w:rPr>
            </w:pPr>
            <w:r w:rsidRPr="007D47BB">
              <w:rPr>
                <w:rFonts w:cs="Arial"/>
                <w:b/>
                <w:bCs/>
                <w:color w:val="000000"/>
                <w:sz w:val="20"/>
                <w:szCs w:val="20"/>
                <w:lang w:eastAsia="en-GB"/>
              </w:rPr>
              <w:t> </w:t>
            </w:r>
          </w:p>
        </w:tc>
        <w:tc>
          <w:tcPr>
            <w:tcW w:w="1340" w:type="dxa"/>
            <w:tcBorders>
              <w:top w:val="nil"/>
              <w:left w:val="single" w:sz="4" w:space="0" w:color="auto"/>
              <w:bottom w:val="nil"/>
              <w:right w:val="single" w:sz="4" w:space="0" w:color="auto"/>
            </w:tcBorders>
            <w:shd w:val="clear" w:color="000000" w:fill="FFFFFF"/>
            <w:noWrap/>
            <w:vAlign w:val="center"/>
            <w:hideMark/>
          </w:tcPr>
          <w:p w14:paraId="1F28CB39" w14:textId="77777777" w:rsidR="007D47BB" w:rsidRPr="007D47BB" w:rsidRDefault="007D47BB" w:rsidP="007D47BB">
            <w:pPr>
              <w:jc w:val="right"/>
              <w:rPr>
                <w:rFonts w:cs="Arial"/>
                <w:b/>
                <w:bCs/>
                <w:color w:val="000000"/>
                <w:sz w:val="20"/>
                <w:szCs w:val="20"/>
                <w:lang w:eastAsia="en-GB"/>
              </w:rPr>
            </w:pPr>
            <w:r w:rsidRPr="007D47BB">
              <w:rPr>
                <w:rFonts w:cs="Arial"/>
                <w:b/>
                <w:bCs/>
                <w:color w:val="000000"/>
                <w:sz w:val="20"/>
                <w:szCs w:val="20"/>
                <w:lang w:eastAsia="en-GB"/>
              </w:rPr>
              <w:t> </w:t>
            </w:r>
          </w:p>
        </w:tc>
        <w:tc>
          <w:tcPr>
            <w:tcW w:w="1202" w:type="dxa"/>
            <w:tcBorders>
              <w:top w:val="nil"/>
              <w:left w:val="single" w:sz="4" w:space="0" w:color="auto"/>
              <w:bottom w:val="nil"/>
              <w:right w:val="single" w:sz="8" w:space="0" w:color="auto"/>
            </w:tcBorders>
            <w:shd w:val="clear" w:color="000000" w:fill="FFFFFF"/>
            <w:noWrap/>
            <w:vAlign w:val="center"/>
            <w:hideMark/>
          </w:tcPr>
          <w:p w14:paraId="7B08FC48" w14:textId="77777777" w:rsidR="007D47BB" w:rsidRPr="007D47BB" w:rsidRDefault="007D47BB" w:rsidP="007D47BB">
            <w:pPr>
              <w:jc w:val="right"/>
              <w:rPr>
                <w:rFonts w:cs="Arial"/>
                <w:b/>
                <w:bCs/>
                <w:color w:val="000000"/>
                <w:sz w:val="20"/>
                <w:szCs w:val="20"/>
                <w:lang w:eastAsia="en-GB"/>
              </w:rPr>
            </w:pPr>
            <w:r w:rsidRPr="007D47BB">
              <w:rPr>
                <w:rFonts w:cs="Arial"/>
                <w:b/>
                <w:bCs/>
                <w:color w:val="000000"/>
                <w:sz w:val="20"/>
                <w:szCs w:val="20"/>
                <w:lang w:eastAsia="en-GB"/>
              </w:rPr>
              <w:t> </w:t>
            </w:r>
          </w:p>
        </w:tc>
        <w:tc>
          <w:tcPr>
            <w:tcW w:w="1134" w:type="dxa"/>
            <w:tcBorders>
              <w:top w:val="nil"/>
              <w:left w:val="nil"/>
              <w:bottom w:val="nil"/>
              <w:right w:val="single" w:sz="8" w:space="0" w:color="auto"/>
            </w:tcBorders>
            <w:shd w:val="clear" w:color="000000" w:fill="FFFFFF"/>
            <w:noWrap/>
            <w:vAlign w:val="center"/>
            <w:hideMark/>
          </w:tcPr>
          <w:p w14:paraId="22C3474D" w14:textId="77777777" w:rsidR="007D47BB" w:rsidRPr="007D47BB" w:rsidRDefault="007D47BB" w:rsidP="007D47BB">
            <w:pPr>
              <w:jc w:val="right"/>
              <w:rPr>
                <w:rFonts w:cs="Arial"/>
                <w:b/>
                <w:bCs/>
                <w:color w:val="000000"/>
                <w:sz w:val="20"/>
                <w:szCs w:val="20"/>
                <w:lang w:eastAsia="en-GB"/>
              </w:rPr>
            </w:pPr>
            <w:r w:rsidRPr="007D47BB">
              <w:rPr>
                <w:rFonts w:cs="Arial"/>
                <w:b/>
                <w:bCs/>
                <w:color w:val="000000"/>
                <w:sz w:val="20"/>
                <w:szCs w:val="20"/>
                <w:lang w:eastAsia="en-GB"/>
              </w:rPr>
              <w:t> </w:t>
            </w:r>
          </w:p>
        </w:tc>
      </w:tr>
      <w:tr w:rsidR="007D47BB" w:rsidRPr="007D47BB" w14:paraId="50A547E3" w14:textId="77777777" w:rsidTr="007D47BB">
        <w:trPr>
          <w:trHeight w:val="290"/>
          <w:jc w:val="center"/>
        </w:trPr>
        <w:tc>
          <w:tcPr>
            <w:tcW w:w="5103" w:type="dxa"/>
            <w:tcBorders>
              <w:top w:val="nil"/>
              <w:left w:val="single" w:sz="8" w:space="0" w:color="auto"/>
              <w:bottom w:val="nil"/>
              <w:right w:val="single" w:sz="4" w:space="0" w:color="auto"/>
            </w:tcBorders>
            <w:shd w:val="clear" w:color="000000" w:fill="FFFFFF"/>
            <w:vAlign w:val="center"/>
            <w:hideMark/>
          </w:tcPr>
          <w:p w14:paraId="7D55E2D3"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Financing &amp; Investment Income &amp; Exp</w:t>
            </w:r>
          </w:p>
        </w:tc>
        <w:tc>
          <w:tcPr>
            <w:tcW w:w="1340" w:type="dxa"/>
            <w:tcBorders>
              <w:top w:val="nil"/>
              <w:left w:val="single" w:sz="4" w:space="0" w:color="auto"/>
              <w:bottom w:val="nil"/>
              <w:right w:val="single" w:sz="4" w:space="0" w:color="auto"/>
            </w:tcBorders>
            <w:shd w:val="clear" w:color="000000" w:fill="FFFFFF"/>
            <w:vAlign w:val="center"/>
            <w:hideMark/>
          </w:tcPr>
          <w:p w14:paraId="62EBA66C"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203</w:t>
            </w:r>
          </w:p>
        </w:tc>
        <w:tc>
          <w:tcPr>
            <w:tcW w:w="1202" w:type="dxa"/>
            <w:tcBorders>
              <w:top w:val="nil"/>
              <w:left w:val="single" w:sz="4" w:space="0" w:color="auto"/>
              <w:bottom w:val="nil"/>
              <w:right w:val="single" w:sz="8" w:space="0" w:color="auto"/>
            </w:tcBorders>
            <w:shd w:val="clear" w:color="000000" w:fill="FFFFFF"/>
            <w:vAlign w:val="center"/>
            <w:hideMark/>
          </w:tcPr>
          <w:p w14:paraId="055C5B20"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146</w:t>
            </w:r>
          </w:p>
        </w:tc>
        <w:tc>
          <w:tcPr>
            <w:tcW w:w="1134" w:type="dxa"/>
            <w:tcBorders>
              <w:top w:val="nil"/>
              <w:left w:val="nil"/>
              <w:bottom w:val="nil"/>
              <w:right w:val="single" w:sz="8" w:space="0" w:color="auto"/>
            </w:tcBorders>
            <w:shd w:val="clear" w:color="000000" w:fill="FFFFFF"/>
            <w:vAlign w:val="center"/>
            <w:hideMark/>
          </w:tcPr>
          <w:p w14:paraId="43207E97"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57</w:t>
            </w:r>
          </w:p>
        </w:tc>
      </w:tr>
      <w:tr w:rsidR="007D47BB" w:rsidRPr="007D47BB" w14:paraId="217712B4" w14:textId="77777777" w:rsidTr="007D47BB">
        <w:trPr>
          <w:trHeight w:val="300"/>
          <w:jc w:val="center"/>
        </w:trPr>
        <w:tc>
          <w:tcPr>
            <w:tcW w:w="5103" w:type="dxa"/>
            <w:tcBorders>
              <w:top w:val="nil"/>
              <w:left w:val="single" w:sz="8" w:space="0" w:color="auto"/>
              <w:bottom w:val="nil"/>
              <w:right w:val="single" w:sz="4" w:space="0" w:color="auto"/>
            </w:tcBorders>
            <w:shd w:val="clear" w:color="000000" w:fill="FFFFFF"/>
            <w:vAlign w:val="center"/>
            <w:hideMark/>
          </w:tcPr>
          <w:p w14:paraId="6FC3B1EB"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Non-specific grant income</w:t>
            </w:r>
          </w:p>
        </w:tc>
        <w:tc>
          <w:tcPr>
            <w:tcW w:w="1340" w:type="dxa"/>
            <w:tcBorders>
              <w:top w:val="nil"/>
              <w:left w:val="single" w:sz="4" w:space="0" w:color="auto"/>
              <w:bottom w:val="nil"/>
              <w:right w:val="single" w:sz="4" w:space="0" w:color="auto"/>
            </w:tcBorders>
            <w:shd w:val="clear" w:color="000000" w:fill="FFFFFF"/>
            <w:vAlign w:val="center"/>
            <w:hideMark/>
          </w:tcPr>
          <w:p w14:paraId="418D7823"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-6,150</w:t>
            </w:r>
          </w:p>
        </w:tc>
        <w:tc>
          <w:tcPr>
            <w:tcW w:w="1202" w:type="dxa"/>
            <w:tcBorders>
              <w:top w:val="nil"/>
              <w:left w:val="single" w:sz="4" w:space="0" w:color="auto"/>
              <w:bottom w:val="nil"/>
              <w:right w:val="single" w:sz="8" w:space="0" w:color="auto"/>
            </w:tcBorders>
            <w:shd w:val="clear" w:color="000000" w:fill="FFFFFF"/>
            <w:vAlign w:val="center"/>
            <w:hideMark/>
          </w:tcPr>
          <w:p w14:paraId="6B46A29D"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-5,710</w:t>
            </w:r>
          </w:p>
        </w:tc>
        <w:tc>
          <w:tcPr>
            <w:tcW w:w="1134" w:type="dxa"/>
            <w:tcBorders>
              <w:top w:val="nil"/>
              <w:left w:val="nil"/>
              <w:bottom w:val="nil"/>
              <w:right w:val="single" w:sz="8" w:space="0" w:color="auto"/>
            </w:tcBorders>
            <w:shd w:val="clear" w:color="000000" w:fill="FFFFFF"/>
            <w:vAlign w:val="center"/>
            <w:hideMark/>
          </w:tcPr>
          <w:p w14:paraId="0FD96151"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-440</w:t>
            </w:r>
          </w:p>
        </w:tc>
      </w:tr>
      <w:tr w:rsidR="007D47BB" w:rsidRPr="007D47BB" w14:paraId="611E211E" w14:textId="77777777" w:rsidTr="007D47BB">
        <w:trPr>
          <w:trHeight w:val="290"/>
          <w:jc w:val="center"/>
        </w:trPr>
        <w:tc>
          <w:tcPr>
            <w:tcW w:w="5103" w:type="dxa"/>
            <w:tcBorders>
              <w:top w:val="single" w:sz="8" w:space="0" w:color="auto"/>
              <w:left w:val="single" w:sz="8" w:space="0" w:color="auto"/>
              <w:bottom w:val="nil"/>
              <w:right w:val="single" w:sz="4" w:space="0" w:color="auto"/>
            </w:tcBorders>
            <w:shd w:val="clear" w:color="000000" w:fill="FFFFFF"/>
            <w:vAlign w:val="center"/>
            <w:hideMark/>
          </w:tcPr>
          <w:p w14:paraId="701558A8" w14:textId="77777777" w:rsidR="007D47BB" w:rsidRPr="007D47BB" w:rsidRDefault="007D47BB" w:rsidP="007D47BB">
            <w:pPr>
              <w:rPr>
                <w:rFonts w:cs="Arial"/>
                <w:b/>
                <w:bCs/>
                <w:color w:val="000000"/>
                <w:sz w:val="20"/>
                <w:szCs w:val="20"/>
                <w:lang w:eastAsia="en-GB"/>
              </w:rPr>
            </w:pPr>
            <w:r w:rsidRPr="007D47BB">
              <w:rPr>
                <w:rFonts w:cs="Arial"/>
                <w:b/>
                <w:bCs/>
                <w:color w:val="000000"/>
                <w:sz w:val="20"/>
                <w:szCs w:val="20"/>
                <w:lang w:eastAsia="en-GB"/>
              </w:rPr>
              <w:t>(Surplus) or Deficit on Provision of Services</w:t>
            </w:r>
          </w:p>
        </w:tc>
        <w:tc>
          <w:tcPr>
            <w:tcW w:w="1340" w:type="dxa"/>
            <w:tcBorders>
              <w:top w:val="single" w:sz="8" w:space="0" w:color="auto"/>
              <w:left w:val="single" w:sz="4" w:space="0" w:color="auto"/>
              <w:bottom w:val="nil"/>
              <w:right w:val="single" w:sz="4" w:space="0" w:color="auto"/>
            </w:tcBorders>
            <w:shd w:val="clear" w:color="000000" w:fill="FFFFFF"/>
            <w:noWrap/>
            <w:vAlign w:val="center"/>
            <w:hideMark/>
          </w:tcPr>
          <w:p w14:paraId="7DF719FE" w14:textId="77777777" w:rsidR="007D47BB" w:rsidRPr="007D47BB" w:rsidRDefault="007D47BB" w:rsidP="007D47BB">
            <w:pPr>
              <w:jc w:val="right"/>
              <w:rPr>
                <w:rFonts w:cs="Arial"/>
                <w:b/>
                <w:bCs/>
                <w:color w:val="000000"/>
                <w:sz w:val="20"/>
                <w:szCs w:val="20"/>
                <w:lang w:eastAsia="en-GB"/>
              </w:rPr>
            </w:pPr>
            <w:r w:rsidRPr="007D47BB">
              <w:rPr>
                <w:rFonts w:cs="Arial"/>
                <w:b/>
                <w:bCs/>
                <w:color w:val="000000"/>
                <w:sz w:val="20"/>
                <w:szCs w:val="20"/>
                <w:lang w:eastAsia="en-GB"/>
              </w:rPr>
              <w:t>2,459</w:t>
            </w:r>
          </w:p>
        </w:tc>
        <w:tc>
          <w:tcPr>
            <w:tcW w:w="1202" w:type="dxa"/>
            <w:tcBorders>
              <w:top w:val="single" w:sz="8" w:space="0" w:color="auto"/>
              <w:left w:val="single" w:sz="4" w:space="0" w:color="auto"/>
              <w:bottom w:val="nil"/>
              <w:right w:val="single" w:sz="8" w:space="0" w:color="auto"/>
            </w:tcBorders>
            <w:shd w:val="clear" w:color="000000" w:fill="FFFFFF"/>
            <w:noWrap/>
            <w:vAlign w:val="center"/>
            <w:hideMark/>
          </w:tcPr>
          <w:p w14:paraId="0BAD13F2" w14:textId="77777777" w:rsidR="007D47BB" w:rsidRPr="007D47BB" w:rsidRDefault="007D47BB" w:rsidP="007D47BB">
            <w:pPr>
              <w:jc w:val="right"/>
              <w:rPr>
                <w:rFonts w:cs="Arial"/>
                <w:b/>
                <w:bCs/>
                <w:color w:val="000000"/>
                <w:sz w:val="20"/>
                <w:szCs w:val="20"/>
                <w:lang w:eastAsia="en-GB"/>
              </w:rPr>
            </w:pPr>
            <w:r w:rsidRPr="007D47BB">
              <w:rPr>
                <w:rFonts w:cs="Arial"/>
                <w:b/>
                <w:bCs/>
                <w:color w:val="000000"/>
                <w:sz w:val="20"/>
                <w:szCs w:val="20"/>
                <w:lang w:eastAsia="en-GB"/>
              </w:rPr>
              <w:t>2,574</w:t>
            </w:r>
          </w:p>
        </w:tc>
        <w:tc>
          <w:tcPr>
            <w:tcW w:w="1134" w:type="dxa"/>
            <w:tcBorders>
              <w:top w:val="single" w:sz="8" w:space="0" w:color="auto"/>
              <w:left w:val="nil"/>
              <w:bottom w:val="nil"/>
              <w:right w:val="single" w:sz="8" w:space="0" w:color="auto"/>
            </w:tcBorders>
            <w:shd w:val="clear" w:color="000000" w:fill="FFFFFF"/>
            <w:noWrap/>
            <w:vAlign w:val="center"/>
            <w:hideMark/>
          </w:tcPr>
          <w:p w14:paraId="09E2E955" w14:textId="77777777" w:rsidR="007D47BB" w:rsidRPr="007D47BB" w:rsidRDefault="007D47BB" w:rsidP="007D47BB">
            <w:pPr>
              <w:jc w:val="right"/>
              <w:rPr>
                <w:rFonts w:cs="Arial"/>
                <w:b/>
                <w:bCs/>
                <w:color w:val="000000"/>
                <w:sz w:val="20"/>
                <w:szCs w:val="20"/>
                <w:lang w:eastAsia="en-GB"/>
              </w:rPr>
            </w:pPr>
            <w:r w:rsidRPr="007D47BB">
              <w:rPr>
                <w:rFonts w:cs="Arial"/>
                <w:b/>
                <w:bCs/>
                <w:color w:val="000000"/>
                <w:sz w:val="20"/>
                <w:szCs w:val="20"/>
                <w:lang w:eastAsia="en-GB"/>
              </w:rPr>
              <w:t>-115</w:t>
            </w:r>
          </w:p>
        </w:tc>
      </w:tr>
      <w:tr w:rsidR="007D47BB" w:rsidRPr="007D47BB" w14:paraId="6375968F" w14:textId="77777777" w:rsidTr="007D47BB">
        <w:trPr>
          <w:trHeight w:val="290"/>
          <w:jc w:val="center"/>
        </w:trPr>
        <w:tc>
          <w:tcPr>
            <w:tcW w:w="5103" w:type="dxa"/>
            <w:tcBorders>
              <w:top w:val="nil"/>
              <w:left w:val="single" w:sz="8" w:space="0" w:color="auto"/>
              <w:bottom w:val="nil"/>
              <w:right w:val="single" w:sz="4" w:space="0" w:color="auto"/>
            </w:tcBorders>
            <w:shd w:val="clear" w:color="auto" w:fill="auto"/>
            <w:noWrap/>
            <w:vAlign w:val="center"/>
            <w:hideMark/>
          </w:tcPr>
          <w:p w14:paraId="5BE9616D"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 </w:t>
            </w:r>
          </w:p>
        </w:tc>
        <w:tc>
          <w:tcPr>
            <w:tcW w:w="1340" w:type="dxa"/>
            <w:tcBorders>
              <w:top w:val="nil"/>
              <w:left w:val="single" w:sz="4" w:space="0" w:color="auto"/>
              <w:bottom w:val="nil"/>
              <w:right w:val="single" w:sz="4" w:space="0" w:color="auto"/>
            </w:tcBorders>
            <w:shd w:val="clear" w:color="auto" w:fill="auto"/>
            <w:noWrap/>
            <w:vAlign w:val="center"/>
            <w:hideMark/>
          </w:tcPr>
          <w:p w14:paraId="234B7129"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 </w:t>
            </w:r>
          </w:p>
        </w:tc>
        <w:tc>
          <w:tcPr>
            <w:tcW w:w="1202" w:type="dxa"/>
            <w:tcBorders>
              <w:top w:val="nil"/>
              <w:left w:val="single" w:sz="4" w:space="0" w:color="auto"/>
              <w:bottom w:val="nil"/>
              <w:right w:val="single" w:sz="8" w:space="0" w:color="auto"/>
            </w:tcBorders>
            <w:shd w:val="clear" w:color="auto" w:fill="auto"/>
            <w:noWrap/>
            <w:vAlign w:val="center"/>
            <w:hideMark/>
          </w:tcPr>
          <w:p w14:paraId="2040EE37"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 </w:t>
            </w:r>
          </w:p>
        </w:tc>
        <w:tc>
          <w:tcPr>
            <w:tcW w:w="1134" w:type="dxa"/>
            <w:tcBorders>
              <w:top w:val="nil"/>
              <w:left w:val="nil"/>
              <w:bottom w:val="nil"/>
              <w:right w:val="single" w:sz="8" w:space="0" w:color="auto"/>
            </w:tcBorders>
            <w:shd w:val="clear" w:color="auto" w:fill="auto"/>
            <w:noWrap/>
            <w:vAlign w:val="center"/>
            <w:hideMark/>
          </w:tcPr>
          <w:p w14:paraId="75FF6FEC"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 </w:t>
            </w:r>
          </w:p>
        </w:tc>
      </w:tr>
      <w:tr w:rsidR="007D47BB" w:rsidRPr="007D47BB" w14:paraId="0C65DB7F" w14:textId="77777777" w:rsidTr="007D47BB">
        <w:trPr>
          <w:trHeight w:val="290"/>
          <w:jc w:val="center"/>
        </w:trPr>
        <w:tc>
          <w:tcPr>
            <w:tcW w:w="5103" w:type="dxa"/>
            <w:tcBorders>
              <w:top w:val="nil"/>
              <w:left w:val="single" w:sz="8" w:space="0" w:color="auto"/>
              <w:bottom w:val="nil"/>
              <w:right w:val="single" w:sz="4" w:space="0" w:color="auto"/>
            </w:tcBorders>
            <w:shd w:val="clear" w:color="000000" w:fill="FFFFFF"/>
            <w:vAlign w:val="center"/>
            <w:hideMark/>
          </w:tcPr>
          <w:p w14:paraId="311DE675"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(Surplus) or deficit on revaluation of non-current assets</w:t>
            </w:r>
          </w:p>
        </w:tc>
        <w:tc>
          <w:tcPr>
            <w:tcW w:w="1340" w:type="dxa"/>
            <w:tcBorders>
              <w:top w:val="nil"/>
              <w:left w:val="single" w:sz="4" w:space="0" w:color="auto"/>
              <w:bottom w:val="nil"/>
              <w:right w:val="single" w:sz="4" w:space="0" w:color="auto"/>
            </w:tcBorders>
            <w:shd w:val="clear" w:color="000000" w:fill="FFFFFF"/>
            <w:vAlign w:val="center"/>
            <w:hideMark/>
          </w:tcPr>
          <w:p w14:paraId="631EEFAB"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-2,363</w:t>
            </w:r>
          </w:p>
        </w:tc>
        <w:tc>
          <w:tcPr>
            <w:tcW w:w="1202" w:type="dxa"/>
            <w:tcBorders>
              <w:top w:val="nil"/>
              <w:left w:val="single" w:sz="4" w:space="0" w:color="auto"/>
              <w:bottom w:val="nil"/>
              <w:right w:val="single" w:sz="8" w:space="0" w:color="auto"/>
            </w:tcBorders>
            <w:shd w:val="clear" w:color="000000" w:fill="FFFFFF"/>
            <w:vAlign w:val="center"/>
            <w:hideMark/>
          </w:tcPr>
          <w:p w14:paraId="34DD52CE"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-2,363</w:t>
            </w:r>
          </w:p>
        </w:tc>
        <w:tc>
          <w:tcPr>
            <w:tcW w:w="1134" w:type="dxa"/>
            <w:tcBorders>
              <w:top w:val="nil"/>
              <w:left w:val="nil"/>
              <w:bottom w:val="nil"/>
              <w:right w:val="single" w:sz="8" w:space="0" w:color="auto"/>
            </w:tcBorders>
            <w:shd w:val="clear" w:color="000000" w:fill="FFFFFF"/>
            <w:vAlign w:val="center"/>
            <w:hideMark/>
          </w:tcPr>
          <w:p w14:paraId="29BE80F4"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0</w:t>
            </w:r>
          </w:p>
        </w:tc>
      </w:tr>
      <w:tr w:rsidR="007D47BB" w:rsidRPr="007D47BB" w14:paraId="3A9E2E97" w14:textId="77777777" w:rsidTr="007D47BB">
        <w:trPr>
          <w:trHeight w:val="300"/>
          <w:jc w:val="center"/>
        </w:trPr>
        <w:tc>
          <w:tcPr>
            <w:tcW w:w="5103" w:type="dxa"/>
            <w:tcBorders>
              <w:top w:val="nil"/>
              <w:left w:val="single" w:sz="8" w:space="0" w:color="auto"/>
              <w:bottom w:val="nil"/>
              <w:right w:val="single" w:sz="4" w:space="0" w:color="auto"/>
            </w:tcBorders>
            <w:shd w:val="clear" w:color="000000" w:fill="FFFFFF"/>
            <w:vAlign w:val="center"/>
            <w:hideMark/>
          </w:tcPr>
          <w:p w14:paraId="3AA25C39"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Remeasurements of the defined benefit liability</w:t>
            </w:r>
          </w:p>
        </w:tc>
        <w:tc>
          <w:tcPr>
            <w:tcW w:w="1340" w:type="dxa"/>
            <w:tcBorders>
              <w:top w:val="nil"/>
              <w:left w:val="single" w:sz="4" w:space="0" w:color="auto"/>
              <w:bottom w:val="nil"/>
              <w:right w:val="single" w:sz="4" w:space="0" w:color="auto"/>
            </w:tcBorders>
            <w:shd w:val="clear" w:color="000000" w:fill="FFFFFF"/>
            <w:vAlign w:val="center"/>
            <w:hideMark/>
          </w:tcPr>
          <w:p w14:paraId="01B8BC52"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-23,900</w:t>
            </w:r>
          </w:p>
        </w:tc>
        <w:tc>
          <w:tcPr>
            <w:tcW w:w="1202" w:type="dxa"/>
            <w:tcBorders>
              <w:top w:val="nil"/>
              <w:left w:val="single" w:sz="4" w:space="0" w:color="auto"/>
              <w:bottom w:val="nil"/>
              <w:right w:val="single" w:sz="8" w:space="0" w:color="auto"/>
            </w:tcBorders>
            <w:shd w:val="clear" w:color="000000" w:fill="FFFFFF"/>
            <w:vAlign w:val="center"/>
            <w:hideMark/>
          </w:tcPr>
          <w:p w14:paraId="271D3F73"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-23,900</w:t>
            </w:r>
          </w:p>
        </w:tc>
        <w:tc>
          <w:tcPr>
            <w:tcW w:w="1134" w:type="dxa"/>
            <w:tcBorders>
              <w:top w:val="nil"/>
              <w:left w:val="nil"/>
              <w:bottom w:val="nil"/>
              <w:right w:val="single" w:sz="8" w:space="0" w:color="auto"/>
            </w:tcBorders>
            <w:shd w:val="clear" w:color="000000" w:fill="FFFFFF"/>
            <w:vAlign w:val="center"/>
            <w:hideMark/>
          </w:tcPr>
          <w:p w14:paraId="2817F852"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0</w:t>
            </w:r>
          </w:p>
        </w:tc>
      </w:tr>
      <w:tr w:rsidR="007D47BB" w:rsidRPr="007D47BB" w14:paraId="088FEB57" w14:textId="77777777" w:rsidTr="007D47BB">
        <w:trPr>
          <w:trHeight w:val="290"/>
          <w:jc w:val="center"/>
        </w:trPr>
        <w:tc>
          <w:tcPr>
            <w:tcW w:w="5103" w:type="dxa"/>
            <w:tcBorders>
              <w:top w:val="single" w:sz="8" w:space="0" w:color="auto"/>
              <w:left w:val="single" w:sz="8" w:space="0" w:color="auto"/>
              <w:bottom w:val="nil"/>
              <w:right w:val="single" w:sz="4" w:space="0" w:color="auto"/>
            </w:tcBorders>
            <w:shd w:val="clear" w:color="000000" w:fill="FFFFFF"/>
            <w:vAlign w:val="center"/>
            <w:hideMark/>
          </w:tcPr>
          <w:p w14:paraId="616E37A9" w14:textId="77777777" w:rsidR="007D47BB" w:rsidRPr="007D47BB" w:rsidRDefault="007D47BB" w:rsidP="007D47BB">
            <w:pPr>
              <w:rPr>
                <w:rFonts w:cs="Arial"/>
                <w:b/>
                <w:bCs/>
                <w:color w:val="000000"/>
                <w:sz w:val="20"/>
                <w:szCs w:val="20"/>
                <w:lang w:eastAsia="en-GB"/>
              </w:rPr>
            </w:pPr>
            <w:r w:rsidRPr="007D47BB">
              <w:rPr>
                <w:rFonts w:cs="Arial"/>
                <w:b/>
                <w:bCs/>
                <w:color w:val="000000"/>
                <w:sz w:val="20"/>
                <w:szCs w:val="20"/>
                <w:lang w:eastAsia="en-GB"/>
              </w:rPr>
              <w:t>Other Comprehensive (Income) &amp; Expenditure</w:t>
            </w:r>
          </w:p>
        </w:tc>
        <w:tc>
          <w:tcPr>
            <w:tcW w:w="1340" w:type="dxa"/>
            <w:tcBorders>
              <w:top w:val="single" w:sz="8" w:space="0" w:color="auto"/>
              <w:left w:val="single" w:sz="4" w:space="0" w:color="auto"/>
              <w:bottom w:val="nil"/>
              <w:right w:val="single" w:sz="4" w:space="0" w:color="auto"/>
            </w:tcBorders>
            <w:shd w:val="clear" w:color="000000" w:fill="FFFFFF"/>
            <w:noWrap/>
            <w:vAlign w:val="center"/>
            <w:hideMark/>
          </w:tcPr>
          <w:p w14:paraId="5C5A424F" w14:textId="77777777" w:rsidR="007D47BB" w:rsidRPr="007D47BB" w:rsidRDefault="007D47BB" w:rsidP="007D47BB">
            <w:pPr>
              <w:jc w:val="right"/>
              <w:rPr>
                <w:rFonts w:cs="Arial"/>
                <w:b/>
                <w:bCs/>
                <w:color w:val="000000"/>
                <w:sz w:val="20"/>
                <w:szCs w:val="20"/>
                <w:lang w:eastAsia="en-GB"/>
              </w:rPr>
            </w:pPr>
            <w:r w:rsidRPr="007D47BB">
              <w:rPr>
                <w:rFonts w:cs="Arial"/>
                <w:b/>
                <w:bCs/>
                <w:color w:val="000000"/>
                <w:sz w:val="20"/>
                <w:szCs w:val="20"/>
                <w:lang w:eastAsia="en-GB"/>
              </w:rPr>
              <w:t>-26,263</w:t>
            </w:r>
          </w:p>
        </w:tc>
        <w:tc>
          <w:tcPr>
            <w:tcW w:w="1202" w:type="dxa"/>
            <w:tcBorders>
              <w:top w:val="single" w:sz="8" w:space="0" w:color="auto"/>
              <w:left w:val="single" w:sz="4" w:space="0" w:color="auto"/>
              <w:bottom w:val="nil"/>
              <w:right w:val="single" w:sz="8" w:space="0" w:color="auto"/>
            </w:tcBorders>
            <w:shd w:val="clear" w:color="000000" w:fill="FFFFFF"/>
            <w:noWrap/>
            <w:vAlign w:val="center"/>
            <w:hideMark/>
          </w:tcPr>
          <w:p w14:paraId="0DAEAA77" w14:textId="66E91A1F" w:rsidR="007D47BB" w:rsidRPr="007D47BB" w:rsidRDefault="007D47BB" w:rsidP="007D47BB">
            <w:pPr>
              <w:jc w:val="right"/>
              <w:rPr>
                <w:rFonts w:cs="Arial"/>
                <w:b/>
                <w:bCs/>
                <w:color w:val="000000"/>
                <w:sz w:val="20"/>
                <w:szCs w:val="20"/>
                <w:lang w:eastAsia="en-GB"/>
              </w:rPr>
            </w:pPr>
            <w:r w:rsidRPr="007D47BB">
              <w:rPr>
                <w:rFonts w:cs="Arial"/>
                <w:b/>
                <w:bCs/>
                <w:color w:val="000000"/>
                <w:sz w:val="20"/>
                <w:szCs w:val="20"/>
                <w:lang w:eastAsia="en-GB"/>
              </w:rPr>
              <w:t>-</w:t>
            </w:r>
            <w:r w:rsidR="004D7221">
              <w:rPr>
                <w:rFonts w:cs="Arial"/>
                <w:b/>
                <w:bCs/>
                <w:color w:val="000000"/>
                <w:sz w:val="20"/>
                <w:szCs w:val="20"/>
                <w:lang w:eastAsia="en-GB"/>
              </w:rPr>
              <w:t>26,263</w:t>
            </w:r>
          </w:p>
        </w:tc>
        <w:tc>
          <w:tcPr>
            <w:tcW w:w="1134" w:type="dxa"/>
            <w:tcBorders>
              <w:top w:val="single" w:sz="8" w:space="0" w:color="auto"/>
              <w:left w:val="nil"/>
              <w:bottom w:val="nil"/>
              <w:right w:val="single" w:sz="8" w:space="0" w:color="auto"/>
            </w:tcBorders>
            <w:shd w:val="clear" w:color="000000" w:fill="FFFFFF"/>
            <w:noWrap/>
            <w:vAlign w:val="center"/>
            <w:hideMark/>
          </w:tcPr>
          <w:p w14:paraId="00CE61F0" w14:textId="77777777" w:rsidR="007D47BB" w:rsidRPr="007D47BB" w:rsidRDefault="007D47BB" w:rsidP="007D47BB">
            <w:pPr>
              <w:jc w:val="right"/>
              <w:rPr>
                <w:rFonts w:cs="Arial"/>
                <w:b/>
                <w:bCs/>
                <w:color w:val="000000"/>
                <w:sz w:val="20"/>
                <w:szCs w:val="20"/>
                <w:lang w:eastAsia="en-GB"/>
              </w:rPr>
            </w:pPr>
            <w:r w:rsidRPr="007D47BB">
              <w:rPr>
                <w:rFonts w:cs="Arial"/>
                <w:b/>
                <w:bCs/>
                <w:color w:val="000000"/>
                <w:sz w:val="20"/>
                <w:szCs w:val="20"/>
                <w:lang w:eastAsia="en-GB"/>
              </w:rPr>
              <w:t>0</w:t>
            </w:r>
          </w:p>
        </w:tc>
      </w:tr>
      <w:tr w:rsidR="007D47BB" w:rsidRPr="007D47BB" w14:paraId="2E172AF7" w14:textId="77777777" w:rsidTr="007D47BB">
        <w:trPr>
          <w:trHeight w:val="300"/>
          <w:jc w:val="center"/>
        </w:trPr>
        <w:tc>
          <w:tcPr>
            <w:tcW w:w="5103" w:type="dxa"/>
            <w:tcBorders>
              <w:top w:val="nil"/>
              <w:left w:val="single" w:sz="8" w:space="0" w:color="auto"/>
              <w:bottom w:val="nil"/>
              <w:right w:val="single" w:sz="4" w:space="0" w:color="auto"/>
            </w:tcBorders>
            <w:shd w:val="clear" w:color="000000" w:fill="FFFFFF"/>
            <w:vAlign w:val="center"/>
            <w:hideMark/>
          </w:tcPr>
          <w:p w14:paraId="14441019" w14:textId="77777777" w:rsidR="007D47BB" w:rsidRPr="007D47BB" w:rsidRDefault="007D47BB" w:rsidP="007D47BB">
            <w:pPr>
              <w:rPr>
                <w:rFonts w:cs="Arial"/>
                <w:b/>
                <w:bCs/>
                <w:color w:val="000000"/>
                <w:sz w:val="20"/>
                <w:szCs w:val="20"/>
                <w:lang w:eastAsia="en-GB"/>
              </w:rPr>
            </w:pPr>
            <w:r w:rsidRPr="007D47BB">
              <w:rPr>
                <w:rFonts w:cs="Arial"/>
                <w:b/>
                <w:bCs/>
                <w:color w:val="000000"/>
                <w:sz w:val="20"/>
                <w:szCs w:val="20"/>
                <w:lang w:eastAsia="en-GB"/>
              </w:rPr>
              <w:t> </w:t>
            </w:r>
          </w:p>
        </w:tc>
        <w:tc>
          <w:tcPr>
            <w:tcW w:w="1340" w:type="dxa"/>
            <w:tcBorders>
              <w:top w:val="nil"/>
              <w:left w:val="single" w:sz="4" w:space="0" w:color="auto"/>
              <w:bottom w:val="nil"/>
              <w:right w:val="single" w:sz="4" w:space="0" w:color="auto"/>
            </w:tcBorders>
            <w:shd w:val="clear" w:color="000000" w:fill="FFFFFF"/>
            <w:noWrap/>
            <w:vAlign w:val="center"/>
            <w:hideMark/>
          </w:tcPr>
          <w:p w14:paraId="122A437F" w14:textId="77777777" w:rsidR="007D47BB" w:rsidRPr="007D47BB" w:rsidRDefault="007D47BB" w:rsidP="007D47BB">
            <w:pPr>
              <w:jc w:val="right"/>
              <w:rPr>
                <w:rFonts w:cs="Arial"/>
                <w:b/>
                <w:bCs/>
                <w:color w:val="000000"/>
                <w:sz w:val="20"/>
                <w:szCs w:val="20"/>
                <w:lang w:eastAsia="en-GB"/>
              </w:rPr>
            </w:pPr>
            <w:r w:rsidRPr="007D47BB">
              <w:rPr>
                <w:rFonts w:cs="Arial"/>
                <w:b/>
                <w:bCs/>
                <w:color w:val="000000"/>
                <w:sz w:val="20"/>
                <w:szCs w:val="20"/>
                <w:lang w:eastAsia="en-GB"/>
              </w:rPr>
              <w:t> </w:t>
            </w:r>
          </w:p>
        </w:tc>
        <w:tc>
          <w:tcPr>
            <w:tcW w:w="1202" w:type="dxa"/>
            <w:tcBorders>
              <w:top w:val="nil"/>
              <w:left w:val="single" w:sz="4" w:space="0" w:color="auto"/>
              <w:bottom w:val="nil"/>
              <w:right w:val="single" w:sz="8" w:space="0" w:color="auto"/>
            </w:tcBorders>
            <w:shd w:val="clear" w:color="000000" w:fill="FFFFFF"/>
            <w:noWrap/>
            <w:vAlign w:val="center"/>
            <w:hideMark/>
          </w:tcPr>
          <w:p w14:paraId="7A6C2800" w14:textId="77777777" w:rsidR="007D47BB" w:rsidRPr="007D47BB" w:rsidRDefault="007D47BB" w:rsidP="007D47BB">
            <w:pPr>
              <w:jc w:val="right"/>
              <w:rPr>
                <w:rFonts w:cs="Arial"/>
                <w:b/>
                <w:bCs/>
                <w:color w:val="000000"/>
                <w:sz w:val="20"/>
                <w:szCs w:val="20"/>
                <w:lang w:eastAsia="en-GB"/>
              </w:rPr>
            </w:pPr>
            <w:r w:rsidRPr="007D47BB">
              <w:rPr>
                <w:rFonts w:cs="Arial"/>
                <w:b/>
                <w:bCs/>
                <w:color w:val="000000"/>
                <w:sz w:val="20"/>
                <w:szCs w:val="20"/>
                <w:lang w:eastAsia="en-GB"/>
              </w:rPr>
              <w:t> </w:t>
            </w:r>
          </w:p>
        </w:tc>
        <w:tc>
          <w:tcPr>
            <w:tcW w:w="1134" w:type="dxa"/>
            <w:tcBorders>
              <w:top w:val="nil"/>
              <w:left w:val="nil"/>
              <w:bottom w:val="nil"/>
              <w:right w:val="single" w:sz="8" w:space="0" w:color="auto"/>
            </w:tcBorders>
            <w:shd w:val="clear" w:color="000000" w:fill="FFFFFF"/>
            <w:noWrap/>
            <w:vAlign w:val="center"/>
            <w:hideMark/>
          </w:tcPr>
          <w:p w14:paraId="22478DC9" w14:textId="77777777" w:rsidR="007D47BB" w:rsidRPr="007D47BB" w:rsidRDefault="007D47BB" w:rsidP="007D47BB">
            <w:pPr>
              <w:jc w:val="right"/>
              <w:rPr>
                <w:rFonts w:cs="Arial"/>
                <w:b/>
                <w:bCs/>
                <w:color w:val="000000"/>
                <w:sz w:val="20"/>
                <w:szCs w:val="20"/>
                <w:lang w:eastAsia="en-GB"/>
              </w:rPr>
            </w:pPr>
            <w:r w:rsidRPr="007D47BB">
              <w:rPr>
                <w:rFonts w:cs="Arial"/>
                <w:b/>
                <w:bCs/>
                <w:color w:val="000000"/>
                <w:sz w:val="20"/>
                <w:szCs w:val="20"/>
                <w:lang w:eastAsia="en-GB"/>
              </w:rPr>
              <w:t> </w:t>
            </w:r>
          </w:p>
        </w:tc>
      </w:tr>
      <w:tr w:rsidR="007D47BB" w:rsidRPr="007D47BB" w14:paraId="4C3AA249" w14:textId="77777777" w:rsidTr="007D47BB">
        <w:trPr>
          <w:trHeight w:val="290"/>
          <w:jc w:val="center"/>
        </w:trPr>
        <w:tc>
          <w:tcPr>
            <w:tcW w:w="5103" w:type="dxa"/>
            <w:tcBorders>
              <w:top w:val="single" w:sz="8" w:space="0" w:color="auto"/>
              <w:left w:val="single" w:sz="8" w:space="0" w:color="auto"/>
              <w:bottom w:val="nil"/>
              <w:right w:val="single" w:sz="4" w:space="0" w:color="auto"/>
            </w:tcBorders>
            <w:shd w:val="clear" w:color="000000" w:fill="FFFFFF"/>
            <w:vAlign w:val="center"/>
            <w:hideMark/>
          </w:tcPr>
          <w:p w14:paraId="49D8227E" w14:textId="77777777" w:rsidR="007D47BB" w:rsidRPr="007D47BB" w:rsidRDefault="007D47BB" w:rsidP="007D47BB">
            <w:pPr>
              <w:rPr>
                <w:rFonts w:cs="Arial"/>
                <w:b/>
                <w:bCs/>
                <w:color w:val="000000"/>
                <w:sz w:val="20"/>
                <w:szCs w:val="20"/>
                <w:lang w:eastAsia="en-GB"/>
              </w:rPr>
            </w:pPr>
            <w:r w:rsidRPr="007D47BB">
              <w:rPr>
                <w:rFonts w:cs="Arial"/>
                <w:b/>
                <w:bCs/>
                <w:color w:val="000000"/>
                <w:sz w:val="20"/>
                <w:szCs w:val="20"/>
                <w:lang w:eastAsia="en-GB"/>
              </w:rPr>
              <w:t>Total Comprehensive (Income) &amp; Expenditure</w:t>
            </w:r>
          </w:p>
        </w:tc>
        <w:tc>
          <w:tcPr>
            <w:tcW w:w="1340" w:type="dxa"/>
            <w:tcBorders>
              <w:top w:val="single" w:sz="8" w:space="0" w:color="auto"/>
              <w:left w:val="single" w:sz="4" w:space="0" w:color="auto"/>
              <w:bottom w:val="nil"/>
              <w:right w:val="single" w:sz="4" w:space="0" w:color="auto"/>
            </w:tcBorders>
            <w:shd w:val="clear" w:color="000000" w:fill="FFFFFF"/>
            <w:noWrap/>
            <w:vAlign w:val="center"/>
            <w:hideMark/>
          </w:tcPr>
          <w:p w14:paraId="03B010AC" w14:textId="77777777" w:rsidR="007D47BB" w:rsidRPr="007D47BB" w:rsidRDefault="007D47BB" w:rsidP="007D47BB">
            <w:pPr>
              <w:jc w:val="right"/>
              <w:rPr>
                <w:rFonts w:cs="Arial"/>
                <w:b/>
                <w:bCs/>
                <w:color w:val="000000"/>
                <w:sz w:val="20"/>
                <w:szCs w:val="20"/>
                <w:lang w:eastAsia="en-GB"/>
              </w:rPr>
            </w:pPr>
            <w:r w:rsidRPr="007D47BB">
              <w:rPr>
                <w:rFonts w:cs="Arial"/>
                <w:b/>
                <w:bCs/>
                <w:color w:val="000000"/>
                <w:sz w:val="20"/>
                <w:szCs w:val="20"/>
                <w:lang w:eastAsia="en-GB"/>
              </w:rPr>
              <w:t>-23,804</w:t>
            </w:r>
          </w:p>
        </w:tc>
        <w:tc>
          <w:tcPr>
            <w:tcW w:w="1202" w:type="dxa"/>
            <w:tcBorders>
              <w:top w:val="single" w:sz="8" w:space="0" w:color="auto"/>
              <w:left w:val="single" w:sz="4" w:space="0" w:color="auto"/>
              <w:bottom w:val="nil"/>
              <w:right w:val="single" w:sz="8" w:space="0" w:color="auto"/>
            </w:tcBorders>
            <w:shd w:val="clear" w:color="000000" w:fill="FFFFFF"/>
            <w:noWrap/>
            <w:vAlign w:val="center"/>
            <w:hideMark/>
          </w:tcPr>
          <w:p w14:paraId="147C423F" w14:textId="05A12586" w:rsidR="007D47BB" w:rsidRPr="007D47BB" w:rsidRDefault="007D47BB" w:rsidP="007D47BB">
            <w:pPr>
              <w:jc w:val="right"/>
              <w:rPr>
                <w:rFonts w:cs="Arial"/>
                <w:b/>
                <w:bCs/>
                <w:color w:val="000000"/>
                <w:sz w:val="20"/>
                <w:szCs w:val="20"/>
                <w:lang w:eastAsia="en-GB"/>
              </w:rPr>
            </w:pPr>
            <w:r w:rsidRPr="007D47BB">
              <w:rPr>
                <w:rFonts w:cs="Arial"/>
                <w:b/>
                <w:bCs/>
                <w:color w:val="000000"/>
                <w:sz w:val="20"/>
                <w:szCs w:val="20"/>
                <w:lang w:eastAsia="en-GB"/>
              </w:rPr>
              <w:t>-2</w:t>
            </w:r>
            <w:r w:rsidR="004D7221">
              <w:rPr>
                <w:rFonts w:cs="Arial"/>
                <w:b/>
                <w:bCs/>
                <w:color w:val="000000"/>
                <w:sz w:val="20"/>
                <w:szCs w:val="20"/>
                <w:lang w:eastAsia="en-GB"/>
              </w:rPr>
              <w:t>3,689</w:t>
            </w:r>
          </w:p>
        </w:tc>
        <w:tc>
          <w:tcPr>
            <w:tcW w:w="1134" w:type="dxa"/>
            <w:tcBorders>
              <w:top w:val="single" w:sz="8" w:space="0" w:color="auto"/>
              <w:left w:val="nil"/>
              <w:bottom w:val="nil"/>
              <w:right w:val="single" w:sz="8" w:space="0" w:color="auto"/>
            </w:tcBorders>
            <w:shd w:val="clear" w:color="000000" w:fill="FFFFFF"/>
            <w:noWrap/>
            <w:vAlign w:val="center"/>
            <w:hideMark/>
          </w:tcPr>
          <w:p w14:paraId="7E06215B" w14:textId="77777777" w:rsidR="007D47BB" w:rsidRPr="007D47BB" w:rsidRDefault="007D47BB" w:rsidP="007D47BB">
            <w:pPr>
              <w:jc w:val="right"/>
              <w:rPr>
                <w:rFonts w:cs="Arial"/>
                <w:b/>
                <w:bCs/>
                <w:color w:val="000000"/>
                <w:sz w:val="20"/>
                <w:szCs w:val="20"/>
                <w:lang w:eastAsia="en-GB"/>
              </w:rPr>
            </w:pPr>
            <w:r w:rsidRPr="007D47BB">
              <w:rPr>
                <w:rFonts w:cs="Arial"/>
                <w:b/>
                <w:bCs/>
                <w:color w:val="000000"/>
                <w:sz w:val="20"/>
                <w:szCs w:val="20"/>
                <w:lang w:eastAsia="en-GB"/>
              </w:rPr>
              <w:t>-115</w:t>
            </w:r>
          </w:p>
        </w:tc>
      </w:tr>
      <w:tr w:rsidR="007D47BB" w:rsidRPr="007D47BB" w14:paraId="1FA5D033" w14:textId="77777777" w:rsidTr="007D47BB">
        <w:trPr>
          <w:trHeight w:val="290"/>
          <w:jc w:val="center"/>
        </w:trPr>
        <w:tc>
          <w:tcPr>
            <w:tcW w:w="5103" w:type="dxa"/>
            <w:tcBorders>
              <w:top w:val="nil"/>
              <w:left w:val="single" w:sz="8" w:space="0" w:color="auto"/>
              <w:bottom w:val="nil"/>
              <w:right w:val="single" w:sz="4" w:space="0" w:color="auto"/>
            </w:tcBorders>
            <w:shd w:val="clear" w:color="auto" w:fill="auto"/>
            <w:noWrap/>
            <w:vAlign w:val="center"/>
            <w:hideMark/>
          </w:tcPr>
          <w:p w14:paraId="007098AD"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 </w:t>
            </w:r>
          </w:p>
        </w:tc>
        <w:tc>
          <w:tcPr>
            <w:tcW w:w="1340" w:type="dxa"/>
            <w:tcBorders>
              <w:top w:val="nil"/>
              <w:left w:val="single" w:sz="4" w:space="0" w:color="auto"/>
              <w:bottom w:val="nil"/>
              <w:right w:val="single" w:sz="4" w:space="0" w:color="auto"/>
            </w:tcBorders>
            <w:shd w:val="clear" w:color="auto" w:fill="auto"/>
            <w:noWrap/>
            <w:vAlign w:val="center"/>
            <w:hideMark/>
          </w:tcPr>
          <w:p w14:paraId="7A9DC344"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 </w:t>
            </w:r>
          </w:p>
        </w:tc>
        <w:tc>
          <w:tcPr>
            <w:tcW w:w="1202" w:type="dxa"/>
            <w:tcBorders>
              <w:top w:val="nil"/>
              <w:left w:val="single" w:sz="4" w:space="0" w:color="auto"/>
              <w:bottom w:val="nil"/>
              <w:right w:val="single" w:sz="8" w:space="0" w:color="auto"/>
            </w:tcBorders>
            <w:shd w:val="clear" w:color="auto" w:fill="auto"/>
            <w:noWrap/>
            <w:vAlign w:val="center"/>
            <w:hideMark/>
          </w:tcPr>
          <w:p w14:paraId="1158FE2B"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 </w:t>
            </w:r>
          </w:p>
        </w:tc>
        <w:tc>
          <w:tcPr>
            <w:tcW w:w="1134" w:type="dxa"/>
            <w:tcBorders>
              <w:top w:val="nil"/>
              <w:left w:val="nil"/>
              <w:bottom w:val="nil"/>
              <w:right w:val="single" w:sz="8" w:space="0" w:color="auto"/>
            </w:tcBorders>
            <w:shd w:val="clear" w:color="auto" w:fill="auto"/>
            <w:noWrap/>
            <w:vAlign w:val="center"/>
            <w:hideMark/>
          </w:tcPr>
          <w:p w14:paraId="1E1B7D62" w14:textId="77777777" w:rsidR="007D47BB" w:rsidRPr="007D47BB" w:rsidRDefault="007D47BB" w:rsidP="007D47BB">
            <w:pPr>
              <w:rPr>
                <w:rFonts w:cs="Arial"/>
                <w:color w:val="000000"/>
                <w:sz w:val="20"/>
                <w:szCs w:val="20"/>
                <w:lang w:eastAsia="en-GB"/>
              </w:rPr>
            </w:pPr>
            <w:r w:rsidRPr="007D47BB">
              <w:rPr>
                <w:rFonts w:cs="Arial"/>
                <w:color w:val="000000"/>
                <w:sz w:val="20"/>
                <w:szCs w:val="20"/>
                <w:lang w:eastAsia="en-GB"/>
              </w:rPr>
              <w:t> </w:t>
            </w:r>
          </w:p>
        </w:tc>
      </w:tr>
      <w:tr w:rsidR="007D47BB" w:rsidRPr="007D47BB" w14:paraId="434BD33F" w14:textId="77777777" w:rsidTr="007D47BB">
        <w:trPr>
          <w:trHeight w:val="300"/>
          <w:jc w:val="center"/>
        </w:trPr>
        <w:tc>
          <w:tcPr>
            <w:tcW w:w="5103" w:type="dxa"/>
            <w:tcBorders>
              <w:top w:val="nil"/>
              <w:left w:val="single" w:sz="8" w:space="0" w:color="auto"/>
              <w:bottom w:val="nil"/>
              <w:right w:val="single" w:sz="4" w:space="0" w:color="auto"/>
            </w:tcBorders>
            <w:shd w:val="clear" w:color="000000" w:fill="FFFFFF"/>
            <w:vAlign w:val="center"/>
            <w:hideMark/>
          </w:tcPr>
          <w:p w14:paraId="373105D3" w14:textId="77777777" w:rsidR="007D47BB" w:rsidRPr="007D47BB" w:rsidRDefault="007D47BB" w:rsidP="007D47BB">
            <w:pPr>
              <w:rPr>
                <w:rFonts w:cs="Arial"/>
                <w:b/>
                <w:bCs/>
                <w:color w:val="000000"/>
                <w:sz w:val="20"/>
                <w:szCs w:val="20"/>
                <w:lang w:eastAsia="en-GB"/>
              </w:rPr>
            </w:pPr>
            <w:r w:rsidRPr="007D47BB">
              <w:rPr>
                <w:rFonts w:cs="Arial"/>
                <w:b/>
                <w:bCs/>
                <w:color w:val="000000"/>
                <w:sz w:val="20"/>
                <w:szCs w:val="20"/>
                <w:lang w:eastAsia="en-GB"/>
              </w:rPr>
              <w:t>Movement in reserves</w:t>
            </w:r>
          </w:p>
        </w:tc>
        <w:tc>
          <w:tcPr>
            <w:tcW w:w="1340" w:type="dxa"/>
            <w:tcBorders>
              <w:top w:val="nil"/>
              <w:left w:val="single" w:sz="4" w:space="0" w:color="auto"/>
              <w:bottom w:val="nil"/>
              <w:right w:val="single" w:sz="4" w:space="0" w:color="auto"/>
            </w:tcBorders>
            <w:shd w:val="clear" w:color="auto" w:fill="auto"/>
            <w:noWrap/>
            <w:vAlign w:val="center"/>
            <w:hideMark/>
          </w:tcPr>
          <w:p w14:paraId="6EB94C90"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23,804</w:t>
            </w:r>
          </w:p>
        </w:tc>
        <w:tc>
          <w:tcPr>
            <w:tcW w:w="1202" w:type="dxa"/>
            <w:tcBorders>
              <w:top w:val="nil"/>
              <w:left w:val="single" w:sz="4" w:space="0" w:color="auto"/>
              <w:bottom w:val="nil"/>
              <w:right w:val="single" w:sz="8" w:space="0" w:color="auto"/>
            </w:tcBorders>
            <w:shd w:val="clear" w:color="auto" w:fill="auto"/>
            <w:noWrap/>
            <w:vAlign w:val="center"/>
            <w:hideMark/>
          </w:tcPr>
          <w:p w14:paraId="55BB1324" w14:textId="562ABCDA"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2</w:t>
            </w:r>
            <w:r w:rsidR="004D7221">
              <w:rPr>
                <w:rFonts w:cs="Arial"/>
                <w:color w:val="000000"/>
                <w:sz w:val="20"/>
                <w:szCs w:val="20"/>
                <w:lang w:eastAsia="en-GB"/>
              </w:rPr>
              <w:t>3,689</w:t>
            </w:r>
          </w:p>
        </w:tc>
        <w:tc>
          <w:tcPr>
            <w:tcW w:w="1134" w:type="dxa"/>
            <w:tcBorders>
              <w:top w:val="nil"/>
              <w:left w:val="nil"/>
              <w:bottom w:val="nil"/>
              <w:right w:val="single" w:sz="8" w:space="0" w:color="auto"/>
            </w:tcBorders>
            <w:shd w:val="clear" w:color="auto" w:fill="auto"/>
            <w:noWrap/>
            <w:vAlign w:val="center"/>
            <w:hideMark/>
          </w:tcPr>
          <w:p w14:paraId="04DA3C66" w14:textId="77777777" w:rsidR="007D47BB" w:rsidRPr="007D47BB" w:rsidRDefault="007D47BB" w:rsidP="007D47BB">
            <w:pPr>
              <w:jc w:val="right"/>
              <w:rPr>
                <w:rFonts w:cs="Arial"/>
                <w:color w:val="000000"/>
                <w:sz w:val="20"/>
                <w:szCs w:val="20"/>
                <w:lang w:eastAsia="en-GB"/>
              </w:rPr>
            </w:pPr>
            <w:r w:rsidRPr="007D47BB">
              <w:rPr>
                <w:rFonts w:cs="Arial"/>
                <w:color w:val="000000"/>
                <w:sz w:val="20"/>
                <w:szCs w:val="20"/>
                <w:lang w:eastAsia="en-GB"/>
              </w:rPr>
              <w:t>115</w:t>
            </w:r>
          </w:p>
        </w:tc>
      </w:tr>
      <w:tr w:rsidR="007D47BB" w:rsidRPr="007D47BB" w14:paraId="175ABA68" w14:textId="77777777" w:rsidTr="007D47BB">
        <w:trPr>
          <w:trHeight w:val="300"/>
          <w:jc w:val="center"/>
        </w:trPr>
        <w:tc>
          <w:tcPr>
            <w:tcW w:w="510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EF3E895" w14:textId="77777777" w:rsidR="007D47BB" w:rsidRPr="007D47BB" w:rsidRDefault="007D47BB" w:rsidP="007D47BB">
            <w:pPr>
              <w:rPr>
                <w:rFonts w:cs="Arial"/>
                <w:b/>
                <w:bCs/>
                <w:color w:val="000000"/>
                <w:sz w:val="20"/>
                <w:szCs w:val="20"/>
                <w:lang w:eastAsia="en-GB"/>
              </w:rPr>
            </w:pPr>
            <w:r w:rsidRPr="007D47BB">
              <w:rPr>
                <w:rFonts w:cs="Arial"/>
                <w:b/>
                <w:bCs/>
                <w:color w:val="000000"/>
                <w:sz w:val="20"/>
                <w:szCs w:val="20"/>
                <w:lang w:eastAsia="en-GB"/>
              </w:rPr>
              <w:t>Total</w:t>
            </w:r>
          </w:p>
        </w:tc>
        <w:tc>
          <w:tcPr>
            <w:tcW w:w="134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E2E8E04" w14:textId="77777777" w:rsidR="007D47BB" w:rsidRPr="007D47BB" w:rsidRDefault="007D47BB" w:rsidP="007D47BB">
            <w:pPr>
              <w:jc w:val="right"/>
              <w:rPr>
                <w:rFonts w:cs="Arial"/>
                <w:b/>
                <w:bCs/>
                <w:color w:val="000000"/>
                <w:sz w:val="20"/>
                <w:szCs w:val="20"/>
                <w:lang w:eastAsia="en-GB"/>
              </w:rPr>
            </w:pPr>
            <w:r w:rsidRPr="007D47BB">
              <w:rPr>
                <w:rFonts w:cs="Arial"/>
                <w:b/>
                <w:bCs/>
                <w:color w:val="000000"/>
                <w:sz w:val="20"/>
                <w:szCs w:val="20"/>
                <w:lang w:eastAsia="en-GB"/>
              </w:rPr>
              <w:t>0</w:t>
            </w:r>
          </w:p>
        </w:tc>
        <w:tc>
          <w:tcPr>
            <w:tcW w:w="120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B0B3340" w14:textId="77777777" w:rsidR="007D47BB" w:rsidRPr="007D47BB" w:rsidRDefault="007D47BB" w:rsidP="007D47BB">
            <w:pPr>
              <w:jc w:val="right"/>
              <w:rPr>
                <w:rFonts w:cs="Arial"/>
                <w:b/>
                <w:bCs/>
                <w:color w:val="000000"/>
                <w:sz w:val="20"/>
                <w:szCs w:val="20"/>
                <w:lang w:eastAsia="en-GB"/>
              </w:rPr>
            </w:pPr>
            <w:r w:rsidRPr="007D47BB">
              <w:rPr>
                <w:rFonts w:cs="Arial"/>
                <w:b/>
                <w:bCs/>
                <w:color w:val="000000"/>
                <w:sz w:val="20"/>
                <w:szCs w:val="20"/>
                <w:lang w:eastAsia="en-GB"/>
              </w:rPr>
              <w:t>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57BA0B92" w14:textId="77777777" w:rsidR="007D47BB" w:rsidRPr="007D47BB" w:rsidRDefault="007D47BB" w:rsidP="007D47BB">
            <w:pPr>
              <w:jc w:val="right"/>
              <w:rPr>
                <w:rFonts w:cs="Arial"/>
                <w:b/>
                <w:bCs/>
                <w:color w:val="000000"/>
                <w:sz w:val="20"/>
                <w:szCs w:val="20"/>
                <w:lang w:eastAsia="en-GB"/>
              </w:rPr>
            </w:pPr>
            <w:r w:rsidRPr="007D47BB">
              <w:rPr>
                <w:rFonts w:cs="Arial"/>
                <w:b/>
                <w:bCs/>
                <w:color w:val="000000"/>
                <w:sz w:val="20"/>
                <w:szCs w:val="20"/>
                <w:lang w:eastAsia="en-GB"/>
              </w:rPr>
              <w:t>0</w:t>
            </w:r>
          </w:p>
        </w:tc>
      </w:tr>
    </w:tbl>
    <w:p w14:paraId="0182DF1B" w14:textId="77777777" w:rsidR="0025666B" w:rsidRDefault="0025666B" w:rsidP="004F3100">
      <w:pPr>
        <w:rPr>
          <w:highlight w:val="yellow"/>
        </w:rPr>
      </w:pPr>
    </w:p>
    <w:p w14:paraId="6B36D5D6" w14:textId="77777777" w:rsidR="0025666B" w:rsidRPr="004D5CA8" w:rsidRDefault="0025666B" w:rsidP="004F3100">
      <w:pPr>
        <w:rPr>
          <w:highlight w:val="yellow"/>
        </w:rPr>
      </w:pPr>
    </w:p>
    <w:p w14:paraId="00DEEC98" w14:textId="7D2220F5" w:rsidR="004F3100" w:rsidRPr="0025666B" w:rsidRDefault="0025666B" w:rsidP="004F3100">
      <w:pPr>
        <w:rPr>
          <w:iCs/>
          <w:szCs w:val="20"/>
        </w:rPr>
      </w:pPr>
      <w:r w:rsidRPr="0025666B">
        <w:rPr>
          <w:iCs/>
          <w:szCs w:val="20"/>
        </w:rPr>
        <w:t>Budget monitoring</w:t>
      </w:r>
      <w:r w:rsidR="004F3100" w:rsidRPr="0025666B">
        <w:rPr>
          <w:iCs/>
          <w:szCs w:val="20"/>
        </w:rPr>
        <w:t xml:space="preserve"> information was reviewed by the Executive Board on a monthly basis</w:t>
      </w:r>
      <w:r w:rsidRPr="0025666B">
        <w:rPr>
          <w:iCs/>
          <w:szCs w:val="20"/>
        </w:rPr>
        <w:t>, including IAS19 adjustments</w:t>
      </w:r>
      <w:r w:rsidR="00516F4C">
        <w:rPr>
          <w:iCs/>
          <w:szCs w:val="20"/>
        </w:rPr>
        <w:t xml:space="preserve"> (pensions)</w:t>
      </w:r>
      <w:r w:rsidRPr="0025666B">
        <w:rPr>
          <w:iCs/>
          <w:szCs w:val="20"/>
        </w:rPr>
        <w:t>, capital charges and Movement In Reserves (MIRS) items</w:t>
      </w:r>
      <w:r w:rsidR="004F3100" w:rsidRPr="0025666B">
        <w:rPr>
          <w:iCs/>
          <w:szCs w:val="20"/>
        </w:rPr>
        <w:t>. The variances reported above are modest in relation to the overall Authority revenues</w:t>
      </w:r>
      <w:r w:rsidRPr="0025666B">
        <w:rPr>
          <w:iCs/>
          <w:szCs w:val="20"/>
        </w:rPr>
        <w:t xml:space="preserve">; a detailed out-turn report will be presented to full Authority with a detailed split down of the variances. The single largest variance of £440k non-specific grant income relates to one-off </w:t>
      </w:r>
      <w:r>
        <w:rPr>
          <w:iCs/>
          <w:szCs w:val="20"/>
        </w:rPr>
        <w:t>D</w:t>
      </w:r>
      <w:r w:rsidRPr="0025666B">
        <w:rPr>
          <w:iCs/>
          <w:szCs w:val="20"/>
        </w:rPr>
        <w:t xml:space="preserve">efra grant income for 2022/23. </w:t>
      </w:r>
    </w:p>
    <w:p w14:paraId="24ACFF07" w14:textId="77777777" w:rsidR="0025666B" w:rsidRPr="0025666B" w:rsidRDefault="0025666B" w:rsidP="004F3100">
      <w:pPr>
        <w:rPr>
          <w:iCs/>
          <w:szCs w:val="20"/>
        </w:rPr>
      </w:pPr>
    </w:p>
    <w:p w14:paraId="444C474F" w14:textId="2B4D9AC8" w:rsidR="0025666B" w:rsidRPr="0025666B" w:rsidRDefault="0025666B" w:rsidP="004F3100">
      <w:pPr>
        <w:rPr>
          <w:iCs/>
          <w:szCs w:val="20"/>
        </w:rPr>
      </w:pPr>
      <w:r w:rsidRPr="0025666B">
        <w:rPr>
          <w:iCs/>
          <w:szCs w:val="20"/>
        </w:rPr>
        <w:t>The General Fund balance closed at £1.57m which is marginally above the target. As per the MTFS approved in March 2023, this is anticipated to fall back below £1.5m during 2023/24, largely reflecting the anticipated impact of inflationary pressures and particularly the pay award.</w:t>
      </w:r>
    </w:p>
    <w:p w14:paraId="10AC9063" w14:textId="77777777" w:rsidR="004F3100" w:rsidRPr="004D5CA8" w:rsidRDefault="004F3100" w:rsidP="004F3100">
      <w:pPr>
        <w:rPr>
          <w:iCs/>
          <w:szCs w:val="20"/>
          <w:highlight w:val="yellow"/>
        </w:rPr>
      </w:pPr>
    </w:p>
    <w:p w14:paraId="13CF8834" w14:textId="77777777" w:rsidR="003662C5" w:rsidRDefault="003662C5" w:rsidP="006B57E8">
      <w:pPr>
        <w:pStyle w:val="Heading2"/>
        <w:rPr>
          <w:b/>
          <w:sz w:val="24"/>
          <w:szCs w:val="24"/>
          <w:u w:val="none"/>
        </w:rPr>
      </w:pPr>
    </w:p>
    <w:p w14:paraId="6310676B" w14:textId="77777777" w:rsidR="003662C5" w:rsidRDefault="003662C5" w:rsidP="003662C5"/>
    <w:p w14:paraId="0AFBB654" w14:textId="77777777" w:rsidR="00FC3A39" w:rsidRDefault="00FC3A39" w:rsidP="003662C5"/>
    <w:p w14:paraId="75DBCE8D" w14:textId="77777777" w:rsidR="00FC3A39" w:rsidRPr="003662C5" w:rsidRDefault="00FC3A39" w:rsidP="003662C5"/>
    <w:p w14:paraId="3B2723F9" w14:textId="77777777" w:rsidR="003662C5" w:rsidRDefault="003662C5" w:rsidP="006B57E8">
      <w:pPr>
        <w:pStyle w:val="Heading2"/>
        <w:rPr>
          <w:b/>
          <w:sz w:val="24"/>
          <w:szCs w:val="24"/>
          <w:u w:val="none"/>
        </w:rPr>
      </w:pPr>
    </w:p>
    <w:p w14:paraId="485A42F6" w14:textId="1BA8F0B6" w:rsidR="006B57E8" w:rsidRPr="00B43A8B" w:rsidRDefault="006B57E8" w:rsidP="006B57E8">
      <w:pPr>
        <w:pStyle w:val="Heading2"/>
        <w:rPr>
          <w:b/>
          <w:sz w:val="24"/>
          <w:szCs w:val="24"/>
          <w:u w:val="none"/>
        </w:rPr>
      </w:pPr>
      <w:r w:rsidRPr="00B43A8B">
        <w:rPr>
          <w:b/>
          <w:sz w:val="24"/>
          <w:szCs w:val="24"/>
          <w:u w:val="none"/>
        </w:rPr>
        <w:t>Sources of Revenue Funds</w:t>
      </w:r>
      <w:r w:rsidR="00CC06ED" w:rsidRPr="00B43A8B">
        <w:rPr>
          <w:b/>
          <w:sz w:val="24"/>
          <w:szCs w:val="24"/>
          <w:u w:val="none"/>
        </w:rPr>
        <w:t xml:space="preserve"> </w:t>
      </w:r>
    </w:p>
    <w:p w14:paraId="485A42F7" w14:textId="77777777" w:rsidR="006B57E8" w:rsidRPr="00B43A8B" w:rsidRDefault="006B57E8" w:rsidP="006B57E8"/>
    <w:p w14:paraId="485A4308" w14:textId="69370577" w:rsidR="009710E6" w:rsidRPr="00B43A8B" w:rsidRDefault="00B43A8B" w:rsidP="006B57E8">
      <w:r w:rsidRPr="00B43A8B">
        <w:t>In addition to core grant from DEFRA, the Authority also receives income from a range of other sources, and these are summarised below:</w:t>
      </w:r>
    </w:p>
    <w:p w14:paraId="2BCC5CC8" w14:textId="77777777" w:rsidR="00B43A8B" w:rsidRPr="004D5CA8" w:rsidRDefault="00B43A8B" w:rsidP="006B57E8">
      <w:pPr>
        <w:rPr>
          <w:highlight w:val="yellow"/>
        </w:rPr>
      </w:pPr>
    </w:p>
    <w:p w14:paraId="485A4309" w14:textId="745C8AB3" w:rsidR="00561160" w:rsidRDefault="006B57E8" w:rsidP="006B57E8">
      <w:pPr>
        <w:rPr>
          <w:b/>
        </w:rPr>
      </w:pPr>
      <w:r w:rsidRPr="000C6EAA">
        <w:rPr>
          <w:b/>
        </w:rPr>
        <w:t>Source</w:t>
      </w:r>
      <w:r w:rsidR="002B5A15" w:rsidRPr="000C6EAA">
        <w:rPr>
          <w:b/>
        </w:rPr>
        <w:t>s</w:t>
      </w:r>
      <w:r w:rsidRPr="000C6EAA">
        <w:rPr>
          <w:b/>
        </w:rPr>
        <w:t xml:space="preserve"> of Revenue Funds </w:t>
      </w:r>
      <w:r w:rsidR="000C6EAA" w:rsidRPr="000C6EAA">
        <w:rPr>
          <w:b/>
        </w:rPr>
        <w:t>2022/23</w:t>
      </w:r>
      <w:r w:rsidR="00A1546A" w:rsidRPr="000C6EAA">
        <w:rPr>
          <w:b/>
        </w:rPr>
        <w:t xml:space="preserve">  </w:t>
      </w:r>
    </w:p>
    <w:p w14:paraId="4EBC597C" w14:textId="77777777" w:rsidR="00B549F2" w:rsidRDefault="00B549F2" w:rsidP="006B57E8">
      <w:pPr>
        <w:rPr>
          <w:b/>
        </w:rPr>
      </w:pPr>
    </w:p>
    <w:p w14:paraId="67E35D5B" w14:textId="77777777" w:rsidR="00B549F2" w:rsidRDefault="00B549F2" w:rsidP="006B57E8">
      <w:pPr>
        <w:rPr>
          <w:b/>
        </w:rPr>
      </w:pPr>
    </w:p>
    <w:p w14:paraId="37769FC6" w14:textId="4B45E47F" w:rsidR="00B549F2" w:rsidRPr="000C6EAA" w:rsidRDefault="00B549F2" w:rsidP="00B549F2">
      <w:pPr>
        <w:jc w:val="center"/>
        <w:rPr>
          <w:b/>
        </w:rPr>
      </w:pPr>
      <w:r>
        <w:rPr>
          <w:b/>
          <w:noProof/>
        </w:rPr>
        <w:drawing>
          <wp:inline distT="0" distB="0" distL="0" distR="0" wp14:anchorId="4F649001" wp14:editId="4578EDC1">
            <wp:extent cx="4194175" cy="2761615"/>
            <wp:effectExtent l="0" t="0" r="0" b="635"/>
            <wp:docPr id="7167555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4175" cy="2761615"/>
                    </a:xfrm>
                    <a:prstGeom prst="rect">
                      <a:avLst/>
                    </a:prstGeom>
                    <a:noFill/>
                  </pic:spPr>
                </pic:pic>
              </a:graphicData>
            </a:graphic>
          </wp:inline>
        </w:drawing>
      </w:r>
    </w:p>
    <w:p w14:paraId="485A430A" w14:textId="77777777" w:rsidR="00BE1C46" w:rsidRPr="004D5CA8" w:rsidRDefault="00BE1C46" w:rsidP="006B57E8">
      <w:pPr>
        <w:rPr>
          <w:b/>
          <w:highlight w:val="yellow"/>
        </w:rPr>
      </w:pPr>
    </w:p>
    <w:p w14:paraId="485A430B" w14:textId="372A5A38" w:rsidR="002B5A15" w:rsidRDefault="002B5A15" w:rsidP="00040C1A">
      <w:pPr>
        <w:jc w:val="center"/>
        <w:rPr>
          <w:b/>
          <w:highlight w:val="yellow"/>
        </w:rPr>
      </w:pPr>
    </w:p>
    <w:p w14:paraId="2850D519" w14:textId="2701B5CA" w:rsidR="000C6EAA" w:rsidRDefault="000C6EAA" w:rsidP="00040C1A">
      <w:pPr>
        <w:jc w:val="center"/>
        <w:rPr>
          <w:b/>
          <w:highlight w:val="yellow"/>
        </w:rPr>
      </w:pPr>
    </w:p>
    <w:p w14:paraId="215DFF83" w14:textId="77777777" w:rsidR="000C6EAA" w:rsidRDefault="000C6EAA" w:rsidP="00040C1A">
      <w:pPr>
        <w:jc w:val="center"/>
        <w:rPr>
          <w:b/>
          <w:highlight w:val="yellow"/>
        </w:rPr>
      </w:pPr>
    </w:p>
    <w:p w14:paraId="098BB33D" w14:textId="16DD8718" w:rsidR="006B1CE1" w:rsidRPr="006B1CE1" w:rsidRDefault="006B1CE1" w:rsidP="006B1CE1">
      <w:pPr>
        <w:rPr>
          <w:bCs/>
        </w:rPr>
      </w:pPr>
      <w:r w:rsidRPr="006B1CE1">
        <w:rPr>
          <w:bCs/>
        </w:rPr>
        <w:t>Further detail on some of the key sources of revenue funds are set out below:</w:t>
      </w:r>
    </w:p>
    <w:p w14:paraId="143292BA" w14:textId="77777777" w:rsidR="006B1CE1" w:rsidRDefault="006B1CE1" w:rsidP="00040C1A">
      <w:pPr>
        <w:jc w:val="center"/>
        <w:rPr>
          <w:b/>
          <w:highlight w:val="yellow"/>
        </w:rPr>
      </w:pPr>
    </w:p>
    <w:tbl>
      <w:tblPr>
        <w:tblW w:w="6540" w:type="dxa"/>
        <w:jc w:val="center"/>
        <w:tblLook w:val="04A0" w:firstRow="1" w:lastRow="0" w:firstColumn="1" w:lastColumn="0" w:noHBand="0" w:noVBand="1"/>
      </w:tblPr>
      <w:tblGrid>
        <w:gridCol w:w="5220"/>
        <w:gridCol w:w="1320"/>
      </w:tblGrid>
      <w:tr w:rsidR="006B1CE1" w:rsidRPr="006B1CE1" w14:paraId="3A1F0391" w14:textId="77777777" w:rsidTr="006B1CE1">
        <w:trPr>
          <w:trHeight w:val="290"/>
          <w:jc w:val="center"/>
        </w:trPr>
        <w:tc>
          <w:tcPr>
            <w:tcW w:w="5220" w:type="dxa"/>
            <w:tcBorders>
              <w:top w:val="single" w:sz="4" w:space="0" w:color="auto"/>
              <w:left w:val="single" w:sz="4" w:space="0" w:color="auto"/>
              <w:bottom w:val="single" w:sz="4" w:space="0" w:color="auto"/>
              <w:right w:val="nil"/>
            </w:tcBorders>
            <w:shd w:val="clear" w:color="auto" w:fill="auto"/>
            <w:noWrap/>
            <w:vAlign w:val="bottom"/>
            <w:hideMark/>
          </w:tcPr>
          <w:p w14:paraId="1A5DF318" w14:textId="77777777" w:rsidR="006B1CE1" w:rsidRPr="006B1CE1" w:rsidRDefault="006B1CE1" w:rsidP="006B1CE1">
            <w:pPr>
              <w:rPr>
                <w:rFonts w:cs="Arial"/>
                <w:b/>
                <w:bCs/>
                <w:color w:val="000000"/>
                <w:sz w:val="22"/>
                <w:szCs w:val="22"/>
                <w:lang w:eastAsia="en-GB"/>
              </w:rPr>
            </w:pPr>
            <w:r w:rsidRPr="006B1CE1">
              <w:rPr>
                <w:rFonts w:cs="Arial"/>
                <w:b/>
                <w:bCs/>
                <w:color w:val="000000"/>
                <w:sz w:val="22"/>
                <w:szCs w:val="22"/>
                <w:lang w:eastAsia="en-GB"/>
              </w:rPr>
              <w:t>Key fees  and charges and grants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1439E5C" w14:textId="77777777" w:rsidR="006B1CE1" w:rsidRPr="006B1CE1" w:rsidRDefault="006B1CE1" w:rsidP="006B1CE1">
            <w:pPr>
              <w:jc w:val="center"/>
              <w:rPr>
                <w:rFonts w:cs="Arial"/>
                <w:b/>
                <w:bCs/>
                <w:color w:val="000000"/>
                <w:sz w:val="22"/>
                <w:szCs w:val="22"/>
                <w:lang w:eastAsia="en-GB"/>
              </w:rPr>
            </w:pPr>
            <w:r w:rsidRPr="006B1CE1">
              <w:rPr>
                <w:rFonts w:cs="Arial"/>
                <w:b/>
                <w:bCs/>
                <w:color w:val="000000"/>
                <w:sz w:val="22"/>
                <w:szCs w:val="22"/>
                <w:lang w:eastAsia="en-GB"/>
              </w:rPr>
              <w:t>£000</w:t>
            </w:r>
          </w:p>
        </w:tc>
      </w:tr>
      <w:tr w:rsidR="006B1CE1" w:rsidRPr="006B1CE1" w14:paraId="0395F281" w14:textId="77777777" w:rsidTr="006B1CE1">
        <w:trPr>
          <w:trHeight w:val="290"/>
          <w:jc w:val="center"/>
        </w:trPr>
        <w:tc>
          <w:tcPr>
            <w:tcW w:w="5220" w:type="dxa"/>
            <w:tcBorders>
              <w:top w:val="nil"/>
              <w:left w:val="single" w:sz="4" w:space="0" w:color="auto"/>
              <w:bottom w:val="nil"/>
              <w:right w:val="nil"/>
            </w:tcBorders>
            <w:shd w:val="clear" w:color="auto" w:fill="auto"/>
            <w:noWrap/>
            <w:vAlign w:val="bottom"/>
            <w:hideMark/>
          </w:tcPr>
          <w:p w14:paraId="52D8AAD7" w14:textId="77777777" w:rsidR="006B1CE1" w:rsidRPr="006B1CE1" w:rsidRDefault="006B1CE1" w:rsidP="006B1CE1">
            <w:pPr>
              <w:rPr>
                <w:rFonts w:cs="Arial"/>
                <w:color w:val="000000"/>
                <w:sz w:val="22"/>
                <w:szCs w:val="22"/>
                <w:lang w:eastAsia="en-GB"/>
              </w:rPr>
            </w:pPr>
            <w:r w:rsidRPr="006B1CE1">
              <w:rPr>
                <w:rFonts w:cs="Arial"/>
                <w:color w:val="000000"/>
                <w:sz w:val="22"/>
                <w:szCs w:val="22"/>
                <w:lang w:eastAsia="en-GB"/>
              </w:rPr>
              <w:t> </w:t>
            </w:r>
          </w:p>
        </w:tc>
        <w:tc>
          <w:tcPr>
            <w:tcW w:w="1320" w:type="dxa"/>
            <w:tcBorders>
              <w:top w:val="nil"/>
              <w:left w:val="nil"/>
              <w:bottom w:val="nil"/>
              <w:right w:val="single" w:sz="4" w:space="0" w:color="auto"/>
            </w:tcBorders>
            <w:shd w:val="clear" w:color="auto" w:fill="auto"/>
            <w:noWrap/>
            <w:vAlign w:val="bottom"/>
            <w:hideMark/>
          </w:tcPr>
          <w:p w14:paraId="5D1ED9CA" w14:textId="77777777" w:rsidR="006B1CE1" w:rsidRPr="006B1CE1" w:rsidRDefault="006B1CE1" w:rsidP="006B1CE1">
            <w:pPr>
              <w:rPr>
                <w:rFonts w:cs="Arial"/>
                <w:color w:val="000000"/>
                <w:sz w:val="22"/>
                <w:szCs w:val="22"/>
                <w:lang w:eastAsia="en-GB"/>
              </w:rPr>
            </w:pPr>
            <w:r w:rsidRPr="006B1CE1">
              <w:rPr>
                <w:rFonts w:cs="Arial"/>
                <w:color w:val="000000"/>
                <w:sz w:val="22"/>
                <w:szCs w:val="22"/>
                <w:lang w:eastAsia="en-GB"/>
              </w:rPr>
              <w:t> </w:t>
            </w:r>
          </w:p>
        </w:tc>
      </w:tr>
      <w:tr w:rsidR="006B1CE1" w:rsidRPr="006B1CE1" w14:paraId="3A07540D" w14:textId="77777777" w:rsidTr="006B1CE1">
        <w:trPr>
          <w:trHeight w:val="290"/>
          <w:jc w:val="center"/>
        </w:trPr>
        <w:tc>
          <w:tcPr>
            <w:tcW w:w="5220" w:type="dxa"/>
            <w:tcBorders>
              <w:top w:val="nil"/>
              <w:left w:val="single" w:sz="4" w:space="0" w:color="auto"/>
              <w:bottom w:val="nil"/>
              <w:right w:val="nil"/>
            </w:tcBorders>
            <w:shd w:val="clear" w:color="auto" w:fill="auto"/>
            <w:noWrap/>
            <w:vAlign w:val="bottom"/>
            <w:hideMark/>
          </w:tcPr>
          <w:p w14:paraId="2A84E35B" w14:textId="77777777" w:rsidR="006B1CE1" w:rsidRPr="006B1CE1" w:rsidRDefault="006B1CE1" w:rsidP="006B1CE1">
            <w:pPr>
              <w:rPr>
                <w:rFonts w:cs="Arial"/>
                <w:b/>
                <w:bCs/>
                <w:color w:val="000000"/>
                <w:sz w:val="22"/>
                <w:szCs w:val="22"/>
                <w:lang w:eastAsia="en-GB"/>
              </w:rPr>
            </w:pPr>
            <w:r w:rsidRPr="006B1CE1">
              <w:rPr>
                <w:rFonts w:cs="Arial"/>
                <w:b/>
                <w:bCs/>
                <w:color w:val="000000"/>
                <w:sz w:val="22"/>
                <w:szCs w:val="22"/>
                <w:lang w:eastAsia="en-GB"/>
              </w:rPr>
              <w:t>Fees and charges</w:t>
            </w:r>
          </w:p>
        </w:tc>
        <w:tc>
          <w:tcPr>
            <w:tcW w:w="1320" w:type="dxa"/>
            <w:tcBorders>
              <w:top w:val="nil"/>
              <w:left w:val="nil"/>
              <w:bottom w:val="nil"/>
              <w:right w:val="single" w:sz="4" w:space="0" w:color="auto"/>
            </w:tcBorders>
            <w:shd w:val="clear" w:color="auto" w:fill="auto"/>
            <w:noWrap/>
            <w:vAlign w:val="bottom"/>
            <w:hideMark/>
          </w:tcPr>
          <w:p w14:paraId="4712DF24" w14:textId="77777777" w:rsidR="006B1CE1" w:rsidRPr="006B1CE1" w:rsidRDefault="006B1CE1" w:rsidP="006B1CE1">
            <w:pPr>
              <w:rPr>
                <w:rFonts w:cs="Arial"/>
                <w:color w:val="000000"/>
                <w:sz w:val="22"/>
                <w:szCs w:val="22"/>
                <w:lang w:eastAsia="en-GB"/>
              </w:rPr>
            </w:pPr>
            <w:r w:rsidRPr="006B1CE1">
              <w:rPr>
                <w:rFonts w:cs="Arial"/>
                <w:color w:val="000000"/>
                <w:sz w:val="22"/>
                <w:szCs w:val="22"/>
                <w:lang w:eastAsia="en-GB"/>
              </w:rPr>
              <w:t> </w:t>
            </w:r>
          </w:p>
        </w:tc>
      </w:tr>
      <w:tr w:rsidR="006B1CE1" w:rsidRPr="006B1CE1" w14:paraId="1AA5EE43" w14:textId="77777777" w:rsidTr="006B1CE1">
        <w:trPr>
          <w:trHeight w:val="290"/>
          <w:jc w:val="center"/>
        </w:trPr>
        <w:tc>
          <w:tcPr>
            <w:tcW w:w="5220" w:type="dxa"/>
            <w:tcBorders>
              <w:top w:val="nil"/>
              <w:left w:val="single" w:sz="4" w:space="0" w:color="auto"/>
              <w:bottom w:val="nil"/>
              <w:right w:val="nil"/>
            </w:tcBorders>
            <w:shd w:val="clear" w:color="auto" w:fill="auto"/>
            <w:noWrap/>
            <w:vAlign w:val="bottom"/>
            <w:hideMark/>
          </w:tcPr>
          <w:p w14:paraId="463046BF" w14:textId="176634E0" w:rsidR="006B1CE1" w:rsidRPr="006B1CE1" w:rsidRDefault="006B1CE1" w:rsidP="006B1CE1">
            <w:pPr>
              <w:rPr>
                <w:rFonts w:cs="Arial"/>
                <w:color w:val="000000"/>
                <w:sz w:val="22"/>
                <w:szCs w:val="22"/>
                <w:lang w:eastAsia="en-GB"/>
              </w:rPr>
            </w:pPr>
            <w:r w:rsidRPr="006B1CE1">
              <w:rPr>
                <w:rFonts w:cs="Arial"/>
                <w:color w:val="000000"/>
                <w:sz w:val="22"/>
                <w:szCs w:val="22"/>
                <w:lang w:eastAsia="en-GB"/>
              </w:rPr>
              <w:t>Car parking</w:t>
            </w:r>
            <w:r w:rsidR="00BC63DA">
              <w:rPr>
                <w:rFonts w:cs="Arial"/>
                <w:color w:val="000000"/>
                <w:sz w:val="22"/>
                <w:szCs w:val="22"/>
                <w:lang w:eastAsia="en-GB"/>
              </w:rPr>
              <w:t xml:space="preserve"> </w:t>
            </w:r>
          </w:p>
        </w:tc>
        <w:tc>
          <w:tcPr>
            <w:tcW w:w="1320" w:type="dxa"/>
            <w:tcBorders>
              <w:top w:val="nil"/>
              <w:left w:val="nil"/>
              <w:bottom w:val="nil"/>
              <w:right w:val="single" w:sz="4" w:space="0" w:color="auto"/>
            </w:tcBorders>
            <w:shd w:val="clear" w:color="auto" w:fill="auto"/>
            <w:noWrap/>
            <w:vAlign w:val="bottom"/>
            <w:hideMark/>
          </w:tcPr>
          <w:p w14:paraId="4516E6ED" w14:textId="53BA99EC" w:rsidR="006B1CE1" w:rsidRPr="006B1CE1" w:rsidRDefault="006B1CE1" w:rsidP="006B1CE1">
            <w:pPr>
              <w:jc w:val="right"/>
              <w:rPr>
                <w:rFonts w:cs="Arial"/>
                <w:color w:val="000000"/>
                <w:sz w:val="22"/>
                <w:szCs w:val="22"/>
                <w:lang w:eastAsia="en-GB"/>
              </w:rPr>
            </w:pPr>
            <w:r w:rsidRPr="006B1CE1">
              <w:rPr>
                <w:rFonts w:cs="Arial"/>
                <w:color w:val="000000"/>
                <w:sz w:val="22"/>
                <w:szCs w:val="22"/>
                <w:lang w:eastAsia="en-GB"/>
              </w:rPr>
              <w:t>2,0</w:t>
            </w:r>
            <w:r w:rsidR="00BC63DA">
              <w:rPr>
                <w:rFonts w:cs="Arial"/>
                <w:color w:val="000000"/>
                <w:sz w:val="22"/>
                <w:szCs w:val="22"/>
                <w:lang w:eastAsia="en-GB"/>
              </w:rPr>
              <w:t>93</w:t>
            </w:r>
          </w:p>
        </w:tc>
      </w:tr>
      <w:tr w:rsidR="006B1CE1" w:rsidRPr="006B1CE1" w14:paraId="18CC0D93" w14:textId="77777777" w:rsidTr="006B1CE1">
        <w:trPr>
          <w:trHeight w:val="290"/>
          <w:jc w:val="center"/>
        </w:trPr>
        <w:tc>
          <w:tcPr>
            <w:tcW w:w="5220" w:type="dxa"/>
            <w:tcBorders>
              <w:top w:val="nil"/>
              <w:left w:val="single" w:sz="4" w:space="0" w:color="auto"/>
              <w:bottom w:val="nil"/>
              <w:right w:val="nil"/>
            </w:tcBorders>
            <w:shd w:val="clear" w:color="auto" w:fill="auto"/>
            <w:noWrap/>
            <w:vAlign w:val="bottom"/>
            <w:hideMark/>
          </w:tcPr>
          <w:p w14:paraId="6AB243D9" w14:textId="77777777" w:rsidR="006B1CE1" w:rsidRPr="006B1CE1" w:rsidRDefault="006B1CE1" w:rsidP="006B1CE1">
            <w:pPr>
              <w:rPr>
                <w:rFonts w:cs="Arial"/>
                <w:color w:val="000000"/>
                <w:sz w:val="22"/>
                <w:szCs w:val="22"/>
                <w:lang w:eastAsia="en-GB"/>
              </w:rPr>
            </w:pPr>
            <w:r w:rsidRPr="006B1CE1">
              <w:rPr>
                <w:rFonts w:cs="Arial"/>
                <w:color w:val="000000"/>
                <w:sz w:val="22"/>
                <w:szCs w:val="22"/>
                <w:lang w:eastAsia="en-GB"/>
              </w:rPr>
              <w:t>Other Visitor Services income</w:t>
            </w:r>
          </w:p>
        </w:tc>
        <w:tc>
          <w:tcPr>
            <w:tcW w:w="1320" w:type="dxa"/>
            <w:tcBorders>
              <w:top w:val="nil"/>
              <w:left w:val="nil"/>
              <w:bottom w:val="nil"/>
              <w:right w:val="single" w:sz="4" w:space="0" w:color="auto"/>
            </w:tcBorders>
            <w:shd w:val="clear" w:color="auto" w:fill="auto"/>
            <w:noWrap/>
            <w:vAlign w:val="bottom"/>
            <w:hideMark/>
          </w:tcPr>
          <w:p w14:paraId="53E1CEEC" w14:textId="4939FB7B" w:rsidR="006B1CE1" w:rsidRPr="006B1CE1" w:rsidRDefault="006B1CE1" w:rsidP="006B1CE1">
            <w:pPr>
              <w:jc w:val="right"/>
              <w:rPr>
                <w:rFonts w:cs="Arial"/>
                <w:color w:val="000000"/>
                <w:sz w:val="22"/>
                <w:szCs w:val="22"/>
                <w:lang w:eastAsia="en-GB"/>
              </w:rPr>
            </w:pPr>
            <w:r w:rsidRPr="006B1CE1">
              <w:rPr>
                <w:rFonts w:cs="Arial"/>
                <w:color w:val="000000"/>
                <w:sz w:val="22"/>
                <w:szCs w:val="22"/>
                <w:lang w:eastAsia="en-GB"/>
              </w:rPr>
              <w:t>6,</w:t>
            </w:r>
            <w:r w:rsidR="00BC63DA">
              <w:rPr>
                <w:rFonts w:cs="Arial"/>
                <w:color w:val="000000"/>
                <w:sz w:val="22"/>
                <w:szCs w:val="22"/>
                <w:lang w:eastAsia="en-GB"/>
              </w:rPr>
              <w:t>290</w:t>
            </w:r>
          </w:p>
        </w:tc>
      </w:tr>
      <w:tr w:rsidR="006B1CE1" w:rsidRPr="006B1CE1" w14:paraId="50ED5778" w14:textId="77777777" w:rsidTr="006B1CE1">
        <w:trPr>
          <w:trHeight w:val="290"/>
          <w:jc w:val="center"/>
        </w:trPr>
        <w:tc>
          <w:tcPr>
            <w:tcW w:w="5220" w:type="dxa"/>
            <w:tcBorders>
              <w:top w:val="nil"/>
              <w:left w:val="single" w:sz="4" w:space="0" w:color="auto"/>
              <w:bottom w:val="nil"/>
              <w:right w:val="nil"/>
            </w:tcBorders>
            <w:shd w:val="clear" w:color="auto" w:fill="auto"/>
            <w:noWrap/>
            <w:vAlign w:val="bottom"/>
            <w:hideMark/>
          </w:tcPr>
          <w:p w14:paraId="67319212" w14:textId="77777777" w:rsidR="006B1CE1" w:rsidRPr="006B1CE1" w:rsidRDefault="006B1CE1" w:rsidP="006B1CE1">
            <w:pPr>
              <w:rPr>
                <w:rFonts w:cs="Arial"/>
                <w:color w:val="000000"/>
                <w:sz w:val="22"/>
                <w:szCs w:val="22"/>
                <w:lang w:eastAsia="en-GB"/>
              </w:rPr>
            </w:pPr>
            <w:r w:rsidRPr="006B1CE1">
              <w:rPr>
                <w:rFonts w:cs="Arial"/>
                <w:color w:val="000000"/>
                <w:sz w:val="22"/>
                <w:szCs w:val="22"/>
                <w:lang w:eastAsia="en-GB"/>
              </w:rPr>
              <w:t>Planning and land charge income</w:t>
            </w:r>
          </w:p>
        </w:tc>
        <w:tc>
          <w:tcPr>
            <w:tcW w:w="1320" w:type="dxa"/>
            <w:tcBorders>
              <w:top w:val="nil"/>
              <w:left w:val="nil"/>
              <w:bottom w:val="nil"/>
              <w:right w:val="single" w:sz="4" w:space="0" w:color="auto"/>
            </w:tcBorders>
            <w:shd w:val="clear" w:color="auto" w:fill="auto"/>
            <w:noWrap/>
            <w:vAlign w:val="bottom"/>
            <w:hideMark/>
          </w:tcPr>
          <w:p w14:paraId="73BDBC4A" w14:textId="77777777" w:rsidR="006B1CE1" w:rsidRPr="006B1CE1" w:rsidRDefault="006B1CE1" w:rsidP="006B1CE1">
            <w:pPr>
              <w:jc w:val="right"/>
              <w:rPr>
                <w:rFonts w:cs="Arial"/>
                <w:color w:val="000000"/>
                <w:sz w:val="22"/>
                <w:szCs w:val="22"/>
                <w:lang w:eastAsia="en-GB"/>
              </w:rPr>
            </w:pPr>
            <w:r w:rsidRPr="006B1CE1">
              <w:rPr>
                <w:rFonts w:cs="Arial"/>
                <w:color w:val="000000"/>
                <w:sz w:val="22"/>
                <w:szCs w:val="22"/>
                <w:lang w:eastAsia="en-GB"/>
              </w:rPr>
              <w:t>440</w:t>
            </w:r>
          </w:p>
        </w:tc>
      </w:tr>
      <w:tr w:rsidR="006B1CE1" w:rsidRPr="006B1CE1" w14:paraId="1426CB9B" w14:textId="77777777" w:rsidTr="006B1CE1">
        <w:trPr>
          <w:trHeight w:val="290"/>
          <w:jc w:val="center"/>
        </w:trPr>
        <w:tc>
          <w:tcPr>
            <w:tcW w:w="5220" w:type="dxa"/>
            <w:tcBorders>
              <w:top w:val="nil"/>
              <w:left w:val="single" w:sz="4" w:space="0" w:color="auto"/>
              <w:bottom w:val="nil"/>
              <w:right w:val="nil"/>
            </w:tcBorders>
            <w:shd w:val="clear" w:color="auto" w:fill="auto"/>
            <w:noWrap/>
            <w:vAlign w:val="bottom"/>
            <w:hideMark/>
          </w:tcPr>
          <w:p w14:paraId="3C4188B6" w14:textId="77777777" w:rsidR="006B1CE1" w:rsidRPr="006B1CE1" w:rsidRDefault="006B1CE1" w:rsidP="006B1CE1">
            <w:pPr>
              <w:rPr>
                <w:rFonts w:cs="Arial"/>
                <w:color w:val="000000"/>
                <w:sz w:val="22"/>
                <w:szCs w:val="22"/>
                <w:lang w:eastAsia="en-GB"/>
              </w:rPr>
            </w:pPr>
            <w:r w:rsidRPr="006B1CE1">
              <w:rPr>
                <w:rFonts w:cs="Arial"/>
                <w:color w:val="000000"/>
                <w:sz w:val="22"/>
                <w:szCs w:val="22"/>
                <w:lang w:eastAsia="en-GB"/>
              </w:rPr>
              <w:t> </w:t>
            </w:r>
          </w:p>
        </w:tc>
        <w:tc>
          <w:tcPr>
            <w:tcW w:w="1320" w:type="dxa"/>
            <w:tcBorders>
              <w:top w:val="nil"/>
              <w:left w:val="nil"/>
              <w:bottom w:val="nil"/>
              <w:right w:val="single" w:sz="4" w:space="0" w:color="auto"/>
            </w:tcBorders>
            <w:shd w:val="clear" w:color="auto" w:fill="auto"/>
            <w:noWrap/>
            <w:vAlign w:val="bottom"/>
            <w:hideMark/>
          </w:tcPr>
          <w:p w14:paraId="39267A18" w14:textId="77777777" w:rsidR="006B1CE1" w:rsidRPr="006B1CE1" w:rsidRDefault="006B1CE1" w:rsidP="006B1CE1">
            <w:pPr>
              <w:rPr>
                <w:rFonts w:cs="Arial"/>
                <w:color w:val="000000"/>
                <w:sz w:val="22"/>
                <w:szCs w:val="22"/>
                <w:lang w:eastAsia="en-GB"/>
              </w:rPr>
            </w:pPr>
            <w:r w:rsidRPr="006B1CE1">
              <w:rPr>
                <w:rFonts w:cs="Arial"/>
                <w:color w:val="000000"/>
                <w:sz w:val="22"/>
                <w:szCs w:val="22"/>
                <w:lang w:eastAsia="en-GB"/>
              </w:rPr>
              <w:t> </w:t>
            </w:r>
          </w:p>
        </w:tc>
      </w:tr>
      <w:tr w:rsidR="006B1CE1" w:rsidRPr="006B1CE1" w14:paraId="70613D73" w14:textId="77777777" w:rsidTr="006B1CE1">
        <w:trPr>
          <w:trHeight w:val="290"/>
          <w:jc w:val="center"/>
        </w:trPr>
        <w:tc>
          <w:tcPr>
            <w:tcW w:w="5220" w:type="dxa"/>
            <w:tcBorders>
              <w:top w:val="nil"/>
              <w:left w:val="single" w:sz="4" w:space="0" w:color="auto"/>
              <w:bottom w:val="nil"/>
              <w:right w:val="nil"/>
            </w:tcBorders>
            <w:shd w:val="clear" w:color="auto" w:fill="auto"/>
            <w:noWrap/>
            <w:vAlign w:val="bottom"/>
            <w:hideMark/>
          </w:tcPr>
          <w:p w14:paraId="2F5DA777" w14:textId="77777777" w:rsidR="006B1CE1" w:rsidRPr="006B1CE1" w:rsidRDefault="006B1CE1" w:rsidP="006B1CE1">
            <w:pPr>
              <w:rPr>
                <w:rFonts w:cs="Arial"/>
                <w:b/>
                <w:bCs/>
                <w:color w:val="000000"/>
                <w:sz w:val="22"/>
                <w:szCs w:val="22"/>
                <w:lang w:eastAsia="en-GB"/>
              </w:rPr>
            </w:pPr>
            <w:r w:rsidRPr="006B1CE1">
              <w:rPr>
                <w:rFonts w:cs="Arial"/>
                <w:b/>
                <w:bCs/>
                <w:color w:val="000000"/>
                <w:sz w:val="22"/>
                <w:szCs w:val="22"/>
                <w:lang w:eastAsia="en-GB"/>
              </w:rPr>
              <w:t>Specific grants</w:t>
            </w:r>
          </w:p>
        </w:tc>
        <w:tc>
          <w:tcPr>
            <w:tcW w:w="1320" w:type="dxa"/>
            <w:tcBorders>
              <w:top w:val="nil"/>
              <w:left w:val="nil"/>
              <w:bottom w:val="nil"/>
              <w:right w:val="single" w:sz="4" w:space="0" w:color="auto"/>
            </w:tcBorders>
            <w:shd w:val="clear" w:color="auto" w:fill="auto"/>
            <w:noWrap/>
            <w:vAlign w:val="bottom"/>
            <w:hideMark/>
          </w:tcPr>
          <w:p w14:paraId="36EE55E0" w14:textId="77777777" w:rsidR="006B1CE1" w:rsidRPr="006B1CE1" w:rsidRDefault="006B1CE1" w:rsidP="006B1CE1">
            <w:pPr>
              <w:rPr>
                <w:rFonts w:cs="Arial"/>
                <w:color w:val="000000"/>
                <w:sz w:val="22"/>
                <w:szCs w:val="22"/>
                <w:lang w:eastAsia="en-GB"/>
              </w:rPr>
            </w:pPr>
            <w:r w:rsidRPr="006B1CE1">
              <w:rPr>
                <w:rFonts w:cs="Arial"/>
                <w:color w:val="000000"/>
                <w:sz w:val="22"/>
                <w:szCs w:val="22"/>
                <w:lang w:eastAsia="en-GB"/>
              </w:rPr>
              <w:t> </w:t>
            </w:r>
          </w:p>
        </w:tc>
      </w:tr>
      <w:tr w:rsidR="006B1CE1" w:rsidRPr="006B1CE1" w14:paraId="673CD899" w14:textId="77777777" w:rsidTr="006B1CE1">
        <w:trPr>
          <w:trHeight w:val="290"/>
          <w:jc w:val="center"/>
        </w:trPr>
        <w:tc>
          <w:tcPr>
            <w:tcW w:w="5220" w:type="dxa"/>
            <w:tcBorders>
              <w:top w:val="nil"/>
              <w:left w:val="single" w:sz="4" w:space="0" w:color="auto"/>
              <w:bottom w:val="nil"/>
              <w:right w:val="nil"/>
            </w:tcBorders>
            <w:shd w:val="clear" w:color="auto" w:fill="auto"/>
            <w:noWrap/>
            <w:vAlign w:val="bottom"/>
            <w:hideMark/>
          </w:tcPr>
          <w:p w14:paraId="5D7F6521" w14:textId="77777777" w:rsidR="006B1CE1" w:rsidRPr="006B1CE1" w:rsidRDefault="006B1CE1" w:rsidP="006B1CE1">
            <w:pPr>
              <w:rPr>
                <w:rFonts w:cs="Arial"/>
                <w:color w:val="000000"/>
                <w:sz w:val="22"/>
                <w:szCs w:val="22"/>
                <w:lang w:eastAsia="en-GB"/>
              </w:rPr>
            </w:pPr>
            <w:r w:rsidRPr="006B1CE1">
              <w:rPr>
                <w:rFonts w:cs="Arial"/>
                <w:color w:val="000000"/>
                <w:sz w:val="22"/>
                <w:szCs w:val="22"/>
                <w:lang w:eastAsia="en-GB"/>
              </w:rPr>
              <w:t>DEFRA</w:t>
            </w:r>
          </w:p>
        </w:tc>
        <w:tc>
          <w:tcPr>
            <w:tcW w:w="1320" w:type="dxa"/>
            <w:tcBorders>
              <w:top w:val="nil"/>
              <w:left w:val="nil"/>
              <w:bottom w:val="nil"/>
              <w:right w:val="single" w:sz="4" w:space="0" w:color="auto"/>
            </w:tcBorders>
            <w:shd w:val="clear" w:color="auto" w:fill="auto"/>
            <w:noWrap/>
            <w:vAlign w:val="bottom"/>
            <w:hideMark/>
          </w:tcPr>
          <w:p w14:paraId="7B5782AB" w14:textId="77777777" w:rsidR="006B1CE1" w:rsidRPr="006B1CE1" w:rsidRDefault="006B1CE1" w:rsidP="006B1CE1">
            <w:pPr>
              <w:jc w:val="right"/>
              <w:rPr>
                <w:rFonts w:cs="Arial"/>
                <w:color w:val="000000"/>
                <w:sz w:val="22"/>
                <w:szCs w:val="22"/>
                <w:lang w:eastAsia="en-GB"/>
              </w:rPr>
            </w:pPr>
            <w:r w:rsidRPr="006B1CE1">
              <w:rPr>
                <w:rFonts w:cs="Arial"/>
                <w:color w:val="000000"/>
                <w:sz w:val="22"/>
                <w:szCs w:val="22"/>
                <w:lang w:eastAsia="en-GB"/>
              </w:rPr>
              <w:t>1,504</w:t>
            </w:r>
          </w:p>
        </w:tc>
      </w:tr>
      <w:tr w:rsidR="006B1CE1" w:rsidRPr="006B1CE1" w14:paraId="6F7C228E" w14:textId="77777777" w:rsidTr="006B1CE1">
        <w:trPr>
          <w:trHeight w:val="290"/>
          <w:jc w:val="center"/>
        </w:trPr>
        <w:tc>
          <w:tcPr>
            <w:tcW w:w="5220" w:type="dxa"/>
            <w:tcBorders>
              <w:top w:val="nil"/>
              <w:left w:val="single" w:sz="4" w:space="0" w:color="auto"/>
              <w:bottom w:val="nil"/>
              <w:right w:val="nil"/>
            </w:tcBorders>
            <w:shd w:val="clear" w:color="auto" w:fill="auto"/>
            <w:noWrap/>
            <w:vAlign w:val="bottom"/>
            <w:hideMark/>
          </w:tcPr>
          <w:p w14:paraId="244E56CD" w14:textId="77777777" w:rsidR="006B1CE1" w:rsidRPr="006B1CE1" w:rsidRDefault="006B1CE1" w:rsidP="006B1CE1">
            <w:pPr>
              <w:rPr>
                <w:rFonts w:cs="Arial"/>
                <w:color w:val="000000"/>
                <w:sz w:val="22"/>
                <w:szCs w:val="22"/>
                <w:lang w:eastAsia="en-GB"/>
              </w:rPr>
            </w:pPr>
            <w:r w:rsidRPr="006B1CE1">
              <w:rPr>
                <w:rFonts w:cs="Arial"/>
                <w:color w:val="000000"/>
                <w:sz w:val="22"/>
                <w:szCs w:val="22"/>
                <w:lang w:eastAsia="en-GB"/>
              </w:rPr>
              <w:t>Cumbria County Council Total</w:t>
            </w:r>
          </w:p>
        </w:tc>
        <w:tc>
          <w:tcPr>
            <w:tcW w:w="1320" w:type="dxa"/>
            <w:tcBorders>
              <w:top w:val="nil"/>
              <w:left w:val="nil"/>
              <w:bottom w:val="nil"/>
              <w:right w:val="single" w:sz="4" w:space="0" w:color="auto"/>
            </w:tcBorders>
            <w:shd w:val="clear" w:color="auto" w:fill="auto"/>
            <w:noWrap/>
            <w:vAlign w:val="bottom"/>
            <w:hideMark/>
          </w:tcPr>
          <w:p w14:paraId="6C64BB8E" w14:textId="77777777" w:rsidR="006B1CE1" w:rsidRPr="006B1CE1" w:rsidRDefault="006B1CE1" w:rsidP="006B1CE1">
            <w:pPr>
              <w:jc w:val="right"/>
              <w:rPr>
                <w:rFonts w:cs="Arial"/>
                <w:color w:val="000000"/>
                <w:sz w:val="22"/>
                <w:szCs w:val="22"/>
                <w:lang w:eastAsia="en-GB"/>
              </w:rPr>
            </w:pPr>
            <w:r w:rsidRPr="006B1CE1">
              <w:rPr>
                <w:rFonts w:cs="Arial"/>
                <w:color w:val="000000"/>
                <w:sz w:val="22"/>
                <w:szCs w:val="22"/>
                <w:lang w:eastAsia="en-GB"/>
              </w:rPr>
              <w:t>250</w:t>
            </w:r>
          </w:p>
        </w:tc>
      </w:tr>
      <w:tr w:rsidR="006B1CE1" w:rsidRPr="006B1CE1" w14:paraId="22B2D090" w14:textId="77777777" w:rsidTr="006B1CE1">
        <w:trPr>
          <w:trHeight w:val="290"/>
          <w:jc w:val="center"/>
        </w:trPr>
        <w:tc>
          <w:tcPr>
            <w:tcW w:w="5220" w:type="dxa"/>
            <w:tcBorders>
              <w:top w:val="nil"/>
              <w:left w:val="single" w:sz="4" w:space="0" w:color="auto"/>
              <w:bottom w:val="nil"/>
              <w:right w:val="nil"/>
            </w:tcBorders>
            <w:shd w:val="clear" w:color="auto" w:fill="auto"/>
            <w:noWrap/>
            <w:vAlign w:val="bottom"/>
            <w:hideMark/>
          </w:tcPr>
          <w:p w14:paraId="0846980D" w14:textId="77777777" w:rsidR="006B1CE1" w:rsidRPr="006B1CE1" w:rsidRDefault="006B1CE1" w:rsidP="006B1CE1">
            <w:pPr>
              <w:rPr>
                <w:rFonts w:cs="Arial"/>
                <w:color w:val="000000"/>
                <w:sz w:val="22"/>
                <w:szCs w:val="22"/>
                <w:lang w:eastAsia="en-GB"/>
              </w:rPr>
            </w:pPr>
            <w:r w:rsidRPr="006B1CE1">
              <w:rPr>
                <w:rFonts w:cs="Arial"/>
                <w:color w:val="000000"/>
                <w:sz w:val="22"/>
                <w:szCs w:val="22"/>
                <w:lang w:eastAsia="en-GB"/>
              </w:rPr>
              <w:t>South Downs National Park</w:t>
            </w:r>
          </w:p>
        </w:tc>
        <w:tc>
          <w:tcPr>
            <w:tcW w:w="1320" w:type="dxa"/>
            <w:tcBorders>
              <w:top w:val="nil"/>
              <w:left w:val="nil"/>
              <w:bottom w:val="nil"/>
              <w:right w:val="single" w:sz="4" w:space="0" w:color="auto"/>
            </w:tcBorders>
            <w:shd w:val="clear" w:color="auto" w:fill="auto"/>
            <w:noWrap/>
            <w:vAlign w:val="bottom"/>
            <w:hideMark/>
          </w:tcPr>
          <w:p w14:paraId="1743E4F2" w14:textId="77777777" w:rsidR="006B1CE1" w:rsidRPr="006B1CE1" w:rsidRDefault="006B1CE1" w:rsidP="006B1CE1">
            <w:pPr>
              <w:jc w:val="right"/>
              <w:rPr>
                <w:rFonts w:cs="Arial"/>
                <w:color w:val="000000"/>
                <w:sz w:val="22"/>
                <w:szCs w:val="22"/>
                <w:lang w:eastAsia="en-GB"/>
              </w:rPr>
            </w:pPr>
            <w:r w:rsidRPr="006B1CE1">
              <w:rPr>
                <w:rFonts w:cs="Arial"/>
                <w:color w:val="000000"/>
                <w:sz w:val="22"/>
                <w:szCs w:val="22"/>
                <w:lang w:eastAsia="en-GB"/>
              </w:rPr>
              <w:t>168</w:t>
            </w:r>
          </w:p>
        </w:tc>
      </w:tr>
      <w:tr w:rsidR="006B1CE1" w:rsidRPr="006B1CE1" w14:paraId="698EF28B" w14:textId="77777777" w:rsidTr="006B1CE1">
        <w:trPr>
          <w:trHeight w:val="290"/>
          <w:jc w:val="center"/>
        </w:trPr>
        <w:tc>
          <w:tcPr>
            <w:tcW w:w="5220" w:type="dxa"/>
            <w:tcBorders>
              <w:top w:val="nil"/>
              <w:left w:val="single" w:sz="4" w:space="0" w:color="auto"/>
              <w:bottom w:val="nil"/>
              <w:right w:val="nil"/>
            </w:tcBorders>
            <w:shd w:val="clear" w:color="auto" w:fill="auto"/>
            <w:noWrap/>
            <w:vAlign w:val="bottom"/>
            <w:hideMark/>
          </w:tcPr>
          <w:p w14:paraId="40F7E414" w14:textId="77777777" w:rsidR="006B1CE1" w:rsidRPr="006B1CE1" w:rsidRDefault="006B1CE1" w:rsidP="006B1CE1">
            <w:pPr>
              <w:rPr>
                <w:rFonts w:cs="Arial"/>
                <w:color w:val="000000"/>
                <w:sz w:val="22"/>
                <w:szCs w:val="22"/>
                <w:lang w:eastAsia="en-GB"/>
              </w:rPr>
            </w:pPr>
            <w:r w:rsidRPr="006B1CE1">
              <w:rPr>
                <w:rFonts w:cs="Arial"/>
                <w:color w:val="000000"/>
                <w:sz w:val="22"/>
                <w:szCs w:val="22"/>
                <w:lang w:eastAsia="en-GB"/>
              </w:rPr>
              <w:t>Department Levelling Up Housing Communities</w:t>
            </w:r>
          </w:p>
        </w:tc>
        <w:tc>
          <w:tcPr>
            <w:tcW w:w="1320" w:type="dxa"/>
            <w:tcBorders>
              <w:top w:val="nil"/>
              <w:left w:val="nil"/>
              <w:bottom w:val="nil"/>
              <w:right w:val="single" w:sz="4" w:space="0" w:color="auto"/>
            </w:tcBorders>
            <w:shd w:val="clear" w:color="auto" w:fill="auto"/>
            <w:noWrap/>
            <w:vAlign w:val="bottom"/>
            <w:hideMark/>
          </w:tcPr>
          <w:p w14:paraId="00F59CD9" w14:textId="77777777" w:rsidR="006B1CE1" w:rsidRPr="006B1CE1" w:rsidRDefault="006B1CE1" w:rsidP="006B1CE1">
            <w:pPr>
              <w:jc w:val="right"/>
              <w:rPr>
                <w:rFonts w:cs="Arial"/>
                <w:color w:val="000000"/>
                <w:sz w:val="22"/>
                <w:szCs w:val="22"/>
                <w:lang w:eastAsia="en-GB"/>
              </w:rPr>
            </w:pPr>
            <w:r w:rsidRPr="006B1CE1">
              <w:rPr>
                <w:rFonts w:cs="Arial"/>
                <w:color w:val="000000"/>
                <w:sz w:val="22"/>
                <w:szCs w:val="22"/>
                <w:lang w:eastAsia="en-GB"/>
              </w:rPr>
              <w:t>127</w:t>
            </w:r>
          </w:p>
        </w:tc>
      </w:tr>
      <w:tr w:rsidR="006B1CE1" w:rsidRPr="006B1CE1" w14:paraId="5DCDBBE1" w14:textId="77777777" w:rsidTr="006B1CE1">
        <w:trPr>
          <w:trHeight w:val="290"/>
          <w:jc w:val="center"/>
        </w:trPr>
        <w:tc>
          <w:tcPr>
            <w:tcW w:w="5220" w:type="dxa"/>
            <w:tcBorders>
              <w:top w:val="nil"/>
              <w:left w:val="single" w:sz="4" w:space="0" w:color="auto"/>
              <w:bottom w:val="nil"/>
              <w:right w:val="nil"/>
            </w:tcBorders>
            <w:shd w:val="clear" w:color="auto" w:fill="auto"/>
            <w:noWrap/>
            <w:vAlign w:val="bottom"/>
            <w:hideMark/>
          </w:tcPr>
          <w:p w14:paraId="2BFBA3CD" w14:textId="77777777" w:rsidR="006B1CE1" w:rsidRPr="006B1CE1" w:rsidRDefault="006B1CE1" w:rsidP="006B1CE1">
            <w:pPr>
              <w:rPr>
                <w:rFonts w:cs="Arial"/>
                <w:color w:val="000000"/>
                <w:sz w:val="22"/>
                <w:szCs w:val="22"/>
                <w:lang w:eastAsia="en-GB"/>
              </w:rPr>
            </w:pPr>
            <w:r w:rsidRPr="006B1CE1">
              <w:rPr>
                <w:rFonts w:cs="Arial"/>
                <w:color w:val="000000"/>
                <w:sz w:val="22"/>
                <w:szCs w:val="22"/>
                <w:lang w:eastAsia="en-GB"/>
              </w:rPr>
              <w:t>National Grid</w:t>
            </w:r>
          </w:p>
        </w:tc>
        <w:tc>
          <w:tcPr>
            <w:tcW w:w="1320" w:type="dxa"/>
            <w:tcBorders>
              <w:top w:val="nil"/>
              <w:left w:val="nil"/>
              <w:bottom w:val="nil"/>
              <w:right w:val="single" w:sz="4" w:space="0" w:color="auto"/>
            </w:tcBorders>
            <w:shd w:val="clear" w:color="auto" w:fill="auto"/>
            <w:noWrap/>
            <w:vAlign w:val="bottom"/>
            <w:hideMark/>
          </w:tcPr>
          <w:p w14:paraId="6FC7C497" w14:textId="77777777" w:rsidR="006B1CE1" w:rsidRPr="006B1CE1" w:rsidRDefault="006B1CE1" w:rsidP="006B1CE1">
            <w:pPr>
              <w:jc w:val="right"/>
              <w:rPr>
                <w:rFonts w:cs="Arial"/>
                <w:color w:val="000000"/>
                <w:sz w:val="22"/>
                <w:szCs w:val="22"/>
                <w:lang w:eastAsia="en-GB"/>
              </w:rPr>
            </w:pPr>
            <w:r w:rsidRPr="006B1CE1">
              <w:rPr>
                <w:rFonts w:cs="Arial"/>
                <w:color w:val="000000"/>
                <w:sz w:val="22"/>
                <w:szCs w:val="22"/>
                <w:lang w:eastAsia="en-GB"/>
              </w:rPr>
              <w:t>300</w:t>
            </w:r>
          </w:p>
        </w:tc>
      </w:tr>
      <w:tr w:rsidR="006B1CE1" w:rsidRPr="006B1CE1" w14:paraId="632042A7" w14:textId="77777777" w:rsidTr="006B1CE1">
        <w:trPr>
          <w:trHeight w:val="290"/>
          <w:jc w:val="center"/>
        </w:trPr>
        <w:tc>
          <w:tcPr>
            <w:tcW w:w="5220" w:type="dxa"/>
            <w:tcBorders>
              <w:top w:val="nil"/>
              <w:left w:val="single" w:sz="4" w:space="0" w:color="auto"/>
              <w:bottom w:val="nil"/>
              <w:right w:val="nil"/>
            </w:tcBorders>
            <w:shd w:val="clear" w:color="auto" w:fill="auto"/>
            <w:noWrap/>
            <w:vAlign w:val="bottom"/>
            <w:hideMark/>
          </w:tcPr>
          <w:p w14:paraId="38AD9DA6" w14:textId="77777777" w:rsidR="006B1CE1" w:rsidRPr="006B1CE1" w:rsidRDefault="006B1CE1" w:rsidP="006B1CE1">
            <w:pPr>
              <w:rPr>
                <w:rFonts w:cs="Arial"/>
                <w:color w:val="000000"/>
                <w:sz w:val="22"/>
                <w:szCs w:val="22"/>
                <w:lang w:eastAsia="en-GB"/>
              </w:rPr>
            </w:pPr>
            <w:r w:rsidRPr="006B1CE1">
              <w:rPr>
                <w:rFonts w:cs="Arial"/>
                <w:color w:val="000000"/>
                <w:sz w:val="22"/>
                <w:szCs w:val="22"/>
                <w:lang w:eastAsia="en-GB"/>
              </w:rPr>
              <w:t>NDA (Nuclear Decommissioning Authority)</w:t>
            </w:r>
          </w:p>
        </w:tc>
        <w:tc>
          <w:tcPr>
            <w:tcW w:w="1320" w:type="dxa"/>
            <w:tcBorders>
              <w:top w:val="nil"/>
              <w:left w:val="nil"/>
              <w:bottom w:val="nil"/>
              <w:right w:val="single" w:sz="4" w:space="0" w:color="auto"/>
            </w:tcBorders>
            <w:shd w:val="clear" w:color="auto" w:fill="auto"/>
            <w:noWrap/>
            <w:vAlign w:val="bottom"/>
            <w:hideMark/>
          </w:tcPr>
          <w:p w14:paraId="7785CD42" w14:textId="77777777" w:rsidR="006B1CE1" w:rsidRPr="006B1CE1" w:rsidRDefault="006B1CE1" w:rsidP="006B1CE1">
            <w:pPr>
              <w:jc w:val="right"/>
              <w:rPr>
                <w:rFonts w:cs="Arial"/>
                <w:color w:val="000000"/>
                <w:sz w:val="22"/>
                <w:szCs w:val="22"/>
                <w:lang w:eastAsia="en-GB"/>
              </w:rPr>
            </w:pPr>
            <w:r w:rsidRPr="006B1CE1">
              <w:rPr>
                <w:rFonts w:cs="Arial"/>
                <w:color w:val="000000"/>
                <w:sz w:val="22"/>
                <w:szCs w:val="22"/>
                <w:lang w:eastAsia="en-GB"/>
              </w:rPr>
              <w:t>100</w:t>
            </w:r>
          </w:p>
        </w:tc>
      </w:tr>
      <w:tr w:rsidR="006B1CE1" w:rsidRPr="006B1CE1" w14:paraId="62447F9C" w14:textId="77777777" w:rsidTr="006B1CE1">
        <w:trPr>
          <w:trHeight w:val="290"/>
          <w:jc w:val="center"/>
        </w:trPr>
        <w:tc>
          <w:tcPr>
            <w:tcW w:w="5220" w:type="dxa"/>
            <w:tcBorders>
              <w:top w:val="nil"/>
              <w:left w:val="single" w:sz="4" w:space="0" w:color="auto"/>
              <w:bottom w:val="single" w:sz="4" w:space="0" w:color="auto"/>
              <w:right w:val="nil"/>
            </w:tcBorders>
            <w:shd w:val="clear" w:color="auto" w:fill="auto"/>
            <w:noWrap/>
            <w:vAlign w:val="bottom"/>
            <w:hideMark/>
          </w:tcPr>
          <w:p w14:paraId="67A9ED3D" w14:textId="0A3E69D2" w:rsidR="006B1CE1" w:rsidRPr="006B1CE1" w:rsidRDefault="006B1CE1" w:rsidP="006B1CE1">
            <w:pPr>
              <w:rPr>
                <w:rFonts w:cs="Arial"/>
                <w:color w:val="000000"/>
                <w:sz w:val="22"/>
                <w:szCs w:val="22"/>
                <w:lang w:eastAsia="en-GB"/>
              </w:rPr>
            </w:pPr>
            <w:r w:rsidRPr="006B1CE1">
              <w:rPr>
                <w:rFonts w:cs="Arial"/>
                <w:color w:val="000000"/>
                <w:sz w:val="22"/>
                <w:szCs w:val="22"/>
                <w:lang w:eastAsia="en-GB"/>
              </w:rPr>
              <w:t>ERDF</w:t>
            </w:r>
            <w:r w:rsidR="00516F4C">
              <w:rPr>
                <w:rFonts w:cs="Arial"/>
                <w:color w:val="000000"/>
                <w:sz w:val="22"/>
                <w:szCs w:val="22"/>
                <w:lang w:eastAsia="en-GB"/>
              </w:rPr>
              <w:t xml:space="preserve"> (European Regional Development Fund)</w:t>
            </w:r>
          </w:p>
        </w:tc>
        <w:tc>
          <w:tcPr>
            <w:tcW w:w="1320" w:type="dxa"/>
            <w:tcBorders>
              <w:top w:val="nil"/>
              <w:left w:val="nil"/>
              <w:bottom w:val="single" w:sz="4" w:space="0" w:color="auto"/>
              <w:right w:val="single" w:sz="4" w:space="0" w:color="auto"/>
            </w:tcBorders>
            <w:shd w:val="clear" w:color="auto" w:fill="auto"/>
            <w:noWrap/>
            <w:vAlign w:val="bottom"/>
            <w:hideMark/>
          </w:tcPr>
          <w:p w14:paraId="7CFF1E90" w14:textId="77777777" w:rsidR="006B1CE1" w:rsidRPr="006B1CE1" w:rsidRDefault="006B1CE1" w:rsidP="006B1CE1">
            <w:pPr>
              <w:jc w:val="right"/>
              <w:rPr>
                <w:rFonts w:cs="Arial"/>
                <w:color w:val="000000"/>
                <w:sz w:val="22"/>
                <w:szCs w:val="22"/>
                <w:lang w:eastAsia="en-GB"/>
              </w:rPr>
            </w:pPr>
            <w:r w:rsidRPr="006B1CE1">
              <w:rPr>
                <w:rFonts w:cs="Arial"/>
                <w:color w:val="000000"/>
                <w:sz w:val="22"/>
                <w:szCs w:val="22"/>
                <w:lang w:eastAsia="en-GB"/>
              </w:rPr>
              <w:t>196</w:t>
            </w:r>
          </w:p>
        </w:tc>
      </w:tr>
    </w:tbl>
    <w:p w14:paraId="2138E336" w14:textId="77777777" w:rsidR="006B1CE1" w:rsidRDefault="006B1CE1" w:rsidP="00040C1A">
      <w:pPr>
        <w:jc w:val="center"/>
        <w:rPr>
          <w:b/>
          <w:highlight w:val="yellow"/>
        </w:rPr>
      </w:pPr>
    </w:p>
    <w:p w14:paraId="1BF2508C" w14:textId="16B8F6E0" w:rsidR="000C6EAA" w:rsidRPr="006B1CE1" w:rsidRDefault="006B1CE1" w:rsidP="006B1CE1">
      <w:pPr>
        <w:rPr>
          <w:bCs/>
        </w:rPr>
      </w:pPr>
      <w:r w:rsidRPr="006B1CE1">
        <w:rPr>
          <w:bCs/>
        </w:rPr>
        <w:t>This provides an indication of the relative split of activities within the Authority</w:t>
      </w:r>
      <w:r>
        <w:rPr>
          <w:bCs/>
        </w:rPr>
        <w:t>,</w:t>
      </w:r>
      <w:r w:rsidRPr="006B1CE1">
        <w:rPr>
          <w:bCs/>
        </w:rPr>
        <w:t xml:space="preserve"> with a mixture of core activities, scheme specific external funding and fees generated from service users.</w:t>
      </w:r>
    </w:p>
    <w:p w14:paraId="48D2C636" w14:textId="77777777" w:rsidR="00D1443A" w:rsidRDefault="00D1443A" w:rsidP="00A01E56">
      <w:pPr>
        <w:autoSpaceDE w:val="0"/>
        <w:autoSpaceDN w:val="0"/>
        <w:adjustRightInd w:val="0"/>
        <w:rPr>
          <w:rFonts w:cs="Arial"/>
          <w:b/>
          <w:bCs/>
          <w:sz w:val="24"/>
          <w:szCs w:val="24"/>
          <w:highlight w:val="yellow"/>
        </w:rPr>
      </w:pPr>
    </w:p>
    <w:p w14:paraId="7AEA531D" w14:textId="77777777" w:rsidR="003662C5" w:rsidRDefault="003662C5" w:rsidP="00A01E56">
      <w:pPr>
        <w:autoSpaceDE w:val="0"/>
        <w:autoSpaceDN w:val="0"/>
        <w:adjustRightInd w:val="0"/>
        <w:rPr>
          <w:rFonts w:cs="Arial"/>
          <w:b/>
          <w:bCs/>
          <w:sz w:val="24"/>
          <w:szCs w:val="24"/>
          <w:highlight w:val="yellow"/>
        </w:rPr>
      </w:pPr>
    </w:p>
    <w:p w14:paraId="71554C94" w14:textId="77777777" w:rsidR="003662C5" w:rsidRDefault="003662C5" w:rsidP="00A01E56">
      <w:pPr>
        <w:autoSpaceDE w:val="0"/>
        <w:autoSpaceDN w:val="0"/>
        <w:adjustRightInd w:val="0"/>
        <w:rPr>
          <w:rFonts w:cs="Arial"/>
          <w:b/>
          <w:bCs/>
          <w:sz w:val="24"/>
          <w:szCs w:val="24"/>
          <w:highlight w:val="yellow"/>
        </w:rPr>
      </w:pPr>
    </w:p>
    <w:p w14:paraId="4B32B11B" w14:textId="77777777" w:rsidR="006B1CE1" w:rsidRPr="004D5CA8" w:rsidRDefault="006B1CE1" w:rsidP="00A01E56">
      <w:pPr>
        <w:autoSpaceDE w:val="0"/>
        <w:autoSpaceDN w:val="0"/>
        <w:adjustRightInd w:val="0"/>
        <w:rPr>
          <w:rFonts w:cs="Arial"/>
          <w:b/>
          <w:bCs/>
          <w:sz w:val="24"/>
          <w:szCs w:val="24"/>
          <w:highlight w:val="yellow"/>
        </w:rPr>
      </w:pPr>
    </w:p>
    <w:p w14:paraId="3D1CA326" w14:textId="398FB288" w:rsidR="00A01E56" w:rsidRPr="00B00892" w:rsidRDefault="00A01E56" w:rsidP="00A01E56">
      <w:pPr>
        <w:autoSpaceDE w:val="0"/>
        <w:autoSpaceDN w:val="0"/>
        <w:adjustRightInd w:val="0"/>
        <w:rPr>
          <w:rFonts w:cs="Arial"/>
          <w:b/>
          <w:bCs/>
          <w:sz w:val="24"/>
          <w:szCs w:val="24"/>
        </w:rPr>
      </w:pPr>
      <w:r w:rsidRPr="00B00892">
        <w:rPr>
          <w:rFonts w:cs="Arial"/>
          <w:b/>
          <w:bCs/>
          <w:sz w:val="24"/>
          <w:szCs w:val="24"/>
        </w:rPr>
        <w:lastRenderedPageBreak/>
        <w:t>Capital Investment in 202</w:t>
      </w:r>
      <w:r w:rsidR="00B00892">
        <w:rPr>
          <w:rFonts w:cs="Arial"/>
          <w:b/>
          <w:bCs/>
          <w:sz w:val="24"/>
          <w:szCs w:val="24"/>
        </w:rPr>
        <w:t>2</w:t>
      </w:r>
      <w:r w:rsidRPr="00B00892">
        <w:rPr>
          <w:rFonts w:cs="Arial"/>
          <w:b/>
          <w:bCs/>
          <w:sz w:val="24"/>
          <w:szCs w:val="24"/>
        </w:rPr>
        <w:t>/2</w:t>
      </w:r>
      <w:r w:rsidR="00B00892">
        <w:rPr>
          <w:rFonts w:cs="Arial"/>
          <w:b/>
          <w:bCs/>
          <w:sz w:val="24"/>
          <w:szCs w:val="24"/>
        </w:rPr>
        <w:t>3</w:t>
      </w:r>
    </w:p>
    <w:p w14:paraId="0EABABF2" w14:textId="77777777" w:rsidR="00A01E56" w:rsidRPr="00B00892" w:rsidRDefault="00A01E56" w:rsidP="00A01E56">
      <w:pPr>
        <w:autoSpaceDE w:val="0"/>
        <w:autoSpaceDN w:val="0"/>
        <w:adjustRightInd w:val="0"/>
        <w:rPr>
          <w:rFonts w:cs="Arial"/>
          <w:b/>
          <w:bCs/>
          <w:sz w:val="24"/>
          <w:szCs w:val="24"/>
        </w:rPr>
      </w:pPr>
    </w:p>
    <w:p w14:paraId="6AF00CCC" w14:textId="77777777" w:rsidR="00A01E56" w:rsidRPr="00B00892" w:rsidRDefault="00A01E56" w:rsidP="00A01E56">
      <w:pPr>
        <w:autoSpaceDE w:val="0"/>
        <w:autoSpaceDN w:val="0"/>
        <w:adjustRightInd w:val="0"/>
        <w:rPr>
          <w:rFonts w:cs="Arial"/>
          <w:bCs/>
          <w:sz w:val="24"/>
          <w:szCs w:val="24"/>
        </w:rPr>
      </w:pPr>
      <w:r w:rsidRPr="00B00892">
        <w:rPr>
          <w:rFonts w:cs="Arial"/>
          <w:bCs/>
          <w:sz w:val="24"/>
          <w:szCs w:val="24"/>
        </w:rPr>
        <w:t>The Authority’s capital investment can be analysed as follows:</w:t>
      </w:r>
    </w:p>
    <w:p w14:paraId="1627DC8E" w14:textId="77777777" w:rsidR="00A01E56" w:rsidRPr="004D5CA8" w:rsidRDefault="00A01E56" w:rsidP="00A01E56">
      <w:pPr>
        <w:autoSpaceDE w:val="0"/>
        <w:autoSpaceDN w:val="0"/>
        <w:adjustRightInd w:val="0"/>
        <w:rPr>
          <w:rFonts w:cs="Arial"/>
          <w:bCs/>
          <w:sz w:val="24"/>
          <w:szCs w:val="24"/>
          <w:highlight w:val="yellow"/>
        </w:rPr>
      </w:pPr>
    </w:p>
    <w:tbl>
      <w:tblPr>
        <w:tblStyle w:val="TableGrid"/>
        <w:tblW w:w="9493" w:type="dxa"/>
        <w:tblLook w:val="04A0" w:firstRow="1" w:lastRow="0" w:firstColumn="1" w:lastColumn="0" w:noHBand="0" w:noVBand="1"/>
      </w:tblPr>
      <w:tblGrid>
        <w:gridCol w:w="4957"/>
        <w:gridCol w:w="1123"/>
        <w:gridCol w:w="1176"/>
        <w:gridCol w:w="1017"/>
        <w:gridCol w:w="1220"/>
      </w:tblGrid>
      <w:tr w:rsidR="00B00892" w:rsidRPr="00B00892" w14:paraId="3B07A308" w14:textId="77777777" w:rsidTr="00B00892">
        <w:trPr>
          <w:trHeight w:val="980"/>
        </w:trPr>
        <w:tc>
          <w:tcPr>
            <w:tcW w:w="4957" w:type="dxa"/>
            <w:vAlign w:val="center"/>
            <w:hideMark/>
          </w:tcPr>
          <w:p w14:paraId="3745CBED" w14:textId="77777777" w:rsidR="00B00892" w:rsidRPr="00B00892" w:rsidRDefault="00B00892" w:rsidP="00B00892">
            <w:pPr>
              <w:autoSpaceDE w:val="0"/>
              <w:autoSpaceDN w:val="0"/>
              <w:adjustRightInd w:val="0"/>
              <w:rPr>
                <w:rFonts w:cs="Arial"/>
                <w:b/>
                <w:bCs/>
                <w:sz w:val="20"/>
                <w:szCs w:val="20"/>
              </w:rPr>
            </w:pPr>
            <w:r w:rsidRPr="00B00892">
              <w:rPr>
                <w:rFonts w:cs="Arial"/>
                <w:b/>
                <w:bCs/>
                <w:sz w:val="20"/>
                <w:szCs w:val="20"/>
              </w:rPr>
              <w:t>Project / Spend Area</w:t>
            </w:r>
          </w:p>
        </w:tc>
        <w:tc>
          <w:tcPr>
            <w:tcW w:w="1123" w:type="dxa"/>
            <w:vAlign w:val="center"/>
            <w:hideMark/>
          </w:tcPr>
          <w:p w14:paraId="0BAD1992" w14:textId="77777777" w:rsidR="00B00892" w:rsidRPr="00B00892" w:rsidRDefault="00B00892" w:rsidP="00B00892">
            <w:pPr>
              <w:autoSpaceDE w:val="0"/>
              <w:autoSpaceDN w:val="0"/>
              <w:adjustRightInd w:val="0"/>
              <w:jc w:val="center"/>
              <w:rPr>
                <w:rFonts w:cs="Arial"/>
                <w:b/>
                <w:bCs/>
                <w:sz w:val="20"/>
                <w:szCs w:val="20"/>
              </w:rPr>
            </w:pPr>
            <w:r w:rsidRPr="00B00892">
              <w:rPr>
                <w:rFonts w:cs="Arial"/>
                <w:b/>
                <w:bCs/>
                <w:sz w:val="20"/>
                <w:szCs w:val="20"/>
              </w:rPr>
              <w:t>2022/23 Original Budget</w:t>
            </w:r>
            <w:r w:rsidRPr="00B00892">
              <w:rPr>
                <w:rFonts w:cs="Arial"/>
                <w:b/>
                <w:bCs/>
                <w:sz w:val="20"/>
                <w:szCs w:val="20"/>
              </w:rPr>
              <w:br/>
              <w:t>£000</w:t>
            </w:r>
          </w:p>
        </w:tc>
        <w:tc>
          <w:tcPr>
            <w:tcW w:w="1176" w:type="dxa"/>
            <w:vAlign w:val="center"/>
            <w:hideMark/>
          </w:tcPr>
          <w:p w14:paraId="0ABA9AAF" w14:textId="77777777" w:rsidR="00B00892" w:rsidRPr="00B00892" w:rsidRDefault="00B00892" w:rsidP="00B00892">
            <w:pPr>
              <w:autoSpaceDE w:val="0"/>
              <w:autoSpaceDN w:val="0"/>
              <w:adjustRightInd w:val="0"/>
              <w:jc w:val="center"/>
              <w:rPr>
                <w:rFonts w:cs="Arial"/>
                <w:b/>
                <w:bCs/>
                <w:sz w:val="20"/>
                <w:szCs w:val="20"/>
              </w:rPr>
            </w:pPr>
            <w:r w:rsidRPr="00B00892">
              <w:rPr>
                <w:rFonts w:cs="Arial"/>
                <w:b/>
                <w:bCs/>
                <w:sz w:val="20"/>
                <w:szCs w:val="20"/>
              </w:rPr>
              <w:t>2022/23 Working Budget</w:t>
            </w:r>
            <w:r w:rsidRPr="00B00892">
              <w:rPr>
                <w:rFonts w:cs="Arial"/>
                <w:b/>
                <w:bCs/>
                <w:sz w:val="20"/>
                <w:szCs w:val="20"/>
              </w:rPr>
              <w:br/>
              <w:t>£000</w:t>
            </w:r>
          </w:p>
        </w:tc>
        <w:tc>
          <w:tcPr>
            <w:tcW w:w="1017" w:type="dxa"/>
            <w:vAlign w:val="center"/>
            <w:hideMark/>
          </w:tcPr>
          <w:p w14:paraId="33CCD83C" w14:textId="77777777" w:rsidR="00B00892" w:rsidRPr="00B00892" w:rsidRDefault="00B00892" w:rsidP="00B00892">
            <w:pPr>
              <w:autoSpaceDE w:val="0"/>
              <w:autoSpaceDN w:val="0"/>
              <w:adjustRightInd w:val="0"/>
              <w:jc w:val="center"/>
              <w:rPr>
                <w:rFonts w:cs="Arial"/>
                <w:b/>
                <w:bCs/>
                <w:sz w:val="20"/>
                <w:szCs w:val="20"/>
              </w:rPr>
            </w:pPr>
            <w:r w:rsidRPr="00B00892">
              <w:rPr>
                <w:rFonts w:cs="Arial"/>
                <w:b/>
                <w:bCs/>
                <w:sz w:val="20"/>
                <w:szCs w:val="20"/>
              </w:rPr>
              <w:t xml:space="preserve">Actual </w:t>
            </w:r>
            <w:r w:rsidRPr="00B00892">
              <w:rPr>
                <w:rFonts w:cs="Arial"/>
                <w:b/>
                <w:bCs/>
                <w:sz w:val="20"/>
                <w:szCs w:val="20"/>
              </w:rPr>
              <w:br/>
              <w:t>£000</w:t>
            </w:r>
          </w:p>
        </w:tc>
        <w:tc>
          <w:tcPr>
            <w:tcW w:w="1220" w:type="dxa"/>
            <w:vAlign w:val="center"/>
            <w:hideMark/>
          </w:tcPr>
          <w:p w14:paraId="5490332A" w14:textId="77777777" w:rsidR="00B00892" w:rsidRPr="00B00892" w:rsidRDefault="00B00892" w:rsidP="00B00892">
            <w:pPr>
              <w:autoSpaceDE w:val="0"/>
              <w:autoSpaceDN w:val="0"/>
              <w:adjustRightInd w:val="0"/>
              <w:jc w:val="center"/>
              <w:rPr>
                <w:rFonts w:cs="Arial"/>
                <w:b/>
                <w:bCs/>
                <w:sz w:val="20"/>
                <w:szCs w:val="20"/>
              </w:rPr>
            </w:pPr>
            <w:r w:rsidRPr="00B00892">
              <w:rPr>
                <w:rFonts w:cs="Arial"/>
                <w:b/>
                <w:bCs/>
                <w:sz w:val="20"/>
                <w:szCs w:val="20"/>
              </w:rPr>
              <w:t>Budget variance</w:t>
            </w:r>
            <w:r w:rsidRPr="00B00892">
              <w:rPr>
                <w:rFonts w:cs="Arial"/>
                <w:b/>
                <w:bCs/>
                <w:sz w:val="20"/>
                <w:szCs w:val="20"/>
              </w:rPr>
              <w:br/>
              <w:t>£000</w:t>
            </w:r>
          </w:p>
        </w:tc>
      </w:tr>
      <w:tr w:rsidR="00B00892" w:rsidRPr="00B00892" w14:paraId="539B13BD" w14:textId="77777777" w:rsidTr="00B00892">
        <w:trPr>
          <w:trHeight w:val="397"/>
        </w:trPr>
        <w:tc>
          <w:tcPr>
            <w:tcW w:w="4957" w:type="dxa"/>
            <w:vAlign w:val="center"/>
            <w:hideMark/>
          </w:tcPr>
          <w:p w14:paraId="2F063C67" w14:textId="77777777" w:rsidR="00B00892" w:rsidRPr="00B00892" w:rsidRDefault="00B00892" w:rsidP="00B00892">
            <w:pPr>
              <w:autoSpaceDE w:val="0"/>
              <w:autoSpaceDN w:val="0"/>
              <w:adjustRightInd w:val="0"/>
              <w:rPr>
                <w:rFonts w:cs="Arial"/>
                <w:bCs/>
                <w:sz w:val="20"/>
                <w:szCs w:val="20"/>
              </w:rPr>
            </w:pPr>
            <w:r w:rsidRPr="00B00892">
              <w:rPr>
                <w:rFonts w:cs="Arial"/>
                <w:bCs/>
                <w:sz w:val="20"/>
                <w:szCs w:val="20"/>
              </w:rPr>
              <w:t>IT Rolling Replacement Programme</w:t>
            </w:r>
          </w:p>
        </w:tc>
        <w:tc>
          <w:tcPr>
            <w:tcW w:w="1123" w:type="dxa"/>
            <w:noWrap/>
            <w:vAlign w:val="center"/>
            <w:hideMark/>
          </w:tcPr>
          <w:p w14:paraId="1D4814BC"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94.0</w:t>
            </w:r>
          </w:p>
        </w:tc>
        <w:tc>
          <w:tcPr>
            <w:tcW w:w="1176" w:type="dxa"/>
            <w:noWrap/>
            <w:vAlign w:val="center"/>
            <w:hideMark/>
          </w:tcPr>
          <w:p w14:paraId="7150378D"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109.0</w:t>
            </w:r>
          </w:p>
        </w:tc>
        <w:tc>
          <w:tcPr>
            <w:tcW w:w="1017" w:type="dxa"/>
            <w:noWrap/>
            <w:vAlign w:val="center"/>
            <w:hideMark/>
          </w:tcPr>
          <w:p w14:paraId="2D701276"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44</w:t>
            </w:r>
          </w:p>
        </w:tc>
        <w:tc>
          <w:tcPr>
            <w:tcW w:w="1220" w:type="dxa"/>
            <w:noWrap/>
            <w:vAlign w:val="center"/>
            <w:hideMark/>
          </w:tcPr>
          <w:p w14:paraId="3F81049F"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-65.0</w:t>
            </w:r>
          </w:p>
        </w:tc>
      </w:tr>
      <w:tr w:rsidR="00B00892" w:rsidRPr="00B00892" w14:paraId="1C4993CA" w14:textId="77777777" w:rsidTr="00B00892">
        <w:trPr>
          <w:trHeight w:val="397"/>
        </w:trPr>
        <w:tc>
          <w:tcPr>
            <w:tcW w:w="4957" w:type="dxa"/>
            <w:vAlign w:val="center"/>
            <w:hideMark/>
          </w:tcPr>
          <w:p w14:paraId="7F511A8A" w14:textId="77777777" w:rsidR="00B00892" w:rsidRPr="00B00892" w:rsidRDefault="00B00892" w:rsidP="00B00892">
            <w:pPr>
              <w:autoSpaceDE w:val="0"/>
              <w:autoSpaceDN w:val="0"/>
              <w:adjustRightInd w:val="0"/>
              <w:rPr>
                <w:rFonts w:cs="Arial"/>
                <w:bCs/>
                <w:sz w:val="20"/>
                <w:szCs w:val="20"/>
              </w:rPr>
            </w:pPr>
            <w:r w:rsidRPr="00B00892">
              <w:rPr>
                <w:rFonts w:cs="Arial"/>
                <w:bCs/>
                <w:sz w:val="20"/>
                <w:szCs w:val="20"/>
              </w:rPr>
              <w:t>Car Park Re-surfacing</w:t>
            </w:r>
          </w:p>
        </w:tc>
        <w:tc>
          <w:tcPr>
            <w:tcW w:w="1123" w:type="dxa"/>
            <w:noWrap/>
            <w:vAlign w:val="center"/>
            <w:hideMark/>
          </w:tcPr>
          <w:p w14:paraId="65741B03"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10.0</w:t>
            </w:r>
          </w:p>
        </w:tc>
        <w:tc>
          <w:tcPr>
            <w:tcW w:w="1176" w:type="dxa"/>
            <w:noWrap/>
            <w:vAlign w:val="center"/>
            <w:hideMark/>
          </w:tcPr>
          <w:p w14:paraId="323D3E19"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10.0</w:t>
            </w:r>
          </w:p>
        </w:tc>
        <w:tc>
          <w:tcPr>
            <w:tcW w:w="1017" w:type="dxa"/>
            <w:noWrap/>
            <w:vAlign w:val="center"/>
            <w:hideMark/>
          </w:tcPr>
          <w:p w14:paraId="72841028"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w:t>
            </w:r>
          </w:p>
        </w:tc>
        <w:tc>
          <w:tcPr>
            <w:tcW w:w="1220" w:type="dxa"/>
            <w:noWrap/>
            <w:vAlign w:val="center"/>
            <w:hideMark/>
          </w:tcPr>
          <w:p w14:paraId="4F6CCEE2"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-10.0</w:t>
            </w:r>
          </w:p>
        </w:tc>
      </w:tr>
      <w:tr w:rsidR="00B00892" w:rsidRPr="00B00892" w14:paraId="7CDD40D3" w14:textId="77777777" w:rsidTr="00B00892">
        <w:trPr>
          <w:trHeight w:val="397"/>
        </w:trPr>
        <w:tc>
          <w:tcPr>
            <w:tcW w:w="4957" w:type="dxa"/>
            <w:vAlign w:val="center"/>
            <w:hideMark/>
          </w:tcPr>
          <w:p w14:paraId="4DB75E22" w14:textId="77777777" w:rsidR="00B00892" w:rsidRPr="00B00892" w:rsidRDefault="00B00892" w:rsidP="00B00892">
            <w:pPr>
              <w:autoSpaceDE w:val="0"/>
              <w:autoSpaceDN w:val="0"/>
              <w:adjustRightInd w:val="0"/>
              <w:rPr>
                <w:rFonts w:cs="Arial"/>
                <w:bCs/>
                <w:sz w:val="20"/>
                <w:szCs w:val="20"/>
              </w:rPr>
            </w:pPr>
            <w:r w:rsidRPr="00B00892">
              <w:rPr>
                <w:rFonts w:cs="Arial"/>
                <w:bCs/>
                <w:sz w:val="20"/>
                <w:szCs w:val="20"/>
              </w:rPr>
              <w:t xml:space="preserve">New Boats (CBC and </w:t>
            </w:r>
            <w:proofErr w:type="spellStart"/>
            <w:r w:rsidRPr="00B00892">
              <w:rPr>
                <w:rFonts w:cs="Arial"/>
                <w:bCs/>
                <w:sz w:val="20"/>
                <w:szCs w:val="20"/>
              </w:rPr>
              <w:t>Brockhole</w:t>
            </w:r>
            <w:proofErr w:type="spellEnd"/>
            <w:r w:rsidRPr="00B00892">
              <w:rPr>
                <w:rFonts w:cs="Arial"/>
                <w:bCs/>
                <w:sz w:val="20"/>
                <w:szCs w:val="20"/>
              </w:rPr>
              <w:t>)</w:t>
            </w:r>
          </w:p>
        </w:tc>
        <w:tc>
          <w:tcPr>
            <w:tcW w:w="1123" w:type="dxa"/>
            <w:noWrap/>
            <w:vAlign w:val="center"/>
            <w:hideMark/>
          </w:tcPr>
          <w:p w14:paraId="0EA32F92"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32.0</w:t>
            </w:r>
          </w:p>
        </w:tc>
        <w:tc>
          <w:tcPr>
            <w:tcW w:w="1176" w:type="dxa"/>
            <w:noWrap/>
            <w:vAlign w:val="center"/>
            <w:hideMark/>
          </w:tcPr>
          <w:p w14:paraId="2564B920"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42.1</w:t>
            </w:r>
          </w:p>
        </w:tc>
        <w:tc>
          <w:tcPr>
            <w:tcW w:w="1017" w:type="dxa"/>
            <w:noWrap/>
            <w:vAlign w:val="center"/>
            <w:hideMark/>
          </w:tcPr>
          <w:p w14:paraId="241EC63C"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42.1</w:t>
            </w:r>
          </w:p>
        </w:tc>
        <w:tc>
          <w:tcPr>
            <w:tcW w:w="1220" w:type="dxa"/>
            <w:noWrap/>
            <w:vAlign w:val="center"/>
            <w:hideMark/>
          </w:tcPr>
          <w:p w14:paraId="4BA7BBD2"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0.0</w:t>
            </w:r>
          </w:p>
        </w:tc>
      </w:tr>
      <w:tr w:rsidR="00B00892" w:rsidRPr="00B00892" w14:paraId="656CE296" w14:textId="77777777" w:rsidTr="00B00892">
        <w:trPr>
          <w:trHeight w:val="397"/>
        </w:trPr>
        <w:tc>
          <w:tcPr>
            <w:tcW w:w="4957" w:type="dxa"/>
            <w:vAlign w:val="center"/>
            <w:hideMark/>
          </w:tcPr>
          <w:p w14:paraId="4F0CE12D" w14:textId="77777777" w:rsidR="00B00892" w:rsidRPr="00B00892" w:rsidRDefault="00B00892" w:rsidP="00B00892">
            <w:pPr>
              <w:autoSpaceDE w:val="0"/>
              <w:autoSpaceDN w:val="0"/>
              <w:adjustRightInd w:val="0"/>
              <w:rPr>
                <w:rFonts w:cs="Arial"/>
                <w:bCs/>
                <w:sz w:val="20"/>
                <w:szCs w:val="20"/>
              </w:rPr>
            </w:pPr>
            <w:r w:rsidRPr="00B00892">
              <w:rPr>
                <w:rFonts w:cs="Arial"/>
                <w:bCs/>
                <w:sz w:val="20"/>
                <w:szCs w:val="20"/>
              </w:rPr>
              <w:t>Park Management Plant &amp; machinery</w:t>
            </w:r>
          </w:p>
        </w:tc>
        <w:tc>
          <w:tcPr>
            <w:tcW w:w="1123" w:type="dxa"/>
            <w:noWrap/>
            <w:vAlign w:val="center"/>
            <w:hideMark/>
          </w:tcPr>
          <w:p w14:paraId="3C27655F"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20.0</w:t>
            </w:r>
          </w:p>
        </w:tc>
        <w:tc>
          <w:tcPr>
            <w:tcW w:w="1176" w:type="dxa"/>
            <w:noWrap/>
            <w:vAlign w:val="center"/>
            <w:hideMark/>
          </w:tcPr>
          <w:p w14:paraId="4E68C82D"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67.0</w:t>
            </w:r>
          </w:p>
        </w:tc>
        <w:tc>
          <w:tcPr>
            <w:tcW w:w="1017" w:type="dxa"/>
            <w:noWrap/>
            <w:vAlign w:val="center"/>
            <w:hideMark/>
          </w:tcPr>
          <w:p w14:paraId="24D437F2"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41.2</w:t>
            </w:r>
          </w:p>
        </w:tc>
        <w:tc>
          <w:tcPr>
            <w:tcW w:w="1220" w:type="dxa"/>
            <w:noWrap/>
            <w:vAlign w:val="center"/>
            <w:hideMark/>
          </w:tcPr>
          <w:p w14:paraId="7C731155"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-25.8</w:t>
            </w:r>
          </w:p>
        </w:tc>
      </w:tr>
      <w:tr w:rsidR="00B00892" w:rsidRPr="00B00892" w14:paraId="1EDB27D6" w14:textId="77777777" w:rsidTr="00B00892">
        <w:trPr>
          <w:trHeight w:val="397"/>
        </w:trPr>
        <w:tc>
          <w:tcPr>
            <w:tcW w:w="4957" w:type="dxa"/>
            <w:vAlign w:val="center"/>
            <w:hideMark/>
          </w:tcPr>
          <w:p w14:paraId="1D3D8650" w14:textId="2B1C02A8" w:rsidR="00B00892" w:rsidRPr="00B00892" w:rsidRDefault="00B00892" w:rsidP="00B00892">
            <w:pPr>
              <w:autoSpaceDE w:val="0"/>
              <w:autoSpaceDN w:val="0"/>
              <w:adjustRightInd w:val="0"/>
              <w:rPr>
                <w:rFonts w:cs="Arial"/>
                <w:bCs/>
                <w:sz w:val="20"/>
                <w:szCs w:val="20"/>
              </w:rPr>
            </w:pPr>
            <w:r w:rsidRPr="00B00892">
              <w:rPr>
                <w:rFonts w:cs="Arial"/>
                <w:bCs/>
                <w:sz w:val="20"/>
                <w:szCs w:val="20"/>
              </w:rPr>
              <w:t xml:space="preserve">Vehicle Fleet Replacements </w:t>
            </w:r>
          </w:p>
        </w:tc>
        <w:tc>
          <w:tcPr>
            <w:tcW w:w="1123" w:type="dxa"/>
            <w:noWrap/>
            <w:vAlign w:val="center"/>
            <w:hideMark/>
          </w:tcPr>
          <w:p w14:paraId="5C565B2A"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78.0</w:t>
            </w:r>
          </w:p>
        </w:tc>
        <w:tc>
          <w:tcPr>
            <w:tcW w:w="1176" w:type="dxa"/>
            <w:noWrap/>
            <w:vAlign w:val="center"/>
            <w:hideMark/>
          </w:tcPr>
          <w:p w14:paraId="77F44B9F"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113.0</w:t>
            </w:r>
          </w:p>
        </w:tc>
        <w:tc>
          <w:tcPr>
            <w:tcW w:w="1017" w:type="dxa"/>
            <w:noWrap/>
            <w:vAlign w:val="center"/>
            <w:hideMark/>
          </w:tcPr>
          <w:p w14:paraId="72060C25"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117.5</w:t>
            </w:r>
          </w:p>
        </w:tc>
        <w:tc>
          <w:tcPr>
            <w:tcW w:w="1220" w:type="dxa"/>
            <w:noWrap/>
            <w:vAlign w:val="center"/>
            <w:hideMark/>
          </w:tcPr>
          <w:p w14:paraId="6D0CCB2B"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4.5</w:t>
            </w:r>
          </w:p>
        </w:tc>
      </w:tr>
      <w:tr w:rsidR="00B00892" w:rsidRPr="00B00892" w14:paraId="5F316D39" w14:textId="77777777" w:rsidTr="00B00892">
        <w:trPr>
          <w:trHeight w:val="397"/>
        </w:trPr>
        <w:tc>
          <w:tcPr>
            <w:tcW w:w="4957" w:type="dxa"/>
            <w:vAlign w:val="center"/>
            <w:hideMark/>
          </w:tcPr>
          <w:p w14:paraId="5893EFEB" w14:textId="77777777" w:rsidR="00B00892" w:rsidRPr="00B00892" w:rsidRDefault="00B00892" w:rsidP="00B00892">
            <w:pPr>
              <w:autoSpaceDE w:val="0"/>
              <w:autoSpaceDN w:val="0"/>
              <w:adjustRightInd w:val="0"/>
              <w:rPr>
                <w:rFonts w:cs="Arial"/>
                <w:bCs/>
                <w:sz w:val="20"/>
                <w:szCs w:val="20"/>
              </w:rPr>
            </w:pPr>
            <w:r w:rsidRPr="00B00892">
              <w:rPr>
                <w:rFonts w:cs="Arial"/>
                <w:bCs/>
                <w:sz w:val="20"/>
                <w:szCs w:val="20"/>
              </w:rPr>
              <w:t>Vehicle Fleet Replacements - Leased</w:t>
            </w:r>
          </w:p>
        </w:tc>
        <w:tc>
          <w:tcPr>
            <w:tcW w:w="1123" w:type="dxa"/>
            <w:noWrap/>
            <w:vAlign w:val="center"/>
            <w:hideMark/>
          </w:tcPr>
          <w:p w14:paraId="3E67E689"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57.0</w:t>
            </w:r>
          </w:p>
        </w:tc>
        <w:tc>
          <w:tcPr>
            <w:tcW w:w="1176" w:type="dxa"/>
            <w:noWrap/>
            <w:vAlign w:val="center"/>
            <w:hideMark/>
          </w:tcPr>
          <w:p w14:paraId="3303D948"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0.0</w:t>
            </w:r>
          </w:p>
        </w:tc>
        <w:tc>
          <w:tcPr>
            <w:tcW w:w="1017" w:type="dxa"/>
            <w:noWrap/>
            <w:vAlign w:val="center"/>
            <w:hideMark/>
          </w:tcPr>
          <w:p w14:paraId="35B36BE2"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w:t>
            </w:r>
          </w:p>
        </w:tc>
        <w:tc>
          <w:tcPr>
            <w:tcW w:w="1220" w:type="dxa"/>
            <w:noWrap/>
            <w:vAlign w:val="center"/>
            <w:hideMark/>
          </w:tcPr>
          <w:p w14:paraId="3F3E96F1"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0.0</w:t>
            </w:r>
          </w:p>
        </w:tc>
      </w:tr>
      <w:tr w:rsidR="00B00892" w:rsidRPr="00B00892" w14:paraId="6C26EE2C" w14:textId="77777777" w:rsidTr="00B00892">
        <w:trPr>
          <w:trHeight w:val="397"/>
        </w:trPr>
        <w:tc>
          <w:tcPr>
            <w:tcW w:w="4957" w:type="dxa"/>
            <w:vAlign w:val="center"/>
            <w:hideMark/>
          </w:tcPr>
          <w:p w14:paraId="0637FD1A" w14:textId="77777777" w:rsidR="00B00892" w:rsidRPr="00B00892" w:rsidRDefault="00B00892" w:rsidP="00B00892">
            <w:pPr>
              <w:autoSpaceDE w:val="0"/>
              <w:autoSpaceDN w:val="0"/>
              <w:adjustRightInd w:val="0"/>
              <w:rPr>
                <w:rFonts w:cs="Arial"/>
                <w:bCs/>
                <w:sz w:val="20"/>
                <w:szCs w:val="20"/>
              </w:rPr>
            </w:pPr>
            <w:r w:rsidRPr="00B00892">
              <w:rPr>
                <w:rFonts w:cs="Arial"/>
                <w:bCs/>
                <w:sz w:val="20"/>
                <w:szCs w:val="20"/>
              </w:rPr>
              <w:t>Property Condition Survey Work</w:t>
            </w:r>
          </w:p>
        </w:tc>
        <w:tc>
          <w:tcPr>
            <w:tcW w:w="1123" w:type="dxa"/>
            <w:noWrap/>
            <w:vAlign w:val="center"/>
            <w:hideMark/>
          </w:tcPr>
          <w:p w14:paraId="2CF5764F"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67.0</w:t>
            </w:r>
          </w:p>
        </w:tc>
        <w:tc>
          <w:tcPr>
            <w:tcW w:w="1176" w:type="dxa"/>
            <w:noWrap/>
            <w:vAlign w:val="center"/>
            <w:hideMark/>
          </w:tcPr>
          <w:p w14:paraId="5FC88073"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24.0</w:t>
            </w:r>
          </w:p>
        </w:tc>
        <w:tc>
          <w:tcPr>
            <w:tcW w:w="1017" w:type="dxa"/>
            <w:noWrap/>
            <w:vAlign w:val="center"/>
            <w:hideMark/>
          </w:tcPr>
          <w:p w14:paraId="29F4AE1F"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13.6</w:t>
            </w:r>
          </w:p>
        </w:tc>
        <w:tc>
          <w:tcPr>
            <w:tcW w:w="1220" w:type="dxa"/>
            <w:noWrap/>
            <w:vAlign w:val="center"/>
            <w:hideMark/>
          </w:tcPr>
          <w:p w14:paraId="2AC895C8"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-10.4</w:t>
            </w:r>
          </w:p>
        </w:tc>
      </w:tr>
      <w:tr w:rsidR="00B00892" w:rsidRPr="00B00892" w14:paraId="7A528C0C" w14:textId="77777777" w:rsidTr="00B00892">
        <w:trPr>
          <w:trHeight w:val="397"/>
        </w:trPr>
        <w:tc>
          <w:tcPr>
            <w:tcW w:w="4957" w:type="dxa"/>
            <w:vAlign w:val="center"/>
            <w:hideMark/>
          </w:tcPr>
          <w:p w14:paraId="2C8C09FE" w14:textId="77777777" w:rsidR="00B00892" w:rsidRPr="00B00892" w:rsidRDefault="00B00892" w:rsidP="00B00892">
            <w:pPr>
              <w:autoSpaceDE w:val="0"/>
              <w:autoSpaceDN w:val="0"/>
              <w:adjustRightInd w:val="0"/>
              <w:rPr>
                <w:rFonts w:cs="Arial"/>
                <w:bCs/>
                <w:sz w:val="20"/>
                <w:szCs w:val="20"/>
              </w:rPr>
            </w:pPr>
            <w:proofErr w:type="spellStart"/>
            <w:r w:rsidRPr="00B00892">
              <w:rPr>
                <w:rFonts w:cs="Arial"/>
                <w:bCs/>
                <w:sz w:val="20"/>
                <w:szCs w:val="20"/>
              </w:rPr>
              <w:t>Brockhole</w:t>
            </w:r>
            <w:proofErr w:type="spellEnd"/>
            <w:r w:rsidRPr="00B00892">
              <w:rPr>
                <w:rFonts w:cs="Arial"/>
                <w:bCs/>
                <w:sz w:val="20"/>
                <w:szCs w:val="20"/>
              </w:rPr>
              <w:t xml:space="preserve"> equipment (</w:t>
            </w:r>
            <w:proofErr w:type="spellStart"/>
            <w:r w:rsidRPr="00B00892">
              <w:rPr>
                <w:rFonts w:cs="Arial"/>
                <w:bCs/>
                <w:sz w:val="20"/>
                <w:szCs w:val="20"/>
              </w:rPr>
              <w:t>onging</w:t>
            </w:r>
            <w:proofErr w:type="spellEnd"/>
            <w:r w:rsidRPr="00B00892">
              <w:rPr>
                <w:rFonts w:cs="Arial"/>
                <w:bCs/>
                <w:sz w:val="20"/>
                <w:szCs w:val="20"/>
              </w:rPr>
              <w:t>)</w:t>
            </w:r>
          </w:p>
        </w:tc>
        <w:tc>
          <w:tcPr>
            <w:tcW w:w="1123" w:type="dxa"/>
            <w:noWrap/>
            <w:vAlign w:val="center"/>
            <w:hideMark/>
          </w:tcPr>
          <w:p w14:paraId="1368206E"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20.0</w:t>
            </w:r>
          </w:p>
        </w:tc>
        <w:tc>
          <w:tcPr>
            <w:tcW w:w="1176" w:type="dxa"/>
            <w:noWrap/>
            <w:vAlign w:val="center"/>
            <w:hideMark/>
          </w:tcPr>
          <w:p w14:paraId="1CB0D68F"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0.0</w:t>
            </w:r>
          </w:p>
        </w:tc>
        <w:tc>
          <w:tcPr>
            <w:tcW w:w="1017" w:type="dxa"/>
            <w:noWrap/>
            <w:vAlign w:val="center"/>
            <w:hideMark/>
          </w:tcPr>
          <w:p w14:paraId="4723E113"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w:t>
            </w:r>
          </w:p>
        </w:tc>
        <w:tc>
          <w:tcPr>
            <w:tcW w:w="1220" w:type="dxa"/>
            <w:noWrap/>
            <w:vAlign w:val="center"/>
            <w:hideMark/>
          </w:tcPr>
          <w:p w14:paraId="467E676D"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0.0</w:t>
            </w:r>
          </w:p>
        </w:tc>
      </w:tr>
      <w:tr w:rsidR="00B00892" w:rsidRPr="00B00892" w14:paraId="7540AE43" w14:textId="77777777" w:rsidTr="00B00892">
        <w:trPr>
          <w:trHeight w:val="397"/>
        </w:trPr>
        <w:tc>
          <w:tcPr>
            <w:tcW w:w="4957" w:type="dxa"/>
            <w:vAlign w:val="center"/>
            <w:hideMark/>
          </w:tcPr>
          <w:p w14:paraId="4BD3A531" w14:textId="77777777" w:rsidR="00B00892" w:rsidRPr="00B00892" w:rsidRDefault="00B00892" w:rsidP="00B00892">
            <w:pPr>
              <w:autoSpaceDE w:val="0"/>
              <w:autoSpaceDN w:val="0"/>
              <w:adjustRightInd w:val="0"/>
              <w:rPr>
                <w:rFonts w:cs="Arial"/>
                <w:bCs/>
                <w:sz w:val="20"/>
                <w:szCs w:val="20"/>
              </w:rPr>
            </w:pPr>
            <w:proofErr w:type="spellStart"/>
            <w:r w:rsidRPr="00B00892">
              <w:rPr>
                <w:rFonts w:cs="Arial"/>
                <w:bCs/>
                <w:sz w:val="20"/>
                <w:szCs w:val="20"/>
              </w:rPr>
              <w:t>Brockhole</w:t>
            </w:r>
            <w:proofErr w:type="spellEnd"/>
            <w:r w:rsidRPr="00B00892">
              <w:rPr>
                <w:rFonts w:cs="Arial"/>
                <w:bCs/>
                <w:sz w:val="20"/>
                <w:szCs w:val="20"/>
              </w:rPr>
              <w:t xml:space="preserve"> Toilets</w:t>
            </w:r>
          </w:p>
        </w:tc>
        <w:tc>
          <w:tcPr>
            <w:tcW w:w="1123" w:type="dxa"/>
            <w:noWrap/>
            <w:vAlign w:val="center"/>
            <w:hideMark/>
          </w:tcPr>
          <w:p w14:paraId="117513F5"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70.0</w:t>
            </w:r>
          </w:p>
        </w:tc>
        <w:tc>
          <w:tcPr>
            <w:tcW w:w="1176" w:type="dxa"/>
            <w:noWrap/>
            <w:vAlign w:val="center"/>
            <w:hideMark/>
          </w:tcPr>
          <w:p w14:paraId="538B5899"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26.0</w:t>
            </w:r>
          </w:p>
        </w:tc>
        <w:tc>
          <w:tcPr>
            <w:tcW w:w="1017" w:type="dxa"/>
            <w:noWrap/>
            <w:vAlign w:val="center"/>
            <w:hideMark/>
          </w:tcPr>
          <w:p w14:paraId="23D2C112"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27.8</w:t>
            </w:r>
          </w:p>
        </w:tc>
        <w:tc>
          <w:tcPr>
            <w:tcW w:w="1220" w:type="dxa"/>
            <w:noWrap/>
            <w:vAlign w:val="center"/>
            <w:hideMark/>
          </w:tcPr>
          <w:p w14:paraId="6745A10F"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1.8</w:t>
            </w:r>
          </w:p>
        </w:tc>
      </w:tr>
      <w:tr w:rsidR="00B00892" w:rsidRPr="00B00892" w14:paraId="696E896A" w14:textId="77777777" w:rsidTr="00B00892">
        <w:trPr>
          <w:trHeight w:val="397"/>
        </w:trPr>
        <w:tc>
          <w:tcPr>
            <w:tcW w:w="4957" w:type="dxa"/>
            <w:vAlign w:val="center"/>
            <w:hideMark/>
          </w:tcPr>
          <w:p w14:paraId="4D6A3D2B" w14:textId="77777777" w:rsidR="00B00892" w:rsidRPr="00B00892" w:rsidRDefault="00B00892" w:rsidP="00B00892">
            <w:pPr>
              <w:autoSpaceDE w:val="0"/>
              <w:autoSpaceDN w:val="0"/>
              <w:adjustRightInd w:val="0"/>
              <w:rPr>
                <w:rFonts w:cs="Arial"/>
                <w:bCs/>
                <w:sz w:val="20"/>
                <w:szCs w:val="20"/>
              </w:rPr>
            </w:pPr>
            <w:proofErr w:type="spellStart"/>
            <w:r w:rsidRPr="00B00892">
              <w:rPr>
                <w:rFonts w:cs="Arial"/>
                <w:bCs/>
                <w:sz w:val="20"/>
                <w:szCs w:val="20"/>
              </w:rPr>
              <w:t>Brockhole</w:t>
            </w:r>
            <w:proofErr w:type="spellEnd"/>
            <w:r w:rsidRPr="00B00892">
              <w:rPr>
                <w:rFonts w:cs="Arial"/>
                <w:bCs/>
                <w:sz w:val="20"/>
                <w:szCs w:val="20"/>
              </w:rPr>
              <w:t xml:space="preserve"> Lakeshore</w:t>
            </w:r>
          </w:p>
        </w:tc>
        <w:tc>
          <w:tcPr>
            <w:tcW w:w="1123" w:type="dxa"/>
            <w:noWrap/>
            <w:vAlign w:val="center"/>
            <w:hideMark/>
          </w:tcPr>
          <w:p w14:paraId="7FB98C22"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109.0</w:t>
            </w:r>
          </w:p>
        </w:tc>
        <w:tc>
          <w:tcPr>
            <w:tcW w:w="1176" w:type="dxa"/>
            <w:noWrap/>
            <w:vAlign w:val="center"/>
            <w:hideMark/>
          </w:tcPr>
          <w:p w14:paraId="0C41FBAD"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148.0</w:t>
            </w:r>
          </w:p>
        </w:tc>
        <w:tc>
          <w:tcPr>
            <w:tcW w:w="1017" w:type="dxa"/>
            <w:noWrap/>
            <w:vAlign w:val="center"/>
            <w:hideMark/>
          </w:tcPr>
          <w:p w14:paraId="5A60D11F"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101.7</w:t>
            </w:r>
          </w:p>
        </w:tc>
        <w:tc>
          <w:tcPr>
            <w:tcW w:w="1220" w:type="dxa"/>
            <w:noWrap/>
            <w:vAlign w:val="center"/>
            <w:hideMark/>
          </w:tcPr>
          <w:p w14:paraId="4F4371B8"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-46.3</w:t>
            </w:r>
          </w:p>
        </w:tc>
      </w:tr>
      <w:tr w:rsidR="00B00892" w:rsidRPr="00B00892" w14:paraId="5D6BBAC5" w14:textId="77777777" w:rsidTr="00B00892">
        <w:trPr>
          <w:trHeight w:val="397"/>
        </w:trPr>
        <w:tc>
          <w:tcPr>
            <w:tcW w:w="4957" w:type="dxa"/>
            <w:vAlign w:val="center"/>
            <w:hideMark/>
          </w:tcPr>
          <w:p w14:paraId="509AA516" w14:textId="43BF47D3" w:rsidR="00B00892" w:rsidRPr="00B00892" w:rsidRDefault="00B00892" w:rsidP="00B00892">
            <w:pPr>
              <w:autoSpaceDE w:val="0"/>
              <w:autoSpaceDN w:val="0"/>
              <w:adjustRightInd w:val="0"/>
              <w:rPr>
                <w:rFonts w:cs="Arial"/>
                <w:bCs/>
                <w:sz w:val="20"/>
                <w:szCs w:val="20"/>
              </w:rPr>
            </w:pPr>
            <w:r w:rsidRPr="00B00892">
              <w:rPr>
                <w:rFonts w:cs="Arial"/>
                <w:bCs/>
                <w:sz w:val="20"/>
                <w:szCs w:val="20"/>
              </w:rPr>
              <w:t>L</w:t>
            </w:r>
            <w:r w:rsidR="00516F4C">
              <w:rPr>
                <w:rFonts w:cs="Arial"/>
                <w:bCs/>
                <w:sz w:val="20"/>
                <w:szCs w:val="20"/>
              </w:rPr>
              <w:t>ow Carbon Lake District (L</w:t>
            </w:r>
            <w:r w:rsidRPr="00B00892">
              <w:rPr>
                <w:rFonts w:cs="Arial"/>
                <w:bCs/>
                <w:sz w:val="20"/>
                <w:szCs w:val="20"/>
              </w:rPr>
              <w:t>CLD</w:t>
            </w:r>
            <w:r w:rsidR="00516F4C">
              <w:rPr>
                <w:rFonts w:cs="Arial"/>
                <w:bCs/>
                <w:sz w:val="20"/>
                <w:szCs w:val="20"/>
              </w:rPr>
              <w:t>)</w:t>
            </w:r>
            <w:r w:rsidRPr="00B00892">
              <w:rPr>
                <w:rFonts w:cs="Arial"/>
                <w:bCs/>
                <w:sz w:val="20"/>
                <w:szCs w:val="20"/>
              </w:rPr>
              <w:t xml:space="preserve"> - </w:t>
            </w:r>
            <w:proofErr w:type="spellStart"/>
            <w:r w:rsidRPr="00B00892">
              <w:rPr>
                <w:rFonts w:cs="Arial"/>
                <w:bCs/>
                <w:sz w:val="20"/>
                <w:szCs w:val="20"/>
              </w:rPr>
              <w:t>Brockhole</w:t>
            </w:r>
            <w:proofErr w:type="spellEnd"/>
            <w:r w:rsidRPr="00B00892">
              <w:rPr>
                <w:rFonts w:cs="Arial"/>
                <w:bCs/>
                <w:sz w:val="20"/>
                <w:szCs w:val="20"/>
              </w:rPr>
              <w:t xml:space="preserve"> Boiler</w:t>
            </w:r>
          </w:p>
        </w:tc>
        <w:tc>
          <w:tcPr>
            <w:tcW w:w="1123" w:type="dxa"/>
            <w:noWrap/>
            <w:vAlign w:val="center"/>
            <w:hideMark/>
          </w:tcPr>
          <w:p w14:paraId="57BC2750"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0.0</w:t>
            </w:r>
          </w:p>
        </w:tc>
        <w:tc>
          <w:tcPr>
            <w:tcW w:w="1176" w:type="dxa"/>
            <w:noWrap/>
            <w:vAlign w:val="center"/>
            <w:hideMark/>
          </w:tcPr>
          <w:p w14:paraId="683D1E99"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4.0</w:t>
            </w:r>
          </w:p>
        </w:tc>
        <w:tc>
          <w:tcPr>
            <w:tcW w:w="1017" w:type="dxa"/>
            <w:noWrap/>
            <w:vAlign w:val="center"/>
            <w:hideMark/>
          </w:tcPr>
          <w:p w14:paraId="0BCBBB10"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8.1</w:t>
            </w:r>
          </w:p>
        </w:tc>
        <w:tc>
          <w:tcPr>
            <w:tcW w:w="1220" w:type="dxa"/>
            <w:noWrap/>
            <w:vAlign w:val="center"/>
            <w:hideMark/>
          </w:tcPr>
          <w:p w14:paraId="21D4025F"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4.1</w:t>
            </w:r>
          </w:p>
        </w:tc>
      </w:tr>
      <w:tr w:rsidR="00B00892" w:rsidRPr="00B00892" w14:paraId="640D54B3" w14:textId="77777777" w:rsidTr="00B00892">
        <w:trPr>
          <w:trHeight w:val="397"/>
        </w:trPr>
        <w:tc>
          <w:tcPr>
            <w:tcW w:w="4957" w:type="dxa"/>
            <w:vAlign w:val="center"/>
            <w:hideMark/>
          </w:tcPr>
          <w:p w14:paraId="08E9039E" w14:textId="77777777" w:rsidR="00B00892" w:rsidRPr="00B00892" w:rsidRDefault="00B00892" w:rsidP="00B00892">
            <w:pPr>
              <w:autoSpaceDE w:val="0"/>
              <w:autoSpaceDN w:val="0"/>
              <w:adjustRightInd w:val="0"/>
              <w:rPr>
                <w:rFonts w:cs="Arial"/>
                <w:bCs/>
                <w:sz w:val="20"/>
                <w:szCs w:val="20"/>
              </w:rPr>
            </w:pPr>
            <w:r w:rsidRPr="00B00892">
              <w:rPr>
                <w:rFonts w:cs="Arial"/>
                <w:bCs/>
                <w:sz w:val="20"/>
                <w:szCs w:val="20"/>
              </w:rPr>
              <w:t>LCLD - K2T Multi-user route</w:t>
            </w:r>
          </w:p>
        </w:tc>
        <w:tc>
          <w:tcPr>
            <w:tcW w:w="1123" w:type="dxa"/>
            <w:noWrap/>
            <w:vAlign w:val="center"/>
            <w:hideMark/>
          </w:tcPr>
          <w:p w14:paraId="6E3C7506"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94.0</w:t>
            </w:r>
          </w:p>
        </w:tc>
        <w:tc>
          <w:tcPr>
            <w:tcW w:w="1176" w:type="dxa"/>
            <w:noWrap/>
            <w:vAlign w:val="center"/>
            <w:hideMark/>
          </w:tcPr>
          <w:p w14:paraId="206262F7"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0.0</w:t>
            </w:r>
          </w:p>
        </w:tc>
        <w:tc>
          <w:tcPr>
            <w:tcW w:w="1017" w:type="dxa"/>
            <w:noWrap/>
            <w:vAlign w:val="center"/>
            <w:hideMark/>
          </w:tcPr>
          <w:p w14:paraId="797B53E7"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w:t>
            </w:r>
          </w:p>
        </w:tc>
        <w:tc>
          <w:tcPr>
            <w:tcW w:w="1220" w:type="dxa"/>
            <w:noWrap/>
            <w:vAlign w:val="center"/>
            <w:hideMark/>
          </w:tcPr>
          <w:p w14:paraId="0B4EAB46"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0.0</w:t>
            </w:r>
          </w:p>
        </w:tc>
      </w:tr>
      <w:tr w:rsidR="00B00892" w:rsidRPr="00B00892" w14:paraId="5C5719E1" w14:textId="77777777" w:rsidTr="00B00892">
        <w:trPr>
          <w:trHeight w:val="397"/>
        </w:trPr>
        <w:tc>
          <w:tcPr>
            <w:tcW w:w="4957" w:type="dxa"/>
            <w:vAlign w:val="center"/>
            <w:hideMark/>
          </w:tcPr>
          <w:p w14:paraId="6E7740AC" w14:textId="673DFFFF" w:rsidR="00B00892" w:rsidRPr="00B00892" w:rsidRDefault="003662C5" w:rsidP="00B00892">
            <w:pPr>
              <w:autoSpaceDE w:val="0"/>
              <w:autoSpaceDN w:val="0"/>
              <w:adjustRightInd w:val="0"/>
              <w:rPr>
                <w:rFonts w:cs="Arial"/>
                <w:bCs/>
                <w:sz w:val="20"/>
                <w:szCs w:val="20"/>
              </w:rPr>
            </w:pPr>
            <w:r>
              <w:rPr>
                <w:rFonts w:cs="Arial"/>
                <w:bCs/>
                <w:sz w:val="20"/>
                <w:szCs w:val="20"/>
              </w:rPr>
              <w:t>West Windermere Way</w:t>
            </w:r>
            <w:r w:rsidR="00B00892" w:rsidRPr="00B00892">
              <w:rPr>
                <w:rFonts w:cs="Arial"/>
                <w:bCs/>
                <w:sz w:val="20"/>
                <w:szCs w:val="20"/>
              </w:rPr>
              <w:t xml:space="preserve"> &amp; management</w:t>
            </w:r>
          </w:p>
        </w:tc>
        <w:tc>
          <w:tcPr>
            <w:tcW w:w="1123" w:type="dxa"/>
            <w:noWrap/>
            <w:vAlign w:val="center"/>
            <w:hideMark/>
          </w:tcPr>
          <w:p w14:paraId="6FF90B08"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1,076.0</w:t>
            </w:r>
          </w:p>
        </w:tc>
        <w:tc>
          <w:tcPr>
            <w:tcW w:w="1176" w:type="dxa"/>
            <w:noWrap/>
            <w:vAlign w:val="center"/>
            <w:hideMark/>
          </w:tcPr>
          <w:p w14:paraId="4029182F"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1,466.0</w:t>
            </w:r>
          </w:p>
        </w:tc>
        <w:tc>
          <w:tcPr>
            <w:tcW w:w="1017" w:type="dxa"/>
            <w:noWrap/>
            <w:vAlign w:val="center"/>
            <w:hideMark/>
          </w:tcPr>
          <w:p w14:paraId="03919AAB" w14:textId="29419FB4"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1</w:t>
            </w:r>
            <w:r w:rsidR="00460FAE">
              <w:rPr>
                <w:rFonts w:cs="Arial"/>
                <w:bCs/>
                <w:sz w:val="20"/>
                <w:szCs w:val="20"/>
              </w:rPr>
              <w:t>,</w:t>
            </w:r>
            <w:r w:rsidRPr="00B00892">
              <w:rPr>
                <w:rFonts w:cs="Arial"/>
                <w:bCs/>
                <w:sz w:val="20"/>
                <w:szCs w:val="20"/>
              </w:rPr>
              <w:t>269.5</w:t>
            </w:r>
          </w:p>
        </w:tc>
        <w:tc>
          <w:tcPr>
            <w:tcW w:w="1220" w:type="dxa"/>
            <w:noWrap/>
            <w:vAlign w:val="center"/>
            <w:hideMark/>
          </w:tcPr>
          <w:p w14:paraId="03E75290"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-196.5</w:t>
            </w:r>
          </w:p>
        </w:tc>
      </w:tr>
      <w:tr w:rsidR="00B00892" w:rsidRPr="00B00892" w14:paraId="117AF5A8" w14:textId="77777777" w:rsidTr="00B00892">
        <w:trPr>
          <w:trHeight w:val="397"/>
        </w:trPr>
        <w:tc>
          <w:tcPr>
            <w:tcW w:w="4957" w:type="dxa"/>
            <w:vAlign w:val="center"/>
            <w:hideMark/>
          </w:tcPr>
          <w:p w14:paraId="1488B617" w14:textId="77777777" w:rsidR="00B00892" w:rsidRPr="00B00892" w:rsidRDefault="00B00892" w:rsidP="00B00892">
            <w:pPr>
              <w:autoSpaceDE w:val="0"/>
              <w:autoSpaceDN w:val="0"/>
              <w:adjustRightInd w:val="0"/>
              <w:rPr>
                <w:rFonts w:cs="Arial"/>
                <w:bCs/>
                <w:sz w:val="20"/>
                <w:szCs w:val="20"/>
              </w:rPr>
            </w:pPr>
            <w:r w:rsidRPr="00B00892">
              <w:rPr>
                <w:rFonts w:cs="Arial"/>
                <w:bCs/>
                <w:sz w:val="20"/>
                <w:szCs w:val="20"/>
              </w:rPr>
              <w:t>LCLD 2 Electric Vehicles</w:t>
            </w:r>
          </w:p>
        </w:tc>
        <w:tc>
          <w:tcPr>
            <w:tcW w:w="1123" w:type="dxa"/>
            <w:noWrap/>
            <w:vAlign w:val="center"/>
            <w:hideMark/>
          </w:tcPr>
          <w:p w14:paraId="5BBE52AA"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23.0</w:t>
            </w:r>
          </w:p>
        </w:tc>
        <w:tc>
          <w:tcPr>
            <w:tcW w:w="1176" w:type="dxa"/>
            <w:noWrap/>
            <w:vAlign w:val="center"/>
            <w:hideMark/>
          </w:tcPr>
          <w:p w14:paraId="2F763A72"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0.0</w:t>
            </w:r>
          </w:p>
        </w:tc>
        <w:tc>
          <w:tcPr>
            <w:tcW w:w="1017" w:type="dxa"/>
            <w:noWrap/>
            <w:vAlign w:val="center"/>
            <w:hideMark/>
          </w:tcPr>
          <w:p w14:paraId="65ACF676"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w:t>
            </w:r>
          </w:p>
        </w:tc>
        <w:tc>
          <w:tcPr>
            <w:tcW w:w="1220" w:type="dxa"/>
            <w:noWrap/>
            <w:vAlign w:val="center"/>
            <w:hideMark/>
          </w:tcPr>
          <w:p w14:paraId="3777FEE9"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0.0</w:t>
            </w:r>
          </w:p>
        </w:tc>
      </w:tr>
      <w:tr w:rsidR="00B00892" w:rsidRPr="00B00892" w14:paraId="733F236A" w14:textId="77777777" w:rsidTr="00B00892">
        <w:trPr>
          <w:trHeight w:val="397"/>
        </w:trPr>
        <w:tc>
          <w:tcPr>
            <w:tcW w:w="4957" w:type="dxa"/>
            <w:vAlign w:val="center"/>
            <w:hideMark/>
          </w:tcPr>
          <w:p w14:paraId="352EECAC" w14:textId="3DDE03C4" w:rsidR="00B00892" w:rsidRPr="00B00892" w:rsidRDefault="00516F4C" w:rsidP="00B00892">
            <w:pPr>
              <w:autoSpaceDE w:val="0"/>
              <w:autoSpaceDN w:val="0"/>
              <w:adjustRightInd w:val="0"/>
              <w:rPr>
                <w:rFonts w:cs="Arial"/>
                <w:bCs/>
                <w:sz w:val="20"/>
                <w:szCs w:val="20"/>
              </w:rPr>
            </w:pPr>
            <w:r>
              <w:rPr>
                <w:rFonts w:cs="Arial"/>
                <w:bCs/>
                <w:sz w:val="20"/>
                <w:szCs w:val="20"/>
              </w:rPr>
              <w:t>Lake District Foundation (</w:t>
            </w:r>
            <w:r w:rsidR="00B00892" w:rsidRPr="00B00892">
              <w:rPr>
                <w:rFonts w:cs="Arial"/>
                <w:bCs/>
                <w:sz w:val="20"/>
                <w:szCs w:val="20"/>
              </w:rPr>
              <w:t>LDF</w:t>
            </w:r>
            <w:r>
              <w:rPr>
                <w:rFonts w:cs="Arial"/>
                <w:bCs/>
                <w:sz w:val="20"/>
                <w:szCs w:val="20"/>
              </w:rPr>
              <w:t>)</w:t>
            </w:r>
            <w:r w:rsidR="00B00892" w:rsidRPr="00B00892">
              <w:rPr>
                <w:rFonts w:cs="Arial"/>
                <w:bCs/>
                <w:sz w:val="20"/>
                <w:szCs w:val="20"/>
              </w:rPr>
              <w:t xml:space="preserve"> Bowness Bay IC</w:t>
            </w:r>
          </w:p>
        </w:tc>
        <w:tc>
          <w:tcPr>
            <w:tcW w:w="1123" w:type="dxa"/>
            <w:noWrap/>
            <w:vAlign w:val="center"/>
            <w:hideMark/>
          </w:tcPr>
          <w:p w14:paraId="643A56A1"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0.0</w:t>
            </w:r>
          </w:p>
        </w:tc>
        <w:tc>
          <w:tcPr>
            <w:tcW w:w="1176" w:type="dxa"/>
            <w:noWrap/>
            <w:vAlign w:val="center"/>
            <w:hideMark/>
          </w:tcPr>
          <w:p w14:paraId="2D1A37A8"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3.4</w:t>
            </w:r>
          </w:p>
        </w:tc>
        <w:tc>
          <w:tcPr>
            <w:tcW w:w="1017" w:type="dxa"/>
            <w:noWrap/>
            <w:vAlign w:val="center"/>
            <w:hideMark/>
          </w:tcPr>
          <w:p w14:paraId="61D5E15A"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w:t>
            </w:r>
          </w:p>
        </w:tc>
        <w:tc>
          <w:tcPr>
            <w:tcW w:w="1220" w:type="dxa"/>
            <w:noWrap/>
            <w:vAlign w:val="center"/>
            <w:hideMark/>
          </w:tcPr>
          <w:p w14:paraId="653311CF"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-3.4</w:t>
            </w:r>
          </w:p>
        </w:tc>
      </w:tr>
      <w:tr w:rsidR="00B00892" w:rsidRPr="00B00892" w14:paraId="4B0E0815" w14:textId="77777777" w:rsidTr="00B00892">
        <w:trPr>
          <w:trHeight w:val="397"/>
        </w:trPr>
        <w:tc>
          <w:tcPr>
            <w:tcW w:w="4957" w:type="dxa"/>
            <w:vAlign w:val="center"/>
            <w:hideMark/>
          </w:tcPr>
          <w:p w14:paraId="583E84F4" w14:textId="77777777" w:rsidR="00B00892" w:rsidRPr="00B00892" w:rsidRDefault="00B00892" w:rsidP="00B00892">
            <w:pPr>
              <w:autoSpaceDE w:val="0"/>
              <w:autoSpaceDN w:val="0"/>
              <w:adjustRightInd w:val="0"/>
              <w:rPr>
                <w:rFonts w:cs="Arial"/>
                <w:bCs/>
                <w:sz w:val="20"/>
                <w:szCs w:val="20"/>
              </w:rPr>
            </w:pPr>
            <w:r w:rsidRPr="00B00892">
              <w:rPr>
                <w:rFonts w:cs="Arial"/>
                <w:bCs/>
                <w:sz w:val="20"/>
                <w:szCs w:val="20"/>
              </w:rPr>
              <w:t xml:space="preserve">LDF </w:t>
            </w:r>
            <w:proofErr w:type="spellStart"/>
            <w:r w:rsidRPr="00B00892">
              <w:rPr>
                <w:rFonts w:cs="Arial"/>
                <w:bCs/>
                <w:sz w:val="20"/>
                <w:szCs w:val="20"/>
              </w:rPr>
              <w:t>Brockhole</w:t>
            </w:r>
            <w:proofErr w:type="spellEnd"/>
            <w:r w:rsidRPr="00B00892">
              <w:rPr>
                <w:rFonts w:cs="Arial"/>
                <w:bCs/>
                <w:sz w:val="20"/>
                <w:szCs w:val="20"/>
              </w:rPr>
              <w:t xml:space="preserve"> Lodge Office</w:t>
            </w:r>
          </w:p>
        </w:tc>
        <w:tc>
          <w:tcPr>
            <w:tcW w:w="1123" w:type="dxa"/>
            <w:noWrap/>
            <w:vAlign w:val="center"/>
            <w:hideMark/>
          </w:tcPr>
          <w:p w14:paraId="717F70C2"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0.0</w:t>
            </w:r>
          </w:p>
        </w:tc>
        <w:tc>
          <w:tcPr>
            <w:tcW w:w="1176" w:type="dxa"/>
            <w:noWrap/>
            <w:vAlign w:val="center"/>
            <w:hideMark/>
          </w:tcPr>
          <w:p w14:paraId="4115C6CD"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1.5</w:t>
            </w:r>
          </w:p>
        </w:tc>
        <w:tc>
          <w:tcPr>
            <w:tcW w:w="1017" w:type="dxa"/>
            <w:noWrap/>
            <w:vAlign w:val="center"/>
            <w:hideMark/>
          </w:tcPr>
          <w:p w14:paraId="7B7877EB"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22.4</w:t>
            </w:r>
          </w:p>
        </w:tc>
        <w:tc>
          <w:tcPr>
            <w:tcW w:w="1220" w:type="dxa"/>
            <w:noWrap/>
            <w:vAlign w:val="center"/>
            <w:hideMark/>
          </w:tcPr>
          <w:p w14:paraId="579D5D38"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20.9</w:t>
            </w:r>
          </w:p>
        </w:tc>
      </w:tr>
      <w:tr w:rsidR="00B00892" w:rsidRPr="00B00892" w14:paraId="5DB83DE4" w14:textId="77777777" w:rsidTr="00B00892">
        <w:trPr>
          <w:trHeight w:val="397"/>
        </w:trPr>
        <w:tc>
          <w:tcPr>
            <w:tcW w:w="4957" w:type="dxa"/>
            <w:vAlign w:val="center"/>
            <w:hideMark/>
          </w:tcPr>
          <w:p w14:paraId="7458E631" w14:textId="77777777" w:rsidR="00B00892" w:rsidRPr="00B00892" w:rsidRDefault="00B00892" w:rsidP="00B00892">
            <w:pPr>
              <w:autoSpaceDE w:val="0"/>
              <w:autoSpaceDN w:val="0"/>
              <w:adjustRightInd w:val="0"/>
              <w:rPr>
                <w:rFonts w:cs="Arial"/>
                <w:bCs/>
                <w:sz w:val="20"/>
                <w:szCs w:val="20"/>
              </w:rPr>
            </w:pPr>
            <w:r w:rsidRPr="00B00892">
              <w:rPr>
                <w:rFonts w:cs="Arial"/>
                <w:bCs/>
                <w:sz w:val="20"/>
                <w:szCs w:val="20"/>
              </w:rPr>
              <w:t>LDF Wayfaring House</w:t>
            </w:r>
          </w:p>
        </w:tc>
        <w:tc>
          <w:tcPr>
            <w:tcW w:w="1123" w:type="dxa"/>
            <w:noWrap/>
            <w:vAlign w:val="center"/>
            <w:hideMark/>
          </w:tcPr>
          <w:p w14:paraId="1183DA78"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0.0</w:t>
            </w:r>
          </w:p>
        </w:tc>
        <w:tc>
          <w:tcPr>
            <w:tcW w:w="1176" w:type="dxa"/>
            <w:noWrap/>
            <w:vAlign w:val="center"/>
            <w:hideMark/>
          </w:tcPr>
          <w:p w14:paraId="0A60DA08"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2.0</w:t>
            </w:r>
          </w:p>
        </w:tc>
        <w:tc>
          <w:tcPr>
            <w:tcW w:w="1017" w:type="dxa"/>
            <w:noWrap/>
            <w:vAlign w:val="center"/>
            <w:hideMark/>
          </w:tcPr>
          <w:p w14:paraId="40990D5E"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w:t>
            </w:r>
          </w:p>
        </w:tc>
        <w:tc>
          <w:tcPr>
            <w:tcW w:w="1220" w:type="dxa"/>
            <w:noWrap/>
            <w:vAlign w:val="center"/>
            <w:hideMark/>
          </w:tcPr>
          <w:p w14:paraId="4AA2AC49"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-2.0</w:t>
            </w:r>
          </w:p>
        </w:tc>
      </w:tr>
      <w:tr w:rsidR="00B00892" w:rsidRPr="00B00892" w14:paraId="2EE13E3A" w14:textId="77777777" w:rsidTr="00B00892">
        <w:trPr>
          <w:trHeight w:val="397"/>
        </w:trPr>
        <w:tc>
          <w:tcPr>
            <w:tcW w:w="4957" w:type="dxa"/>
            <w:vAlign w:val="center"/>
            <w:hideMark/>
          </w:tcPr>
          <w:p w14:paraId="002B37B6" w14:textId="77777777" w:rsidR="00B00892" w:rsidRPr="00B00892" w:rsidRDefault="00B00892" w:rsidP="00B00892">
            <w:pPr>
              <w:autoSpaceDE w:val="0"/>
              <w:autoSpaceDN w:val="0"/>
              <w:adjustRightInd w:val="0"/>
              <w:rPr>
                <w:rFonts w:cs="Arial"/>
                <w:bCs/>
                <w:sz w:val="20"/>
                <w:szCs w:val="20"/>
              </w:rPr>
            </w:pPr>
            <w:r w:rsidRPr="00B00892">
              <w:rPr>
                <w:rFonts w:cs="Arial"/>
                <w:bCs/>
                <w:sz w:val="20"/>
                <w:szCs w:val="20"/>
              </w:rPr>
              <w:t>LDF Hawkshead Former IC</w:t>
            </w:r>
          </w:p>
        </w:tc>
        <w:tc>
          <w:tcPr>
            <w:tcW w:w="1123" w:type="dxa"/>
            <w:noWrap/>
            <w:vAlign w:val="center"/>
            <w:hideMark/>
          </w:tcPr>
          <w:p w14:paraId="1504F977"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0.0</w:t>
            </w:r>
          </w:p>
        </w:tc>
        <w:tc>
          <w:tcPr>
            <w:tcW w:w="1176" w:type="dxa"/>
            <w:noWrap/>
            <w:vAlign w:val="center"/>
            <w:hideMark/>
          </w:tcPr>
          <w:p w14:paraId="7AE3147C"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17.3</w:t>
            </w:r>
          </w:p>
        </w:tc>
        <w:tc>
          <w:tcPr>
            <w:tcW w:w="1017" w:type="dxa"/>
            <w:noWrap/>
            <w:vAlign w:val="center"/>
            <w:hideMark/>
          </w:tcPr>
          <w:p w14:paraId="7495C17A"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43.9</w:t>
            </w:r>
          </w:p>
        </w:tc>
        <w:tc>
          <w:tcPr>
            <w:tcW w:w="1220" w:type="dxa"/>
            <w:noWrap/>
            <w:vAlign w:val="center"/>
            <w:hideMark/>
          </w:tcPr>
          <w:p w14:paraId="302C4F0C"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26.6</w:t>
            </w:r>
          </w:p>
        </w:tc>
      </w:tr>
      <w:tr w:rsidR="00B00892" w:rsidRPr="00B00892" w14:paraId="3E9EF69F" w14:textId="77777777" w:rsidTr="00B00892">
        <w:trPr>
          <w:trHeight w:val="397"/>
        </w:trPr>
        <w:tc>
          <w:tcPr>
            <w:tcW w:w="4957" w:type="dxa"/>
            <w:vAlign w:val="center"/>
            <w:hideMark/>
          </w:tcPr>
          <w:p w14:paraId="121CF9C2" w14:textId="77777777" w:rsidR="00B00892" w:rsidRPr="00B00892" w:rsidRDefault="00B00892" w:rsidP="00B00892">
            <w:pPr>
              <w:autoSpaceDE w:val="0"/>
              <w:autoSpaceDN w:val="0"/>
              <w:adjustRightInd w:val="0"/>
              <w:rPr>
                <w:rFonts w:cs="Arial"/>
                <w:bCs/>
                <w:sz w:val="20"/>
                <w:szCs w:val="20"/>
              </w:rPr>
            </w:pPr>
            <w:r w:rsidRPr="00B00892">
              <w:rPr>
                <w:rFonts w:cs="Arial"/>
                <w:bCs/>
                <w:sz w:val="20"/>
                <w:szCs w:val="20"/>
              </w:rPr>
              <w:t>Electric Charging Points (corporate) - ESIF/LCLD 2</w:t>
            </w:r>
          </w:p>
        </w:tc>
        <w:tc>
          <w:tcPr>
            <w:tcW w:w="1123" w:type="dxa"/>
            <w:noWrap/>
            <w:vAlign w:val="center"/>
            <w:hideMark/>
          </w:tcPr>
          <w:p w14:paraId="7CA65446"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77.0</w:t>
            </w:r>
          </w:p>
        </w:tc>
        <w:tc>
          <w:tcPr>
            <w:tcW w:w="1176" w:type="dxa"/>
            <w:noWrap/>
            <w:vAlign w:val="center"/>
            <w:hideMark/>
          </w:tcPr>
          <w:p w14:paraId="13FC089A"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7.0</w:t>
            </w:r>
          </w:p>
        </w:tc>
        <w:tc>
          <w:tcPr>
            <w:tcW w:w="1017" w:type="dxa"/>
            <w:noWrap/>
            <w:vAlign w:val="center"/>
            <w:hideMark/>
          </w:tcPr>
          <w:p w14:paraId="46E2C97F"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10.7</w:t>
            </w:r>
          </w:p>
        </w:tc>
        <w:tc>
          <w:tcPr>
            <w:tcW w:w="1220" w:type="dxa"/>
            <w:noWrap/>
            <w:vAlign w:val="center"/>
            <w:hideMark/>
          </w:tcPr>
          <w:p w14:paraId="0558E6E8"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3.7</w:t>
            </w:r>
          </w:p>
        </w:tc>
      </w:tr>
      <w:tr w:rsidR="00B00892" w:rsidRPr="00B00892" w14:paraId="67055315" w14:textId="77777777" w:rsidTr="00B00892">
        <w:trPr>
          <w:trHeight w:val="397"/>
        </w:trPr>
        <w:tc>
          <w:tcPr>
            <w:tcW w:w="4957" w:type="dxa"/>
            <w:vAlign w:val="center"/>
            <w:hideMark/>
          </w:tcPr>
          <w:p w14:paraId="73680F45" w14:textId="77777777" w:rsidR="00B00892" w:rsidRPr="00B00892" w:rsidRDefault="00B00892" w:rsidP="00B00892">
            <w:pPr>
              <w:autoSpaceDE w:val="0"/>
              <w:autoSpaceDN w:val="0"/>
              <w:adjustRightInd w:val="0"/>
              <w:rPr>
                <w:rFonts w:cs="Arial"/>
                <w:bCs/>
                <w:sz w:val="20"/>
                <w:szCs w:val="20"/>
              </w:rPr>
            </w:pPr>
            <w:r w:rsidRPr="00B00892">
              <w:rPr>
                <w:rFonts w:cs="Arial"/>
                <w:bCs/>
                <w:sz w:val="20"/>
                <w:szCs w:val="20"/>
              </w:rPr>
              <w:t>Ambleside Depot</w:t>
            </w:r>
          </w:p>
        </w:tc>
        <w:tc>
          <w:tcPr>
            <w:tcW w:w="1123" w:type="dxa"/>
            <w:noWrap/>
            <w:vAlign w:val="center"/>
            <w:hideMark/>
          </w:tcPr>
          <w:p w14:paraId="7A1EBE47"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50.0</w:t>
            </w:r>
          </w:p>
        </w:tc>
        <w:tc>
          <w:tcPr>
            <w:tcW w:w="1176" w:type="dxa"/>
            <w:noWrap/>
            <w:vAlign w:val="center"/>
            <w:hideMark/>
          </w:tcPr>
          <w:p w14:paraId="08769F82"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0.0</w:t>
            </w:r>
          </w:p>
        </w:tc>
        <w:tc>
          <w:tcPr>
            <w:tcW w:w="1017" w:type="dxa"/>
            <w:noWrap/>
            <w:vAlign w:val="center"/>
            <w:hideMark/>
          </w:tcPr>
          <w:p w14:paraId="49D1FF7D"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w:t>
            </w:r>
          </w:p>
        </w:tc>
        <w:tc>
          <w:tcPr>
            <w:tcW w:w="1220" w:type="dxa"/>
            <w:noWrap/>
            <w:vAlign w:val="center"/>
            <w:hideMark/>
          </w:tcPr>
          <w:p w14:paraId="18434045"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0.0</w:t>
            </w:r>
          </w:p>
        </w:tc>
      </w:tr>
      <w:tr w:rsidR="00B00892" w:rsidRPr="00B00892" w14:paraId="555CD16D" w14:textId="77777777" w:rsidTr="00B00892">
        <w:trPr>
          <w:trHeight w:val="397"/>
        </w:trPr>
        <w:tc>
          <w:tcPr>
            <w:tcW w:w="4957" w:type="dxa"/>
            <w:vAlign w:val="center"/>
            <w:hideMark/>
          </w:tcPr>
          <w:p w14:paraId="5251396D" w14:textId="77777777" w:rsidR="00B00892" w:rsidRPr="00B00892" w:rsidRDefault="00B00892" w:rsidP="00B00892">
            <w:pPr>
              <w:autoSpaceDE w:val="0"/>
              <w:autoSpaceDN w:val="0"/>
              <w:adjustRightInd w:val="0"/>
              <w:rPr>
                <w:rFonts w:cs="Arial"/>
                <w:bCs/>
                <w:sz w:val="20"/>
                <w:szCs w:val="20"/>
              </w:rPr>
            </w:pPr>
            <w:r w:rsidRPr="00B00892">
              <w:rPr>
                <w:rFonts w:cs="Arial"/>
                <w:bCs/>
                <w:sz w:val="20"/>
                <w:szCs w:val="20"/>
              </w:rPr>
              <w:t>Defra ACCESS works</w:t>
            </w:r>
          </w:p>
        </w:tc>
        <w:tc>
          <w:tcPr>
            <w:tcW w:w="1123" w:type="dxa"/>
            <w:noWrap/>
            <w:vAlign w:val="center"/>
            <w:hideMark/>
          </w:tcPr>
          <w:p w14:paraId="1114DA8D"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0.0</w:t>
            </w:r>
          </w:p>
        </w:tc>
        <w:tc>
          <w:tcPr>
            <w:tcW w:w="1176" w:type="dxa"/>
            <w:noWrap/>
            <w:vAlign w:val="center"/>
            <w:hideMark/>
          </w:tcPr>
          <w:p w14:paraId="6810FF6E"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86.1</w:t>
            </w:r>
          </w:p>
        </w:tc>
        <w:tc>
          <w:tcPr>
            <w:tcW w:w="1017" w:type="dxa"/>
            <w:noWrap/>
            <w:vAlign w:val="center"/>
            <w:hideMark/>
          </w:tcPr>
          <w:p w14:paraId="6F23FF3E"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86.3</w:t>
            </w:r>
          </w:p>
        </w:tc>
        <w:tc>
          <w:tcPr>
            <w:tcW w:w="1220" w:type="dxa"/>
            <w:noWrap/>
            <w:vAlign w:val="center"/>
            <w:hideMark/>
          </w:tcPr>
          <w:p w14:paraId="5303D706"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0.2</w:t>
            </w:r>
          </w:p>
        </w:tc>
      </w:tr>
      <w:tr w:rsidR="00B00892" w:rsidRPr="00B00892" w14:paraId="2F1167F7" w14:textId="77777777" w:rsidTr="00B00892">
        <w:trPr>
          <w:trHeight w:val="397"/>
        </w:trPr>
        <w:tc>
          <w:tcPr>
            <w:tcW w:w="4957" w:type="dxa"/>
            <w:vAlign w:val="center"/>
            <w:hideMark/>
          </w:tcPr>
          <w:p w14:paraId="64DB310A" w14:textId="77777777" w:rsidR="00B00892" w:rsidRPr="00B00892" w:rsidRDefault="00B00892" w:rsidP="00B00892">
            <w:pPr>
              <w:autoSpaceDE w:val="0"/>
              <w:autoSpaceDN w:val="0"/>
              <w:adjustRightInd w:val="0"/>
              <w:rPr>
                <w:rFonts w:cs="Arial"/>
                <w:bCs/>
                <w:sz w:val="20"/>
                <w:szCs w:val="20"/>
              </w:rPr>
            </w:pPr>
            <w:proofErr w:type="spellStart"/>
            <w:r w:rsidRPr="00B00892">
              <w:rPr>
                <w:rFonts w:cs="Arial"/>
                <w:bCs/>
                <w:sz w:val="20"/>
                <w:szCs w:val="20"/>
              </w:rPr>
              <w:t>Brockhole</w:t>
            </w:r>
            <w:proofErr w:type="spellEnd"/>
            <w:r w:rsidRPr="00B00892">
              <w:rPr>
                <w:rFonts w:cs="Arial"/>
                <w:bCs/>
                <w:sz w:val="20"/>
                <w:szCs w:val="20"/>
              </w:rPr>
              <w:t xml:space="preserve"> Lakeshore Phase 2</w:t>
            </w:r>
          </w:p>
        </w:tc>
        <w:tc>
          <w:tcPr>
            <w:tcW w:w="1123" w:type="dxa"/>
            <w:noWrap/>
            <w:vAlign w:val="center"/>
            <w:hideMark/>
          </w:tcPr>
          <w:p w14:paraId="47F542CB"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0.0</w:t>
            </w:r>
          </w:p>
        </w:tc>
        <w:tc>
          <w:tcPr>
            <w:tcW w:w="1176" w:type="dxa"/>
            <w:noWrap/>
            <w:vAlign w:val="center"/>
            <w:hideMark/>
          </w:tcPr>
          <w:p w14:paraId="271050BF"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25.0</w:t>
            </w:r>
          </w:p>
        </w:tc>
        <w:tc>
          <w:tcPr>
            <w:tcW w:w="1017" w:type="dxa"/>
            <w:noWrap/>
            <w:vAlign w:val="center"/>
            <w:hideMark/>
          </w:tcPr>
          <w:p w14:paraId="37F6718D"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28.7</w:t>
            </w:r>
          </w:p>
        </w:tc>
        <w:tc>
          <w:tcPr>
            <w:tcW w:w="1220" w:type="dxa"/>
            <w:noWrap/>
            <w:vAlign w:val="center"/>
            <w:hideMark/>
          </w:tcPr>
          <w:p w14:paraId="046EF09D"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3.7</w:t>
            </w:r>
          </w:p>
        </w:tc>
      </w:tr>
      <w:tr w:rsidR="00B00892" w:rsidRPr="00B00892" w14:paraId="4C5E59C9" w14:textId="77777777" w:rsidTr="00B00892">
        <w:trPr>
          <w:trHeight w:val="397"/>
        </w:trPr>
        <w:tc>
          <w:tcPr>
            <w:tcW w:w="4957" w:type="dxa"/>
            <w:vAlign w:val="center"/>
            <w:hideMark/>
          </w:tcPr>
          <w:p w14:paraId="49CE39A9" w14:textId="77777777" w:rsidR="00B00892" w:rsidRPr="00B00892" w:rsidRDefault="00B00892" w:rsidP="00B00892">
            <w:pPr>
              <w:autoSpaceDE w:val="0"/>
              <w:autoSpaceDN w:val="0"/>
              <w:adjustRightInd w:val="0"/>
              <w:rPr>
                <w:rFonts w:cs="Arial"/>
                <w:bCs/>
                <w:sz w:val="20"/>
                <w:szCs w:val="20"/>
              </w:rPr>
            </w:pPr>
            <w:r w:rsidRPr="00B00892">
              <w:rPr>
                <w:rFonts w:cs="Arial"/>
                <w:bCs/>
                <w:sz w:val="20"/>
                <w:szCs w:val="20"/>
              </w:rPr>
              <w:t>Storm Arwen insurance</w:t>
            </w:r>
          </w:p>
        </w:tc>
        <w:tc>
          <w:tcPr>
            <w:tcW w:w="1123" w:type="dxa"/>
            <w:noWrap/>
            <w:vAlign w:val="center"/>
            <w:hideMark/>
          </w:tcPr>
          <w:p w14:paraId="0786D473"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0.0</w:t>
            </w:r>
          </w:p>
        </w:tc>
        <w:tc>
          <w:tcPr>
            <w:tcW w:w="1176" w:type="dxa"/>
            <w:noWrap/>
            <w:vAlign w:val="center"/>
            <w:hideMark/>
          </w:tcPr>
          <w:p w14:paraId="5A910143"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0.0</w:t>
            </w:r>
          </w:p>
        </w:tc>
        <w:tc>
          <w:tcPr>
            <w:tcW w:w="1017" w:type="dxa"/>
            <w:noWrap/>
            <w:vAlign w:val="center"/>
            <w:hideMark/>
          </w:tcPr>
          <w:p w14:paraId="07EA5E1B"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41.1</w:t>
            </w:r>
          </w:p>
        </w:tc>
        <w:tc>
          <w:tcPr>
            <w:tcW w:w="1220" w:type="dxa"/>
            <w:noWrap/>
            <w:vAlign w:val="center"/>
            <w:hideMark/>
          </w:tcPr>
          <w:p w14:paraId="4528E177" w14:textId="77777777" w:rsidR="00B00892" w:rsidRPr="00B00892" w:rsidRDefault="00B00892" w:rsidP="00460FAE">
            <w:pPr>
              <w:autoSpaceDE w:val="0"/>
              <w:autoSpaceDN w:val="0"/>
              <w:adjustRightInd w:val="0"/>
              <w:jc w:val="right"/>
              <w:rPr>
                <w:rFonts w:cs="Arial"/>
                <w:bCs/>
                <w:sz w:val="20"/>
                <w:szCs w:val="20"/>
              </w:rPr>
            </w:pPr>
            <w:r w:rsidRPr="00B00892">
              <w:rPr>
                <w:rFonts w:cs="Arial"/>
                <w:bCs/>
                <w:sz w:val="20"/>
                <w:szCs w:val="20"/>
              </w:rPr>
              <w:t>41.1</w:t>
            </w:r>
          </w:p>
        </w:tc>
      </w:tr>
      <w:tr w:rsidR="00B00892" w:rsidRPr="00B00892" w14:paraId="55D155B2" w14:textId="77777777" w:rsidTr="00B00892">
        <w:trPr>
          <w:trHeight w:val="397"/>
        </w:trPr>
        <w:tc>
          <w:tcPr>
            <w:tcW w:w="4957" w:type="dxa"/>
            <w:vAlign w:val="center"/>
            <w:hideMark/>
          </w:tcPr>
          <w:p w14:paraId="2117C7B9" w14:textId="77777777" w:rsidR="00B00892" w:rsidRPr="00B00892" w:rsidRDefault="00B00892" w:rsidP="00B00892">
            <w:pPr>
              <w:autoSpaceDE w:val="0"/>
              <w:autoSpaceDN w:val="0"/>
              <w:adjustRightInd w:val="0"/>
              <w:rPr>
                <w:rFonts w:cs="Arial"/>
                <w:b/>
                <w:bCs/>
                <w:sz w:val="20"/>
                <w:szCs w:val="20"/>
              </w:rPr>
            </w:pPr>
            <w:r w:rsidRPr="00B00892">
              <w:rPr>
                <w:rFonts w:cs="Arial"/>
                <w:b/>
                <w:bCs/>
                <w:sz w:val="20"/>
                <w:szCs w:val="20"/>
              </w:rPr>
              <w:t>Total</w:t>
            </w:r>
          </w:p>
        </w:tc>
        <w:tc>
          <w:tcPr>
            <w:tcW w:w="1123" w:type="dxa"/>
            <w:noWrap/>
            <w:vAlign w:val="center"/>
            <w:hideMark/>
          </w:tcPr>
          <w:p w14:paraId="2855C4F2" w14:textId="77777777" w:rsidR="00B00892" w:rsidRPr="00B00892" w:rsidRDefault="00B00892" w:rsidP="00460FAE">
            <w:pPr>
              <w:autoSpaceDE w:val="0"/>
              <w:autoSpaceDN w:val="0"/>
              <w:adjustRightInd w:val="0"/>
              <w:jc w:val="right"/>
              <w:rPr>
                <w:rFonts w:cs="Arial"/>
                <w:b/>
                <w:bCs/>
                <w:sz w:val="20"/>
                <w:szCs w:val="20"/>
              </w:rPr>
            </w:pPr>
            <w:r w:rsidRPr="00B00892">
              <w:rPr>
                <w:rFonts w:cs="Arial"/>
                <w:b/>
                <w:bCs/>
                <w:sz w:val="20"/>
                <w:szCs w:val="20"/>
              </w:rPr>
              <w:t>1,877.0</w:t>
            </w:r>
          </w:p>
        </w:tc>
        <w:tc>
          <w:tcPr>
            <w:tcW w:w="1176" w:type="dxa"/>
            <w:noWrap/>
            <w:vAlign w:val="center"/>
            <w:hideMark/>
          </w:tcPr>
          <w:p w14:paraId="7D714F5A" w14:textId="77777777" w:rsidR="00B00892" w:rsidRPr="00B00892" w:rsidRDefault="00B00892" w:rsidP="00460FAE">
            <w:pPr>
              <w:autoSpaceDE w:val="0"/>
              <w:autoSpaceDN w:val="0"/>
              <w:adjustRightInd w:val="0"/>
              <w:jc w:val="right"/>
              <w:rPr>
                <w:rFonts w:cs="Arial"/>
                <w:b/>
                <w:bCs/>
                <w:sz w:val="20"/>
                <w:szCs w:val="20"/>
              </w:rPr>
            </w:pPr>
            <w:r w:rsidRPr="00B00892">
              <w:rPr>
                <w:rFonts w:cs="Arial"/>
                <w:b/>
                <w:bCs/>
                <w:sz w:val="20"/>
                <w:szCs w:val="20"/>
              </w:rPr>
              <w:t>2,151.4</w:t>
            </w:r>
          </w:p>
        </w:tc>
        <w:tc>
          <w:tcPr>
            <w:tcW w:w="1017" w:type="dxa"/>
            <w:noWrap/>
            <w:vAlign w:val="center"/>
            <w:hideMark/>
          </w:tcPr>
          <w:p w14:paraId="7EFE2EEC" w14:textId="77777777" w:rsidR="00B00892" w:rsidRPr="00B00892" w:rsidRDefault="00B00892" w:rsidP="00460FAE">
            <w:pPr>
              <w:autoSpaceDE w:val="0"/>
              <w:autoSpaceDN w:val="0"/>
              <w:adjustRightInd w:val="0"/>
              <w:jc w:val="right"/>
              <w:rPr>
                <w:rFonts w:cs="Arial"/>
                <w:b/>
                <w:bCs/>
                <w:sz w:val="20"/>
                <w:szCs w:val="20"/>
              </w:rPr>
            </w:pPr>
            <w:r w:rsidRPr="00B00892">
              <w:rPr>
                <w:rFonts w:cs="Arial"/>
                <w:b/>
                <w:bCs/>
                <w:sz w:val="20"/>
                <w:szCs w:val="20"/>
              </w:rPr>
              <w:t>1,898.6</w:t>
            </w:r>
          </w:p>
        </w:tc>
        <w:tc>
          <w:tcPr>
            <w:tcW w:w="1220" w:type="dxa"/>
            <w:noWrap/>
            <w:vAlign w:val="center"/>
            <w:hideMark/>
          </w:tcPr>
          <w:p w14:paraId="785AFE0E" w14:textId="77777777" w:rsidR="00B00892" w:rsidRPr="00B00892" w:rsidRDefault="00B00892" w:rsidP="00460FAE">
            <w:pPr>
              <w:autoSpaceDE w:val="0"/>
              <w:autoSpaceDN w:val="0"/>
              <w:adjustRightInd w:val="0"/>
              <w:jc w:val="right"/>
              <w:rPr>
                <w:rFonts w:cs="Arial"/>
                <w:b/>
                <w:bCs/>
                <w:sz w:val="20"/>
                <w:szCs w:val="20"/>
              </w:rPr>
            </w:pPr>
            <w:r w:rsidRPr="00B00892">
              <w:rPr>
                <w:rFonts w:cs="Arial"/>
                <w:b/>
                <w:bCs/>
                <w:sz w:val="20"/>
                <w:szCs w:val="20"/>
              </w:rPr>
              <w:t>-293.9</w:t>
            </w:r>
          </w:p>
        </w:tc>
      </w:tr>
    </w:tbl>
    <w:p w14:paraId="1245038A" w14:textId="23388CCF" w:rsidR="00A01E56" w:rsidRPr="004D5CA8" w:rsidRDefault="00A01E56" w:rsidP="00A01E56">
      <w:pPr>
        <w:autoSpaceDE w:val="0"/>
        <w:autoSpaceDN w:val="0"/>
        <w:adjustRightInd w:val="0"/>
        <w:jc w:val="center"/>
        <w:rPr>
          <w:rFonts w:cs="Arial"/>
          <w:bCs/>
          <w:sz w:val="24"/>
          <w:szCs w:val="24"/>
          <w:highlight w:val="yellow"/>
        </w:rPr>
      </w:pPr>
    </w:p>
    <w:p w14:paraId="7CA57156" w14:textId="77777777" w:rsidR="00A01E56" w:rsidRPr="004D5CA8" w:rsidRDefault="00A01E56" w:rsidP="00A01E56">
      <w:pPr>
        <w:autoSpaceDE w:val="0"/>
        <w:autoSpaceDN w:val="0"/>
        <w:adjustRightInd w:val="0"/>
        <w:rPr>
          <w:rFonts w:cs="Arial"/>
          <w:bCs/>
          <w:sz w:val="24"/>
          <w:szCs w:val="24"/>
          <w:highlight w:val="yellow"/>
        </w:rPr>
      </w:pPr>
    </w:p>
    <w:p w14:paraId="4206EBE5" w14:textId="63B1310A" w:rsidR="00B00892" w:rsidRDefault="00B00892" w:rsidP="00B00892">
      <w:pPr>
        <w:pStyle w:val="paragraph"/>
        <w:spacing w:before="0" w:beforeAutospacing="0" w:after="0" w:afterAutospacing="0"/>
        <w:textAlignment w:val="baseline"/>
        <w:rPr>
          <w:rStyle w:val="eop"/>
          <w:rFonts w:ascii="Arial" w:hAnsi="Arial" w:cs="Arial"/>
        </w:rPr>
      </w:pPr>
      <w:r w:rsidRPr="00B00892">
        <w:rPr>
          <w:rStyle w:val="normaltextrun"/>
          <w:rFonts w:ascii="Arial" w:hAnsi="Arial" w:cs="Arial"/>
        </w:rPr>
        <w:t>A significant element of the budget was spent in year, with total expenditure of £1,899k. Most planned schemes have made good progress although there have been some areas that have experienced delays in delivery</w:t>
      </w:r>
      <w:r w:rsidR="001B6124">
        <w:rPr>
          <w:rStyle w:val="normaltextrun"/>
          <w:rFonts w:ascii="Arial" w:hAnsi="Arial" w:cs="Arial"/>
        </w:rPr>
        <w:t xml:space="preserve"> and have underspent against the capital budget for 2022/23</w:t>
      </w:r>
      <w:r w:rsidRPr="00B00892">
        <w:rPr>
          <w:rStyle w:val="normaltextrun"/>
          <w:rFonts w:ascii="Arial" w:hAnsi="Arial" w:cs="Arial"/>
        </w:rPr>
        <w:t>. £354k of carry forwards have been requested relating mainly to schemes that have commenced and require the budget for completion or where specific planned works have not commenced but are still required. </w:t>
      </w:r>
      <w:r w:rsidRPr="00B00892">
        <w:rPr>
          <w:rStyle w:val="eop"/>
          <w:rFonts w:ascii="Arial" w:hAnsi="Arial" w:cs="Arial"/>
        </w:rPr>
        <w:t> </w:t>
      </w:r>
    </w:p>
    <w:p w14:paraId="6B02E99A" w14:textId="77777777" w:rsidR="00B00892" w:rsidRDefault="00B00892" w:rsidP="00B00892">
      <w:pPr>
        <w:pStyle w:val="paragraph"/>
        <w:spacing w:before="0" w:beforeAutospacing="0" w:after="0" w:afterAutospacing="0"/>
        <w:textAlignment w:val="baseline"/>
        <w:rPr>
          <w:rStyle w:val="eop"/>
          <w:rFonts w:ascii="Arial" w:hAnsi="Arial" w:cs="Arial"/>
        </w:rPr>
      </w:pPr>
    </w:p>
    <w:p w14:paraId="548D9750" w14:textId="3557E429" w:rsidR="00B00892" w:rsidRPr="00B00892" w:rsidRDefault="00B00892" w:rsidP="00B00892">
      <w:pPr>
        <w:pStyle w:val="paragraph"/>
        <w:spacing w:before="0" w:beforeAutospacing="0" w:after="0" w:afterAutospacing="0"/>
        <w:textAlignment w:val="baseline"/>
        <w:rPr>
          <w:rFonts w:ascii="Arial" w:hAnsi="Arial" w:cs="Arial"/>
        </w:rPr>
      </w:pPr>
      <w:r>
        <w:rPr>
          <w:rStyle w:val="eop"/>
          <w:rFonts w:ascii="Arial" w:hAnsi="Arial" w:cs="Arial"/>
        </w:rPr>
        <w:lastRenderedPageBreak/>
        <w:t xml:space="preserve">A small number of schemes showed overspends; in the main these are profiling matters with budget being used early on on-going schemes. The overspend relating to Storm Arwen damage is fully funded from insurance contributions. </w:t>
      </w:r>
    </w:p>
    <w:p w14:paraId="1E949400" w14:textId="77777777" w:rsidR="00B00892" w:rsidRPr="00B00892" w:rsidRDefault="00B00892" w:rsidP="00B00892">
      <w:pPr>
        <w:pStyle w:val="paragraph"/>
        <w:spacing w:before="0" w:beforeAutospacing="0" w:after="0" w:afterAutospacing="0"/>
        <w:ind w:left="720"/>
        <w:jc w:val="both"/>
        <w:textAlignment w:val="baseline"/>
        <w:rPr>
          <w:rFonts w:ascii="Arial" w:hAnsi="Arial" w:cs="Arial"/>
        </w:rPr>
      </w:pPr>
      <w:r w:rsidRPr="00B00892">
        <w:rPr>
          <w:rStyle w:val="eop"/>
          <w:rFonts w:ascii="Arial" w:hAnsi="Arial" w:cs="Arial"/>
        </w:rPr>
        <w:t> </w:t>
      </w:r>
    </w:p>
    <w:p w14:paraId="71F9F6E3" w14:textId="31B4F32E" w:rsidR="00A01E56" w:rsidRPr="00460FAE" w:rsidRDefault="00A01E56" w:rsidP="00A01E56">
      <w:pPr>
        <w:autoSpaceDE w:val="0"/>
        <w:autoSpaceDN w:val="0"/>
        <w:adjustRightInd w:val="0"/>
        <w:rPr>
          <w:rFonts w:cs="Arial"/>
          <w:bCs/>
          <w:sz w:val="24"/>
          <w:szCs w:val="24"/>
        </w:rPr>
      </w:pPr>
      <w:r w:rsidRPr="00460FAE">
        <w:rPr>
          <w:rFonts w:cs="Arial"/>
          <w:bCs/>
          <w:sz w:val="24"/>
          <w:szCs w:val="24"/>
        </w:rPr>
        <w:t>The Authority used the following capital resources to finance its 202</w:t>
      </w:r>
      <w:r w:rsidR="001B6124">
        <w:rPr>
          <w:rFonts w:cs="Arial"/>
          <w:bCs/>
          <w:sz w:val="24"/>
          <w:szCs w:val="24"/>
        </w:rPr>
        <w:t>2</w:t>
      </w:r>
      <w:r w:rsidRPr="00460FAE">
        <w:rPr>
          <w:rFonts w:cs="Arial"/>
          <w:bCs/>
          <w:sz w:val="24"/>
          <w:szCs w:val="24"/>
        </w:rPr>
        <w:t>/2</w:t>
      </w:r>
      <w:r w:rsidR="001B6124">
        <w:rPr>
          <w:rFonts w:cs="Arial"/>
          <w:bCs/>
          <w:sz w:val="24"/>
          <w:szCs w:val="24"/>
        </w:rPr>
        <w:t>3</w:t>
      </w:r>
      <w:r w:rsidRPr="00460FAE">
        <w:rPr>
          <w:rFonts w:cs="Arial"/>
          <w:bCs/>
          <w:sz w:val="24"/>
          <w:szCs w:val="24"/>
        </w:rPr>
        <w:t xml:space="preserve"> capital spend</w:t>
      </w:r>
      <w:r w:rsidR="001B6124">
        <w:rPr>
          <w:rFonts w:cs="Arial"/>
          <w:bCs/>
          <w:sz w:val="24"/>
          <w:szCs w:val="24"/>
        </w:rPr>
        <w:t>:</w:t>
      </w:r>
    </w:p>
    <w:p w14:paraId="1D814C0B" w14:textId="77777777" w:rsidR="00A01E56" w:rsidRPr="004D5CA8" w:rsidRDefault="00A01E56" w:rsidP="00A01E56">
      <w:pPr>
        <w:autoSpaceDE w:val="0"/>
        <w:autoSpaceDN w:val="0"/>
        <w:adjustRightInd w:val="0"/>
        <w:rPr>
          <w:rFonts w:cs="Arial"/>
          <w:bCs/>
          <w:sz w:val="24"/>
          <w:szCs w:val="24"/>
          <w:highlight w:val="yellow"/>
        </w:rPr>
      </w:pPr>
    </w:p>
    <w:tbl>
      <w:tblPr>
        <w:tblW w:w="7942" w:type="dxa"/>
        <w:jc w:val="center"/>
        <w:tblLook w:val="04A0" w:firstRow="1" w:lastRow="0" w:firstColumn="1" w:lastColumn="0" w:noHBand="0" w:noVBand="1"/>
      </w:tblPr>
      <w:tblGrid>
        <w:gridCol w:w="6374"/>
        <w:gridCol w:w="1568"/>
      </w:tblGrid>
      <w:tr w:rsidR="00460FAE" w:rsidRPr="00460FAE" w14:paraId="1D60E7F1" w14:textId="77777777" w:rsidTr="00460FAE">
        <w:trPr>
          <w:trHeight w:val="290"/>
          <w:jc w:val="center"/>
        </w:trPr>
        <w:tc>
          <w:tcPr>
            <w:tcW w:w="6374" w:type="dxa"/>
            <w:tcBorders>
              <w:top w:val="single" w:sz="4" w:space="0" w:color="auto"/>
              <w:left w:val="single" w:sz="4" w:space="0" w:color="auto"/>
              <w:right w:val="single" w:sz="4" w:space="0" w:color="auto"/>
            </w:tcBorders>
            <w:shd w:val="clear" w:color="auto" w:fill="auto"/>
            <w:noWrap/>
            <w:vAlign w:val="bottom"/>
            <w:hideMark/>
          </w:tcPr>
          <w:p w14:paraId="42BE3981" w14:textId="77777777" w:rsidR="00460FAE" w:rsidRPr="00460FAE" w:rsidRDefault="00460FAE" w:rsidP="00460FAE">
            <w:pPr>
              <w:rPr>
                <w:rFonts w:cs="Arial"/>
                <w:color w:val="000000"/>
                <w:sz w:val="22"/>
                <w:szCs w:val="22"/>
                <w:lang w:eastAsia="en-GB"/>
              </w:rPr>
            </w:pPr>
            <w:r w:rsidRPr="00460FAE">
              <w:rPr>
                <w:rFonts w:cs="Arial"/>
                <w:color w:val="000000"/>
                <w:sz w:val="22"/>
                <w:szCs w:val="22"/>
                <w:lang w:eastAsia="en-GB"/>
              </w:rPr>
              <w:t> </w:t>
            </w:r>
          </w:p>
        </w:tc>
        <w:tc>
          <w:tcPr>
            <w:tcW w:w="1568" w:type="dxa"/>
            <w:tcBorders>
              <w:top w:val="single" w:sz="4" w:space="0" w:color="auto"/>
              <w:left w:val="single" w:sz="4" w:space="0" w:color="auto"/>
              <w:right w:val="single" w:sz="4" w:space="0" w:color="auto"/>
            </w:tcBorders>
            <w:shd w:val="clear" w:color="auto" w:fill="auto"/>
            <w:noWrap/>
            <w:vAlign w:val="bottom"/>
            <w:hideMark/>
          </w:tcPr>
          <w:p w14:paraId="16B0F2D7" w14:textId="77777777" w:rsidR="00460FAE" w:rsidRPr="00460FAE" w:rsidRDefault="00460FAE" w:rsidP="00460FAE">
            <w:pPr>
              <w:jc w:val="center"/>
              <w:rPr>
                <w:rFonts w:cs="Arial"/>
                <w:b/>
                <w:bCs/>
                <w:color w:val="000000"/>
                <w:sz w:val="22"/>
                <w:szCs w:val="22"/>
                <w:lang w:eastAsia="en-GB"/>
              </w:rPr>
            </w:pPr>
            <w:r w:rsidRPr="00460FAE">
              <w:rPr>
                <w:rFonts w:cs="Arial"/>
                <w:b/>
                <w:bCs/>
                <w:color w:val="000000"/>
                <w:sz w:val="22"/>
                <w:szCs w:val="22"/>
                <w:lang w:eastAsia="en-GB"/>
              </w:rPr>
              <w:t>£000</w:t>
            </w:r>
          </w:p>
        </w:tc>
      </w:tr>
      <w:tr w:rsidR="00460FAE" w:rsidRPr="00460FAE" w14:paraId="3DC59130" w14:textId="77777777" w:rsidTr="00460FAE">
        <w:trPr>
          <w:trHeight w:val="290"/>
          <w:jc w:val="center"/>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29AEC71E" w14:textId="77777777" w:rsidR="00460FAE" w:rsidRPr="00A87029" w:rsidRDefault="00460FAE" w:rsidP="00460FAE">
            <w:pPr>
              <w:rPr>
                <w:rFonts w:cs="Arial"/>
                <w:b/>
                <w:bCs/>
                <w:color w:val="000000"/>
                <w:sz w:val="22"/>
                <w:szCs w:val="22"/>
                <w:lang w:eastAsia="en-GB"/>
              </w:rPr>
            </w:pPr>
            <w:r w:rsidRPr="00A87029">
              <w:rPr>
                <w:rFonts w:cs="Arial"/>
                <w:b/>
                <w:bCs/>
                <w:color w:val="000000"/>
                <w:sz w:val="22"/>
                <w:szCs w:val="22"/>
                <w:lang w:eastAsia="en-GB"/>
              </w:rPr>
              <w:t>Expenditure</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14:paraId="31199713" w14:textId="77777777" w:rsidR="00460FAE" w:rsidRPr="00A87029" w:rsidRDefault="00460FAE" w:rsidP="00460FAE">
            <w:pPr>
              <w:jc w:val="right"/>
              <w:rPr>
                <w:rFonts w:cs="Arial"/>
                <w:b/>
                <w:bCs/>
                <w:color w:val="000000"/>
                <w:sz w:val="22"/>
                <w:szCs w:val="22"/>
                <w:lang w:eastAsia="en-GB"/>
              </w:rPr>
            </w:pPr>
            <w:r w:rsidRPr="00A87029">
              <w:rPr>
                <w:rFonts w:cs="Arial"/>
                <w:b/>
                <w:bCs/>
                <w:color w:val="000000"/>
                <w:sz w:val="22"/>
                <w:szCs w:val="22"/>
                <w:lang w:eastAsia="en-GB"/>
              </w:rPr>
              <w:t>1,899</w:t>
            </w:r>
          </w:p>
        </w:tc>
      </w:tr>
      <w:tr w:rsidR="00460FAE" w:rsidRPr="00460FAE" w14:paraId="3515D9A4" w14:textId="77777777" w:rsidTr="00460FAE">
        <w:trPr>
          <w:trHeight w:val="290"/>
          <w:jc w:val="center"/>
        </w:trPr>
        <w:tc>
          <w:tcPr>
            <w:tcW w:w="6374" w:type="dxa"/>
            <w:tcBorders>
              <w:top w:val="single" w:sz="4" w:space="0" w:color="auto"/>
              <w:left w:val="single" w:sz="4" w:space="0" w:color="auto"/>
              <w:bottom w:val="nil"/>
              <w:right w:val="single" w:sz="4" w:space="0" w:color="auto"/>
            </w:tcBorders>
            <w:shd w:val="clear" w:color="auto" w:fill="auto"/>
            <w:noWrap/>
            <w:vAlign w:val="bottom"/>
            <w:hideMark/>
          </w:tcPr>
          <w:p w14:paraId="5F5FBDBF" w14:textId="77777777" w:rsidR="00460FAE" w:rsidRPr="00460FAE" w:rsidRDefault="00460FAE" w:rsidP="00460FAE">
            <w:pPr>
              <w:rPr>
                <w:rFonts w:cs="Arial"/>
                <w:color w:val="000000"/>
                <w:sz w:val="22"/>
                <w:szCs w:val="22"/>
                <w:lang w:eastAsia="en-GB"/>
              </w:rPr>
            </w:pPr>
            <w:r w:rsidRPr="00460FAE">
              <w:rPr>
                <w:rFonts w:cs="Arial"/>
                <w:color w:val="000000"/>
                <w:sz w:val="22"/>
                <w:szCs w:val="22"/>
                <w:lang w:eastAsia="en-GB"/>
              </w:rPr>
              <w:t> </w:t>
            </w:r>
          </w:p>
        </w:tc>
        <w:tc>
          <w:tcPr>
            <w:tcW w:w="1568" w:type="dxa"/>
            <w:tcBorders>
              <w:top w:val="single" w:sz="4" w:space="0" w:color="auto"/>
              <w:left w:val="single" w:sz="4" w:space="0" w:color="auto"/>
              <w:bottom w:val="nil"/>
              <w:right w:val="single" w:sz="4" w:space="0" w:color="auto"/>
            </w:tcBorders>
            <w:shd w:val="clear" w:color="auto" w:fill="auto"/>
            <w:noWrap/>
            <w:vAlign w:val="bottom"/>
            <w:hideMark/>
          </w:tcPr>
          <w:p w14:paraId="76FF2405" w14:textId="77777777" w:rsidR="00460FAE" w:rsidRPr="00460FAE" w:rsidRDefault="00460FAE" w:rsidP="00460FAE">
            <w:pPr>
              <w:rPr>
                <w:rFonts w:cs="Arial"/>
                <w:color w:val="000000"/>
                <w:sz w:val="22"/>
                <w:szCs w:val="22"/>
                <w:lang w:eastAsia="en-GB"/>
              </w:rPr>
            </w:pPr>
            <w:r w:rsidRPr="00460FAE">
              <w:rPr>
                <w:rFonts w:cs="Arial"/>
                <w:color w:val="000000"/>
                <w:sz w:val="22"/>
                <w:szCs w:val="22"/>
                <w:lang w:eastAsia="en-GB"/>
              </w:rPr>
              <w:t> </w:t>
            </w:r>
          </w:p>
        </w:tc>
      </w:tr>
      <w:tr w:rsidR="00460FAE" w:rsidRPr="00460FAE" w14:paraId="3D459AB0" w14:textId="77777777" w:rsidTr="00460FAE">
        <w:trPr>
          <w:trHeight w:val="290"/>
          <w:jc w:val="center"/>
        </w:trPr>
        <w:tc>
          <w:tcPr>
            <w:tcW w:w="6374" w:type="dxa"/>
            <w:tcBorders>
              <w:top w:val="nil"/>
              <w:left w:val="single" w:sz="4" w:space="0" w:color="auto"/>
              <w:bottom w:val="nil"/>
              <w:right w:val="single" w:sz="4" w:space="0" w:color="auto"/>
            </w:tcBorders>
            <w:shd w:val="clear" w:color="auto" w:fill="auto"/>
            <w:noWrap/>
            <w:vAlign w:val="bottom"/>
            <w:hideMark/>
          </w:tcPr>
          <w:p w14:paraId="224B2BF1" w14:textId="77777777" w:rsidR="00460FAE" w:rsidRPr="00460FAE" w:rsidRDefault="00460FAE" w:rsidP="00460FAE">
            <w:pPr>
              <w:rPr>
                <w:rFonts w:cs="Arial"/>
                <w:b/>
                <w:bCs/>
                <w:color w:val="000000"/>
                <w:sz w:val="22"/>
                <w:szCs w:val="22"/>
                <w:lang w:eastAsia="en-GB"/>
              </w:rPr>
            </w:pPr>
            <w:r w:rsidRPr="00460FAE">
              <w:rPr>
                <w:rFonts w:cs="Arial"/>
                <w:b/>
                <w:bCs/>
                <w:color w:val="000000"/>
                <w:sz w:val="22"/>
                <w:szCs w:val="22"/>
                <w:lang w:eastAsia="en-GB"/>
              </w:rPr>
              <w:t>Funded from:</w:t>
            </w:r>
          </w:p>
        </w:tc>
        <w:tc>
          <w:tcPr>
            <w:tcW w:w="1568" w:type="dxa"/>
            <w:tcBorders>
              <w:top w:val="nil"/>
              <w:left w:val="single" w:sz="4" w:space="0" w:color="auto"/>
              <w:bottom w:val="nil"/>
              <w:right w:val="single" w:sz="4" w:space="0" w:color="auto"/>
            </w:tcBorders>
            <w:shd w:val="clear" w:color="auto" w:fill="auto"/>
            <w:noWrap/>
            <w:vAlign w:val="bottom"/>
            <w:hideMark/>
          </w:tcPr>
          <w:p w14:paraId="38E17B57" w14:textId="77777777" w:rsidR="00460FAE" w:rsidRPr="00460FAE" w:rsidRDefault="00460FAE" w:rsidP="00460FAE">
            <w:pPr>
              <w:rPr>
                <w:rFonts w:cs="Arial"/>
                <w:color w:val="000000"/>
                <w:sz w:val="22"/>
                <w:szCs w:val="22"/>
                <w:lang w:eastAsia="en-GB"/>
              </w:rPr>
            </w:pPr>
            <w:r w:rsidRPr="00460FAE">
              <w:rPr>
                <w:rFonts w:cs="Arial"/>
                <w:color w:val="000000"/>
                <w:sz w:val="22"/>
                <w:szCs w:val="22"/>
                <w:lang w:eastAsia="en-GB"/>
              </w:rPr>
              <w:t> </w:t>
            </w:r>
          </w:p>
        </w:tc>
      </w:tr>
      <w:tr w:rsidR="00460FAE" w:rsidRPr="00460FAE" w14:paraId="59B29E21" w14:textId="77777777" w:rsidTr="00460FAE">
        <w:trPr>
          <w:trHeight w:val="290"/>
          <w:jc w:val="center"/>
        </w:trPr>
        <w:tc>
          <w:tcPr>
            <w:tcW w:w="6374" w:type="dxa"/>
            <w:tcBorders>
              <w:top w:val="nil"/>
              <w:left w:val="single" w:sz="4" w:space="0" w:color="auto"/>
              <w:bottom w:val="nil"/>
              <w:right w:val="single" w:sz="4" w:space="0" w:color="auto"/>
            </w:tcBorders>
            <w:shd w:val="clear" w:color="auto" w:fill="auto"/>
            <w:noWrap/>
            <w:vAlign w:val="bottom"/>
            <w:hideMark/>
          </w:tcPr>
          <w:p w14:paraId="324C22DC" w14:textId="77777777" w:rsidR="00460FAE" w:rsidRPr="00460FAE" w:rsidRDefault="00460FAE" w:rsidP="00460FAE">
            <w:pPr>
              <w:rPr>
                <w:rFonts w:cs="Arial"/>
                <w:color w:val="000000"/>
                <w:sz w:val="22"/>
                <w:szCs w:val="22"/>
                <w:lang w:eastAsia="en-GB"/>
              </w:rPr>
            </w:pPr>
            <w:r w:rsidRPr="00460FAE">
              <w:rPr>
                <w:rFonts w:cs="Arial"/>
                <w:color w:val="000000"/>
                <w:sz w:val="22"/>
                <w:szCs w:val="22"/>
                <w:lang w:eastAsia="en-GB"/>
              </w:rPr>
              <w:t>Capital receipts</w:t>
            </w:r>
          </w:p>
        </w:tc>
        <w:tc>
          <w:tcPr>
            <w:tcW w:w="1568" w:type="dxa"/>
            <w:tcBorders>
              <w:top w:val="nil"/>
              <w:left w:val="single" w:sz="4" w:space="0" w:color="auto"/>
              <w:bottom w:val="nil"/>
              <w:right w:val="single" w:sz="4" w:space="0" w:color="auto"/>
            </w:tcBorders>
            <w:shd w:val="clear" w:color="auto" w:fill="auto"/>
            <w:noWrap/>
            <w:vAlign w:val="bottom"/>
            <w:hideMark/>
          </w:tcPr>
          <w:p w14:paraId="2DE2325B" w14:textId="77777777" w:rsidR="00460FAE" w:rsidRPr="00460FAE" w:rsidRDefault="00460FAE" w:rsidP="00460FAE">
            <w:pPr>
              <w:jc w:val="right"/>
              <w:rPr>
                <w:rFonts w:cs="Arial"/>
                <w:color w:val="000000"/>
                <w:sz w:val="22"/>
                <w:szCs w:val="22"/>
                <w:lang w:eastAsia="en-GB"/>
              </w:rPr>
            </w:pPr>
            <w:r w:rsidRPr="00460FAE">
              <w:rPr>
                <w:rFonts w:cs="Arial"/>
                <w:color w:val="000000"/>
                <w:sz w:val="22"/>
                <w:szCs w:val="22"/>
                <w:lang w:eastAsia="en-GB"/>
              </w:rPr>
              <w:t>-201</w:t>
            </w:r>
          </w:p>
        </w:tc>
      </w:tr>
      <w:tr w:rsidR="00460FAE" w:rsidRPr="00460FAE" w14:paraId="7EBF865D" w14:textId="77777777" w:rsidTr="00460FAE">
        <w:trPr>
          <w:trHeight w:val="290"/>
          <w:jc w:val="center"/>
        </w:trPr>
        <w:tc>
          <w:tcPr>
            <w:tcW w:w="6374" w:type="dxa"/>
            <w:tcBorders>
              <w:top w:val="nil"/>
              <w:left w:val="single" w:sz="4" w:space="0" w:color="auto"/>
              <w:bottom w:val="nil"/>
              <w:right w:val="single" w:sz="4" w:space="0" w:color="auto"/>
            </w:tcBorders>
            <w:shd w:val="clear" w:color="auto" w:fill="auto"/>
            <w:noWrap/>
            <w:vAlign w:val="bottom"/>
            <w:hideMark/>
          </w:tcPr>
          <w:p w14:paraId="3469465C" w14:textId="77777777" w:rsidR="00460FAE" w:rsidRPr="00460FAE" w:rsidRDefault="00460FAE" w:rsidP="00460FAE">
            <w:pPr>
              <w:rPr>
                <w:rFonts w:cs="Arial"/>
                <w:color w:val="000000"/>
                <w:sz w:val="22"/>
                <w:szCs w:val="22"/>
                <w:lang w:eastAsia="en-GB"/>
              </w:rPr>
            </w:pPr>
            <w:r w:rsidRPr="00460FAE">
              <w:rPr>
                <w:rFonts w:cs="Arial"/>
                <w:color w:val="000000"/>
                <w:sz w:val="22"/>
                <w:szCs w:val="22"/>
                <w:lang w:eastAsia="en-GB"/>
              </w:rPr>
              <w:t>Direct Revenue Financing</w:t>
            </w:r>
          </w:p>
        </w:tc>
        <w:tc>
          <w:tcPr>
            <w:tcW w:w="1568" w:type="dxa"/>
            <w:tcBorders>
              <w:top w:val="nil"/>
              <w:left w:val="single" w:sz="4" w:space="0" w:color="auto"/>
              <w:bottom w:val="nil"/>
              <w:right w:val="single" w:sz="4" w:space="0" w:color="auto"/>
            </w:tcBorders>
            <w:shd w:val="clear" w:color="auto" w:fill="auto"/>
            <w:noWrap/>
            <w:vAlign w:val="bottom"/>
            <w:hideMark/>
          </w:tcPr>
          <w:p w14:paraId="45BD0041" w14:textId="77777777" w:rsidR="00460FAE" w:rsidRPr="00460FAE" w:rsidRDefault="00460FAE" w:rsidP="00460FAE">
            <w:pPr>
              <w:jc w:val="right"/>
              <w:rPr>
                <w:rFonts w:cs="Arial"/>
                <w:color w:val="000000"/>
                <w:sz w:val="22"/>
                <w:szCs w:val="22"/>
                <w:lang w:eastAsia="en-GB"/>
              </w:rPr>
            </w:pPr>
            <w:r w:rsidRPr="00460FAE">
              <w:rPr>
                <w:rFonts w:cs="Arial"/>
                <w:color w:val="000000"/>
                <w:sz w:val="22"/>
                <w:szCs w:val="22"/>
                <w:lang w:eastAsia="en-GB"/>
              </w:rPr>
              <w:t>-335</w:t>
            </w:r>
          </w:p>
        </w:tc>
      </w:tr>
      <w:tr w:rsidR="00460FAE" w:rsidRPr="00460FAE" w14:paraId="52E82260" w14:textId="77777777" w:rsidTr="00460FAE">
        <w:trPr>
          <w:trHeight w:val="290"/>
          <w:jc w:val="center"/>
        </w:trPr>
        <w:tc>
          <w:tcPr>
            <w:tcW w:w="6374" w:type="dxa"/>
            <w:tcBorders>
              <w:top w:val="nil"/>
              <w:left w:val="single" w:sz="4" w:space="0" w:color="auto"/>
              <w:bottom w:val="nil"/>
              <w:right w:val="single" w:sz="4" w:space="0" w:color="auto"/>
            </w:tcBorders>
            <w:shd w:val="clear" w:color="auto" w:fill="auto"/>
            <w:noWrap/>
            <w:vAlign w:val="bottom"/>
            <w:hideMark/>
          </w:tcPr>
          <w:p w14:paraId="1492AC4D" w14:textId="77777777" w:rsidR="00460FAE" w:rsidRPr="00460FAE" w:rsidRDefault="00460FAE" w:rsidP="00460FAE">
            <w:pPr>
              <w:rPr>
                <w:rFonts w:cs="Arial"/>
                <w:color w:val="000000"/>
                <w:sz w:val="22"/>
                <w:szCs w:val="22"/>
                <w:lang w:eastAsia="en-GB"/>
              </w:rPr>
            </w:pPr>
            <w:r w:rsidRPr="00460FAE">
              <w:rPr>
                <w:rFonts w:cs="Arial"/>
                <w:color w:val="000000"/>
                <w:sz w:val="22"/>
                <w:szCs w:val="22"/>
                <w:lang w:eastAsia="en-GB"/>
              </w:rPr>
              <w:t>Capital Grant</w:t>
            </w:r>
          </w:p>
        </w:tc>
        <w:tc>
          <w:tcPr>
            <w:tcW w:w="1568" w:type="dxa"/>
            <w:tcBorders>
              <w:top w:val="nil"/>
              <w:left w:val="single" w:sz="4" w:space="0" w:color="auto"/>
              <w:bottom w:val="nil"/>
              <w:right w:val="single" w:sz="4" w:space="0" w:color="auto"/>
            </w:tcBorders>
            <w:shd w:val="clear" w:color="auto" w:fill="auto"/>
            <w:noWrap/>
            <w:vAlign w:val="bottom"/>
            <w:hideMark/>
          </w:tcPr>
          <w:p w14:paraId="59E8CC08" w14:textId="77777777" w:rsidR="00460FAE" w:rsidRPr="00460FAE" w:rsidRDefault="00460FAE" w:rsidP="00460FAE">
            <w:pPr>
              <w:jc w:val="right"/>
              <w:rPr>
                <w:rFonts w:cs="Arial"/>
                <w:color w:val="000000"/>
                <w:sz w:val="22"/>
                <w:szCs w:val="22"/>
                <w:lang w:eastAsia="en-GB"/>
              </w:rPr>
            </w:pPr>
            <w:r w:rsidRPr="00460FAE">
              <w:rPr>
                <w:rFonts w:cs="Arial"/>
                <w:color w:val="000000"/>
                <w:sz w:val="22"/>
                <w:szCs w:val="22"/>
                <w:lang w:eastAsia="en-GB"/>
              </w:rPr>
              <w:t>-120</w:t>
            </w:r>
          </w:p>
        </w:tc>
      </w:tr>
      <w:tr w:rsidR="00460FAE" w:rsidRPr="00460FAE" w14:paraId="45A19E18" w14:textId="77777777" w:rsidTr="00460FAE">
        <w:trPr>
          <w:trHeight w:val="290"/>
          <w:jc w:val="center"/>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2E7BA40D" w14:textId="77777777" w:rsidR="00460FAE" w:rsidRPr="00460FAE" w:rsidRDefault="00460FAE" w:rsidP="00460FAE">
            <w:pPr>
              <w:rPr>
                <w:rFonts w:cs="Arial"/>
                <w:color w:val="000000"/>
                <w:sz w:val="22"/>
                <w:szCs w:val="22"/>
                <w:lang w:eastAsia="en-GB"/>
              </w:rPr>
            </w:pPr>
            <w:r w:rsidRPr="00460FAE">
              <w:rPr>
                <w:rFonts w:cs="Arial"/>
                <w:color w:val="000000"/>
                <w:sz w:val="22"/>
                <w:szCs w:val="22"/>
                <w:lang w:eastAsia="en-GB"/>
              </w:rPr>
              <w:t>Revenue Expenditure funded from Capital Under Statute Grant</w:t>
            </w:r>
          </w:p>
        </w:tc>
        <w:tc>
          <w:tcPr>
            <w:tcW w:w="1568" w:type="dxa"/>
            <w:tcBorders>
              <w:top w:val="nil"/>
              <w:left w:val="single" w:sz="4" w:space="0" w:color="auto"/>
              <w:bottom w:val="nil"/>
              <w:right w:val="single" w:sz="4" w:space="0" w:color="auto"/>
            </w:tcBorders>
            <w:shd w:val="clear" w:color="auto" w:fill="auto"/>
            <w:noWrap/>
            <w:vAlign w:val="bottom"/>
            <w:hideMark/>
          </w:tcPr>
          <w:p w14:paraId="58516522" w14:textId="77777777" w:rsidR="00460FAE" w:rsidRPr="00460FAE" w:rsidRDefault="00460FAE" w:rsidP="00460FAE">
            <w:pPr>
              <w:jc w:val="right"/>
              <w:rPr>
                <w:rFonts w:cs="Arial"/>
                <w:color w:val="000000"/>
                <w:sz w:val="22"/>
                <w:szCs w:val="22"/>
                <w:lang w:eastAsia="en-GB"/>
              </w:rPr>
            </w:pPr>
            <w:r w:rsidRPr="00460FAE">
              <w:rPr>
                <w:rFonts w:cs="Arial"/>
                <w:color w:val="000000"/>
                <w:sz w:val="22"/>
                <w:szCs w:val="22"/>
                <w:lang w:eastAsia="en-GB"/>
              </w:rPr>
              <w:t>-1,243</w:t>
            </w:r>
          </w:p>
        </w:tc>
      </w:tr>
      <w:tr w:rsidR="00460FAE" w:rsidRPr="00460FAE" w14:paraId="66F165C4" w14:textId="77777777" w:rsidTr="00460FAE">
        <w:trPr>
          <w:trHeight w:val="290"/>
          <w:jc w:val="center"/>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643AE944" w14:textId="77777777" w:rsidR="00460FAE" w:rsidRPr="00460FAE" w:rsidRDefault="00460FAE" w:rsidP="00460FAE">
            <w:pPr>
              <w:rPr>
                <w:rFonts w:cs="Arial"/>
                <w:b/>
                <w:bCs/>
                <w:color w:val="000000"/>
                <w:sz w:val="22"/>
                <w:szCs w:val="22"/>
                <w:lang w:eastAsia="en-GB"/>
              </w:rPr>
            </w:pPr>
            <w:r w:rsidRPr="00460FAE">
              <w:rPr>
                <w:rFonts w:cs="Arial"/>
                <w:b/>
                <w:bCs/>
                <w:color w:val="000000"/>
                <w:sz w:val="22"/>
                <w:szCs w:val="22"/>
                <w:lang w:eastAsia="en-GB"/>
              </w:rPr>
              <w:t>Movement in Capital Financing Requirement</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3BAC8" w14:textId="77777777" w:rsidR="00460FAE" w:rsidRPr="00460FAE" w:rsidRDefault="00460FAE" w:rsidP="00460FAE">
            <w:pPr>
              <w:jc w:val="right"/>
              <w:rPr>
                <w:rFonts w:cs="Arial"/>
                <w:b/>
                <w:bCs/>
                <w:color w:val="000000"/>
                <w:sz w:val="22"/>
                <w:szCs w:val="22"/>
                <w:lang w:eastAsia="en-GB"/>
              </w:rPr>
            </w:pPr>
            <w:r w:rsidRPr="00460FAE">
              <w:rPr>
                <w:rFonts w:cs="Arial"/>
                <w:b/>
                <w:bCs/>
                <w:color w:val="000000"/>
                <w:sz w:val="22"/>
                <w:szCs w:val="22"/>
                <w:lang w:eastAsia="en-GB"/>
              </w:rPr>
              <w:t>0</w:t>
            </w:r>
          </w:p>
        </w:tc>
      </w:tr>
    </w:tbl>
    <w:p w14:paraId="044EF2EE" w14:textId="12F4D7C5" w:rsidR="00A01E56" w:rsidRPr="004D5CA8" w:rsidRDefault="00A01E56" w:rsidP="00A01E56">
      <w:pPr>
        <w:autoSpaceDE w:val="0"/>
        <w:autoSpaceDN w:val="0"/>
        <w:adjustRightInd w:val="0"/>
        <w:ind w:left="2127" w:hanging="2127"/>
        <w:jc w:val="center"/>
        <w:rPr>
          <w:rFonts w:cs="Arial"/>
          <w:bCs/>
          <w:sz w:val="24"/>
          <w:szCs w:val="24"/>
          <w:highlight w:val="yellow"/>
        </w:rPr>
      </w:pPr>
    </w:p>
    <w:p w14:paraId="63CA3906" w14:textId="77777777" w:rsidR="00A01E56" w:rsidRPr="004D5CA8" w:rsidRDefault="00A01E56" w:rsidP="00A01E56">
      <w:pPr>
        <w:autoSpaceDE w:val="0"/>
        <w:autoSpaceDN w:val="0"/>
        <w:adjustRightInd w:val="0"/>
        <w:rPr>
          <w:rFonts w:cs="Arial"/>
          <w:b/>
          <w:bCs/>
          <w:highlight w:val="yellow"/>
        </w:rPr>
      </w:pPr>
      <w:r w:rsidRPr="004D5CA8">
        <w:rPr>
          <w:highlight w:val="yellow"/>
        </w:rPr>
        <w:t xml:space="preserve">                                 </w:t>
      </w:r>
    </w:p>
    <w:p w14:paraId="5FFA8D98" w14:textId="03501445" w:rsidR="00A01E56" w:rsidRPr="00460FAE" w:rsidRDefault="00A01E56" w:rsidP="00A01E56">
      <w:pPr>
        <w:autoSpaceDE w:val="0"/>
        <w:autoSpaceDN w:val="0"/>
        <w:adjustRightInd w:val="0"/>
        <w:rPr>
          <w:rFonts w:cs="Arial"/>
          <w:bCs/>
        </w:rPr>
      </w:pPr>
      <w:r w:rsidRPr="00460FAE">
        <w:rPr>
          <w:rFonts w:cs="Arial"/>
          <w:bCs/>
        </w:rPr>
        <w:t>The Authority continues to strive to provide excellent value for money. Our organisational strategy aims to deliver maximum impact in terms of service delivery by using our staff and other resources in more efficient ways. Our effectiveness is a key consideration and our success in delivering the Vision for the National Park is monitored closely using a number of performance indicators and actions set out in our Business Plan</w:t>
      </w:r>
      <w:r w:rsidR="0043215C" w:rsidRPr="00460FAE">
        <w:rPr>
          <w:rFonts w:cs="Arial"/>
          <w:bCs/>
        </w:rPr>
        <w:t xml:space="preserve"> (see Performance and Risk Management section below)</w:t>
      </w:r>
      <w:r w:rsidRPr="00460FAE">
        <w:rPr>
          <w:rFonts w:cs="Arial"/>
          <w:bCs/>
        </w:rPr>
        <w:t xml:space="preserve">. </w:t>
      </w:r>
    </w:p>
    <w:p w14:paraId="048BB866" w14:textId="25A2ED5C" w:rsidR="00A01E56" w:rsidRPr="00460FAE" w:rsidRDefault="00A01E56" w:rsidP="00A01E56">
      <w:pPr>
        <w:autoSpaceDE w:val="0"/>
        <w:autoSpaceDN w:val="0"/>
        <w:adjustRightInd w:val="0"/>
        <w:rPr>
          <w:rFonts w:cs="Arial"/>
          <w:bCs/>
        </w:rPr>
      </w:pPr>
    </w:p>
    <w:p w14:paraId="1E0E0242" w14:textId="77777777" w:rsidR="00A01E56" w:rsidRPr="00460FAE" w:rsidRDefault="00A01E56" w:rsidP="00A01E56">
      <w:pPr>
        <w:pStyle w:val="Heading2"/>
        <w:rPr>
          <w:b/>
          <w:sz w:val="24"/>
          <w:szCs w:val="24"/>
          <w:u w:val="none"/>
        </w:rPr>
      </w:pPr>
      <w:bookmarkStart w:id="4" w:name="_Hlk109900157"/>
      <w:r w:rsidRPr="00460FAE">
        <w:rPr>
          <w:b/>
          <w:sz w:val="24"/>
          <w:szCs w:val="24"/>
          <w:u w:val="none"/>
        </w:rPr>
        <w:t>Sources of Capital Funds</w:t>
      </w:r>
    </w:p>
    <w:p w14:paraId="1A796C21" w14:textId="77777777" w:rsidR="00A01E56" w:rsidRPr="00460FAE" w:rsidRDefault="00A01E56" w:rsidP="00A01E56"/>
    <w:p w14:paraId="510316F6" w14:textId="49D25EAD" w:rsidR="0043215C" w:rsidRPr="00460FAE" w:rsidRDefault="00A01E56" w:rsidP="00A01E56">
      <w:r w:rsidRPr="00460FAE">
        <w:t>In 202</w:t>
      </w:r>
      <w:r w:rsidR="00460FAE">
        <w:t>2</w:t>
      </w:r>
      <w:r w:rsidRPr="00460FAE">
        <w:t>/2</w:t>
      </w:r>
      <w:r w:rsidR="00460FAE">
        <w:t>3</w:t>
      </w:r>
      <w:r w:rsidRPr="00460FAE">
        <w:t xml:space="preserve"> the Authority received £1</w:t>
      </w:r>
      <w:r w:rsidR="001B6124">
        <w:t>,363</w:t>
      </w:r>
      <w:r w:rsidRPr="00460FAE">
        <w:t>k of grants to support the capital programme</w:t>
      </w:r>
      <w:r w:rsidR="001B6124">
        <w:t>, this came from a number of funders including DEFRA, the European Structural Investment Fund</w:t>
      </w:r>
      <w:r w:rsidR="00516F4C">
        <w:t xml:space="preserve"> (ESIF)</w:t>
      </w:r>
      <w:r w:rsidR="001B6124">
        <w:t xml:space="preserve"> and the Cumbria </w:t>
      </w:r>
      <w:r w:rsidR="00516F4C">
        <w:t>Local Enterprise Partnership (</w:t>
      </w:r>
      <w:r w:rsidR="001B6124">
        <w:t>LEP</w:t>
      </w:r>
      <w:r w:rsidR="00516F4C">
        <w:t>)</w:t>
      </w:r>
      <w:r w:rsidRPr="00460FAE">
        <w:t>. In addition</w:t>
      </w:r>
      <w:r w:rsidR="007D1AA1" w:rsidRPr="00460FAE">
        <w:t>,</w:t>
      </w:r>
      <w:r w:rsidRPr="00460FAE">
        <w:t xml:space="preserve"> the Authority received £</w:t>
      </w:r>
      <w:r w:rsidR="00460FAE" w:rsidRPr="00460FAE">
        <w:t>1,476</w:t>
      </w:r>
      <w:r w:rsidR="00460FAE">
        <w:t>k</w:t>
      </w:r>
      <w:r w:rsidRPr="00460FAE">
        <w:t xml:space="preserve"> from the sale of assets</w:t>
      </w:r>
      <w:r w:rsidR="00460FAE">
        <w:t xml:space="preserve"> (£1,404k relating to Woodend Farm</w:t>
      </w:r>
      <w:r w:rsidRPr="00460FAE">
        <w:t xml:space="preserve"> which, along with grants and direct revenue funding, </w:t>
      </w:r>
      <w:r w:rsidR="00460FAE">
        <w:t>contributed</w:t>
      </w:r>
      <w:r w:rsidRPr="00460FAE">
        <w:t xml:space="preserve"> to f</w:t>
      </w:r>
      <w:r w:rsidR="00460FAE">
        <w:t>unding</w:t>
      </w:r>
      <w:r w:rsidRPr="00460FAE">
        <w:t xml:space="preserve"> the 202</w:t>
      </w:r>
      <w:r w:rsidR="00460FAE" w:rsidRPr="00460FAE">
        <w:t>2</w:t>
      </w:r>
      <w:r w:rsidRPr="00460FAE">
        <w:t>/2</w:t>
      </w:r>
      <w:r w:rsidR="00460FAE" w:rsidRPr="00460FAE">
        <w:t>3</w:t>
      </w:r>
      <w:r w:rsidRPr="00460FAE">
        <w:t xml:space="preserve"> capital programme. </w:t>
      </w:r>
      <w:bookmarkEnd w:id="4"/>
    </w:p>
    <w:p w14:paraId="2D933A6A" w14:textId="77777777" w:rsidR="0043215C" w:rsidRPr="00460FAE" w:rsidRDefault="0043215C" w:rsidP="00A01E56"/>
    <w:p w14:paraId="3F35F2C6" w14:textId="59B93F3B" w:rsidR="00A01E56" w:rsidRPr="00460FAE" w:rsidRDefault="00A01E56" w:rsidP="00A01E56">
      <w:r w:rsidRPr="00460FAE">
        <w:t>The</w:t>
      </w:r>
      <w:r w:rsidR="00460FAE">
        <w:t>re was £1.53m</w:t>
      </w:r>
      <w:r w:rsidRPr="00460FAE">
        <w:t xml:space="preserve"> of </w:t>
      </w:r>
      <w:r w:rsidR="00460FAE">
        <w:t xml:space="preserve">usable </w:t>
      </w:r>
      <w:r w:rsidRPr="00460FAE">
        <w:t xml:space="preserve">capital resources remaining </w:t>
      </w:r>
      <w:r w:rsidR="001B6124">
        <w:t xml:space="preserve">at 31 March 2023 (see detail in the reserve note). These </w:t>
      </w:r>
      <w:r w:rsidRPr="00460FAE">
        <w:t xml:space="preserve">will be used to fund the Authority’s </w:t>
      </w:r>
      <w:r w:rsidR="00460FAE" w:rsidRPr="00460FAE">
        <w:t xml:space="preserve">future </w:t>
      </w:r>
      <w:r w:rsidRPr="00460FAE">
        <w:t xml:space="preserve">capital programme. </w:t>
      </w:r>
      <w:r w:rsidR="00460FAE" w:rsidRPr="00460FAE">
        <w:t>A fully funded programme assuming no further significant receipts was approved as part of the Medium Term Financial Strategy in March 2023.</w:t>
      </w:r>
      <w:r w:rsidR="001B6124">
        <w:t xml:space="preserve"> There is potential for further receipts and these may allow further capital schemes to proceed, if realised.</w:t>
      </w:r>
    </w:p>
    <w:p w14:paraId="13AF6608" w14:textId="77777777" w:rsidR="00A01E56" w:rsidRPr="004D5CA8" w:rsidRDefault="00A01E56" w:rsidP="00A01E56">
      <w:pPr>
        <w:rPr>
          <w:highlight w:val="yellow"/>
        </w:rPr>
      </w:pPr>
    </w:p>
    <w:p w14:paraId="25D320A0" w14:textId="77777777" w:rsidR="00A01E56" w:rsidRPr="001B6124" w:rsidRDefault="00A01E56" w:rsidP="00A01E56">
      <w:pPr>
        <w:autoSpaceDE w:val="0"/>
        <w:autoSpaceDN w:val="0"/>
        <w:adjustRightInd w:val="0"/>
        <w:rPr>
          <w:rFonts w:cs="Arial"/>
          <w:b/>
          <w:bCs/>
          <w:sz w:val="24"/>
          <w:szCs w:val="24"/>
        </w:rPr>
      </w:pPr>
      <w:r w:rsidRPr="001B6124">
        <w:rPr>
          <w:rFonts w:cs="Arial"/>
          <w:b/>
          <w:bCs/>
          <w:sz w:val="24"/>
          <w:szCs w:val="24"/>
        </w:rPr>
        <w:t>Investment Plans</w:t>
      </w:r>
    </w:p>
    <w:p w14:paraId="2F974E47" w14:textId="77777777" w:rsidR="00A01E56" w:rsidRPr="001B6124" w:rsidRDefault="00A01E56" w:rsidP="00A01E56">
      <w:pPr>
        <w:autoSpaceDE w:val="0"/>
        <w:autoSpaceDN w:val="0"/>
        <w:adjustRightInd w:val="0"/>
        <w:rPr>
          <w:rFonts w:cs="Arial"/>
        </w:rPr>
      </w:pPr>
    </w:p>
    <w:p w14:paraId="5AA2BD74" w14:textId="0998B28E" w:rsidR="00A01E56" w:rsidRPr="001B6124" w:rsidRDefault="00A01E56" w:rsidP="00A01E56">
      <w:pPr>
        <w:autoSpaceDE w:val="0"/>
        <w:autoSpaceDN w:val="0"/>
        <w:adjustRightInd w:val="0"/>
        <w:rPr>
          <w:rFonts w:cs="Arial"/>
        </w:rPr>
      </w:pPr>
      <w:r w:rsidRPr="001B6124">
        <w:rPr>
          <w:rFonts w:cs="Arial"/>
        </w:rPr>
        <w:t xml:space="preserve">The Authority’s capital programme routinely includes re-investment in essential business infrastructure, such as operational buildings, vehicles and computer equipment. </w:t>
      </w:r>
    </w:p>
    <w:p w14:paraId="304AE5CE" w14:textId="77777777" w:rsidR="00A01E56" w:rsidRPr="001B6124" w:rsidRDefault="00A01E56" w:rsidP="00A01E56">
      <w:pPr>
        <w:autoSpaceDE w:val="0"/>
        <w:autoSpaceDN w:val="0"/>
        <w:adjustRightInd w:val="0"/>
        <w:rPr>
          <w:rFonts w:cs="Arial"/>
        </w:rPr>
      </w:pPr>
    </w:p>
    <w:p w14:paraId="445EE16F" w14:textId="77777777" w:rsidR="00A01E56" w:rsidRPr="001B6124" w:rsidRDefault="00A01E56" w:rsidP="00A01E56">
      <w:pPr>
        <w:spacing w:after="200"/>
        <w:rPr>
          <w:rFonts w:cs="Arial"/>
        </w:rPr>
      </w:pPr>
      <w:r w:rsidRPr="001B6124">
        <w:rPr>
          <w:rFonts w:cs="Arial"/>
        </w:rPr>
        <w:t>The Authority is currently debt-free but acknowledges that fact that modest borrowing may be necessary to support the financing of the capital programme in future years, in addition to the usual mixture of capital receipts and external grant funding.</w:t>
      </w:r>
    </w:p>
    <w:p w14:paraId="06FB31C0" w14:textId="5AFDD1A2" w:rsidR="00A01E56" w:rsidRPr="001B6124" w:rsidRDefault="00A01E56" w:rsidP="00A01E56">
      <w:pPr>
        <w:spacing w:after="200"/>
        <w:rPr>
          <w:rFonts w:cs="Arial"/>
        </w:rPr>
      </w:pPr>
      <w:r w:rsidRPr="001B6124">
        <w:rPr>
          <w:rFonts w:cs="Arial"/>
        </w:rPr>
        <w:t>The Authority also has an approved Co</w:t>
      </w:r>
      <w:r w:rsidR="001B6124" w:rsidRPr="001B6124">
        <w:rPr>
          <w:rFonts w:cs="Arial"/>
        </w:rPr>
        <w:t>mmercial</w:t>
      </w:r>
      <w:r w:rsidRPr="001B6124">
        <w:rPr>
          <w:rFonts w:cs="Arial"/>
        </w:rPr>
        <w:t xml:space="preserve"> Strategy. This has identified a pipeline of potential investments </w:t>
      </w:r>
      <w:r w:rsidR="001B6124" w:rsidRPr="001B6124">
        <w:rPr>
          <w:rFonts w:cs="Arial"/>
        </w:rPr>
        <w:t>that primarily expand current service provision but which have a strong business case.</w:t>
      </w:r>
      <w:r w:rsidRPr="001B6124">
        <w:rPr>
          <w:rFonts w:cs="Arial"/>
        </w:rPr>
        <w:t xml:space="preserve"> There is an investment reserve to support investment in these with the ambition that these schemes will be able to make a significant contribution to a balanced and robust MTFS.</w:t>
      </w:r>
      <w:r w:rsidR="001B6124" w:rsidRPr="001B6124">
        <w:rPr>
          <w:rFonts w:cs="Arial"/>
        </w:rPr>
        <w:t xml:space="preserve"> Two examples that have already come through this route which are planned to happen during 2023/24 are Lakeshore phase 2 (expansion of access to Windermere through </w:t>
      </w:r>
      <w:r w:rsidR="00516F4C">
        <w:rPr>
          <w:rFonts w:cs="Arial"/>
        </w:rPr>
        <w:lastRenderedPageBreak/>
        <w:t>improvement and extension of the service available at</w:t>
      </w:r>
      <w:r w:rsidR="001B6124" w:rsidRPr="001B6124">
        <w:rPr>
          <w:rFonts w:cs="Arial"/>
        </w:rPr>
        <w:t xml:space="preserve"> </w:t>
      </w:r>
      <w:proofErr w:type="spellStart"/>
      <w:r w:rsidR="001B6124" w:rsidRPr="001B6124">
        <w:rPr>
          <w:rFonts w:cs="Arial"/>
        </w:rPr>
        <w:t>Brockhole</w:t>
      </w:r>
      <w:proofErr w:type="spellEnd"/>
      <w:r w:rsidR="001B6124" w:rsidRPr="001B6124">
        <w:rPr>
          <w:rFonts w:cs="Arial"/>
        </w:rPr>
        <w:t xml:space="preserve">) and </w:t>
      </w:r>
      <w:r w:rsidR="00516F4C">
        <w:rPr>
          <w:rFonts w:cs="Arial"/>
        </w:rPr>
        <w:t xml:space="preserve">development of </w:t>
      </w:r>
      <w:r w:rsidR="001B6124" w:rsidRPr="001B6124">
        <w:rPr>
          <w:rFonts w:cs="Arial"/>
        </w:rPr>
        <w:t>Hawkshead I</w:t>
      </w:r>
      <w:r w:rsidR="00516F4C">
        <w:rPr>
          <w:rFonts w:cs="Arial"/>
        </w:rPr>
        <w:t xml:space="preserve">nformation </w:t>
      </w:r>
      <w:r w:rsidR="001B6124" w:rsidRPr="001B6124">
        <w:rPr>
          <w:rFonts w:cs="Arial"/>
        </w:rPr>
        <w:t>C</w:t>
      </w:r>
      <w:r w:rsidR="00516F4C">
        <w:rPr>
          <w:rFonts w:cs="Arial"/>
        </w:rPr>
        <w:t>entre</w:t>
      </w:r>
      <w:r w:rsidR="001B6124" w:rsidRPr="001B6124">
        <w:rPr>
          <w:rFonts w:cs="Arial"/>
        </w:rPr>
        <w:t xml:space="preserve"> (fit out and enhancement of premises including expansion of bike hire facilities).</w:t>
      </w:r>
    </w:p>
    <w:p w14:paraId="485A431A" w14:textId="69E173A5" w:rsidR="00A1546A" w:rsidRPr="004D5CA8" w:rsidRDefault="00A1546A">
      <w:pPr>
        <w:rPr>
          <w:b/>
          <w:sz w:val="24"/>
          <w:szCs w:val="24"/>
          <w:highlight w:val="yellow"/>
        </w:rPr>
      </w:pPr>
    </w:p>
    <w:p w14:paraId="7A5A1551" w14:textId="77777777" w:rsidR="00F61C2C" w:rsidRPr="00ED2D62" w:rsidRDefault="00F61C2C" w:rsidP="00F61C2C">
      <w:pPr>
        <w:autoSpaceDE w:val="0"/>
        <w:autoSpaceDN w:val="0"/>
        <w:adjustRightInd w:val="0"/>
        <w:rPr>
          <w:rFonts w:cs="Arial"/>
          <w:b/>
          <w:bCs/>
        </w:rPr>
      </w:pPr>
      <w:r w:rsidRPr="00ED2D62">
        <w:rPr>
          <w:rFonts w:cs="Arial"/>
          <w:b/>
          <w:bCs/>
        </w:rPr>
        <w:t>Performance and Risk Management</w:t>
      </w:r>
    </w:p>
    <w:p w14:paraId="6CF0AE72" w14:textId="77777777" w:rsidR="00F61C2C" w:rsidRDefault="00F61C2C" w:rsidP="00F61C2C">
      <w:pPr>
        <w:autoSpaceDE w:val="0"/>
        <w:autoSpaceDN w:val="0"/>
        <w:adjustRightInd w:val="0"/>
        <w:rPr>
          <w:rFonts w:cs="Arial"/>
          <w:b/>
          <w:bCs/>
        </w:rPr>
      </w:pPr>
    </w:p>
    <w:p w14:paraId="68614C83" w14:textId="77777777" w:rsidR="00F61C2C" w:rsidRPr="00164C63" w:rsidRDefault="00F61C2C" w:rsidP="00F61C2C">
      <w:pPr>
        <w:autoSpaceDE w:val="0"/>
        <w:autoSpaceDN w:val="0"/>
        <w:adjustRightInd w:val="0"/>
        <w:rPr>
          <w:b/>
          <w:bCs/>
        </w:rPr>
      </w:pPr>
      <w:r w:rsidRPr="00164C63">
        <w:rPr>
          <w:b/>
          <w:bCs/>
        </w:rPr>
        <w:t>2022-2025 Business Plan</w:t>
      </w:r>
    </w:p>
    <w:p w14:paraId="77C13C97" w14:textId="77777777" w:rsidR="00F61C2C" w:rsidRDefault="00F61C2C" w:rsidP="00F61C2C">
      <w:pPr>
        <w:autoSpaceDE w:val="0"/>
        <w:autoSpaceDN w:val="0"/>
        <w:adjustRightInd w:val="0"/>
        <w:rPr>
          <w:rFonts w:cs="Arial"/>
          <w:bCs/>
        </w:rPr>
      </w:pPr>
    </w:p>
    <w:p w14:paraId="4B3E687D" w14:textId="77777777" w:rsidR="00F61C2C" w:rsidRDefault="00F61C2C" w:rsidP="00F61C2C">
      <w:pPr>
        <w:autoSpaceDE w:val="0"/>
        <w:autoSpaceDN w:val="0"/>
        <w:adjustRightInd w:val="0"/>
      </w:pPr>
      <w:r w:rsidRPr="006C39BB">
        <w:rPr>
          <w:bCs/>
        </w:rPr>
        <w:t xml:space="preserve">The 2022-2025 Business Plan came into effect </w:t>
      </w:r>
      <w:r>
        <w:rPr>
          <w:bCs/>
        </w:rPr>
        <w:t>on</w:t>
      </w:r>
      <w:r w:rsidRPr="006C39BB">
        <w:rPr>
          <w:bCs/>
        </w:rPr>
        <w:t xml:space="preserve"> 1 April 2022. </w:t>
      </w:r>
      <w:r w:rsidRPr="00121DDF">
        <w:t xml:space="preserve">We </w:t>
      </w:r>
      <w:r>
        <w:t xml:space="preserve">usually </w:t>
      </w:r>
      <w:r w:rsidRPr="00121DDF">
        <w:t xml:space="preserve">review </w:t>
      </w:r>
      <w:r>
        <w:t>and update our</w:t>
      </w:r>
      <w:r w:rsidRPr="00121DDF">
        <w:t xml:space="preserve"> </w:t>
      </w:r>
      <w:r>
        <w:t>B</w:t>
      </w:r>
      <w:r w:rsidRPr="00121DDF">
        <w:t xml:space="preserve">usiness </w:t>
      </w:r>
      <w:r>
        <w:t>P</w:t>
      </w:r>
      <w:r w:rsidRPr="00121DDF">
        <w:t xml:space="preserve">lan </w:t>
      </w:r>
      <w:r>
        <w:t xml:space="preserve">at the end of </w:t>
      </w:r>
      <w:r w:rsidRPr="00121DDF">
        <w:t>each year, as part of an annual rolling programme. This allows us to plan three years ahead, with an annual review to make sure that we remain on course towards achieving our Vision and to take account of changing circumstances and / or financial constraints.</w:t>
      </w:r>
    </w:p>
    <w:p w14:paraId="343B5229" w14:textId="77777777" w:rsidR="00F61C2C" w:rsidRDefault="00F61C2C" w:rsidP="00F61C2C">
      <w:pPr>
        <w:autoSpaceDE w:val="0"/>
        <w:autoSpaceDN w:val="0"/>
        <w:adjustRightInd w:val="0"/>
        <w:rPr>
          <w:rFonts w:cs="Arial"/>
          <w:bCs/>
        </w:rPr>
      </w:pPr>
    </w:p>
    <w:p w14:paraId="62CBC50F" w14:textId="77777777" w:rsidR="00F61C2C" w:rsidRPr="004D0613" w:rsidRDefault="00F61C2C" w:rsidP="00F61C2C">
      <w:pPr>
        <w:autoSpaceDE w:val="0"/>
        <w:autoSpaceDN w:val="0"/>
        <w:adjustRightInd w:val="0"/>
        <w:rPr>
          <w:rFonts w:cs="Arial"/>
          <w:bCs/>
        </w:rPr>
      </w:pPr>
      <w:r>
        <w:rPr>
          <w:rFonts w:cs="Arial"/>
          <w:bCs/>
        </w:rPr>
        <w:t xml:space="preserve">In September 2022, </w:t>
      </w:r>
      <w:r w:rsidRPr="004D0613">
        <w:rPr>
          <w:rFonts w:cs="Arial"/>
          <w:bCs/>
        </w:rPr>
        <w:t xml:space="preserve">the Strategic Leadership Team </w:t>
      </w:r>
      <w:r>
        <w:rPr>
          <w:rFonts w:cs="Arial"/>
          <w:bCs/>
        </w:rPr>
        <w:t xml:space="preserve">also undertook a mid-year review of the 2022-2025 Business Plan, to </w:t>
      </w:r>
      <w:r w:rsidRPr="004D0613">
        <w:rPr>
          <w:rFonts w:cs="Arial"/>
          <w:bCs/>
        </w:rPr>
        <w:t xml:space="preserve">consider the viability of the actions and </w:t>
      </w:r>
      <w:r>
        <w:rPr>
          <w:rFonts w:cs="Arial"/>
          <w:bCs/>
        </w:rPr>
        <w:t xml:space="preserve">their </w:t>
      </w:r>
      <w:r w:rsidRPr="004D0613">
        <w:rPr>
          <w:rFonts w:cs="Arial"/>
          <w:bCs/>
        </w:rPr>
        <w:t>2022/23 milestones. Staff capacity to deliver the Business Plan was being affected by high staff turnover and a difficult recruitment market, and new areas of work which had arisen during the year.</w:t>
      </w:r>
    </w:p>
    <w:p w14:paraId="3E53CC4E" w14:textId="77777777" w:rsidR="00F61C2C" w:rsidRDefault="00F61C2C" w:rsidP="00F61C2C">
      <w:pPr>
        <w:autoSpaceDE w:val="0"/>
        <w:autoSpaceDN w:val="0"/>
        <w:adjustRightInd w:val="0"/>
        <w:rPr>
          <w:rFonts w:cs="Arial"/>
          <w:bCs/>
        </w:rPr>
      </w:pPr>
    </w:p>
    <w:p w14:paraId="2FD1AFD8" w14:textId="77777777" w:rsidR="00F61C2C" w:rsidRDefault="00F61C2C" w:rsidP="00F61C2C">
      <w:pPr>
        <w:autoSpaceDE w:val="0"/>
        <w:autoSpaceDN w:val="0"/>
        <w:adjustRightInd w:val="0"/>
        <w:rPr>
          <w:rFonts w:cs="Arial"/>
          <w:bCs/>
        </w:rPr>
      </w:pPr>
      <w:r w:rsidRPr="004D0613">
        <w:rPr>
          <w:rFonts w:cs="Arial"/>
          <w:bCs/>
        </w:rPr>
        <w:t>A revised 2022-2025 Business Plan was subsequently developed for the second half of the year and approved by Authority in October</w:t>
      </w:r>
      <w:r>
        <w:rPr>
          <w:rFonts w:cs="Arial"/>
          <w:bCs/>
        </w:rPr>
        <w:t xml:space="preserve"> 2022</w:t>
      </w:r>
      <w:r w:rsidRPr="004D0613">
        <w:rPr>
          <w:rFonts w:cs="Arial"/>
          <w:bCs/>
        </w:rPr>
        <w:t>. The actions and 2022/23 milestones were updated to reflect what we believed was achievable in the remainder of the year, with some work de-prioritised and removed from the plan, and new areas of priority work added in.</w:t>
      </w:r>
    </w:p>
    <w:p w14:paraId="1A53AD57" w14:textId="77777777" w:rsidR="00F61C2C" w:rsidRDefault="00F61C2C" w:rsidP="00F61C2C">
      <w:pPr>
        <w:autoSpaceDE w:val="0"/>
        <w:autoSpaceDN w:val="0"/>
        <w:adjustRightInd w:val="0"/>
        <w:rPr>
          <w:rFonts w:cs="Arial"/>
          <w:bCs/>
        </w:rPr>
      </w:pPr>
    </w:p>
    <w:p w14:paraId="172D9B1B" w14:textId="77777777" w:rsidR="00F61C2C" w:rsidRPr="00164C63" w:rsidRDefault="00F61C2C" w:rsidP="00F61C2C">
      <w:pPr>
        <w:autoSpaceDE w:val="0"/>
        <w:autoSpaceDN w:val="0"/>
        <w:adjustRightInd w:val="0"/>
        <w:rPr>
          <w:b/>
          <w:bCs/>
        </w:rPr>
      </w:pPr>
      <w:r w:rsidRPr="00164C63">
        <w:rPr>
          <w:b/>
          <w:bCs/>
        </w:rPr>
        <w:t xml:space="preserve">Monitoring </w:t>
      </w:r>
      <w:r>
        <w:rPr>
          <w:b/>
          <w:bCs/>
        </w:rPr>
        <w:t>P</w:t>
      </w:r>
      <w:r w:rsidRPr="00164C63">
        <w:rPr>
          <w:b/>
          <w:bCs/>
        </w:rPr>
        <w:t xml:space="preserve">erformance and </w:t>
      </w:r>
      <w:r>
        <w:rPr>
          <w:b/>
          <w:bCs/>
        </w:rPr>
        <w:t>R</w:t>
      </w:r>
      <w:r w:rsidRPr="00164C63">
        <w:rPr>
          <w:b/>
          <w:bCs/>
        </w:rPr>
        <w:t>isks</w:t>
      </w:r>
    </w:p>
    <w:p w14:paraId="4BA40CA3" w14:textId="77777777" w:rsidR="00F61C2C" w:rsidRDefault="00F61C2C" w:rsidP="00F61C2C">
      <w:pPr>
        <w:autoSpaceDE w:val="0"/>
        <w:autoSpaceDN w:val="0"/>
        <w:adjustRightInd w:val="0"/>
        <w:rPr>
          <w:rFonts w:cs="Arial"/>
          <w:bCs/>
        </w:rPr>
      </w:pPr>
    </w:p>
    <w:p w14:paraId="6F859B09" w14:textId="77777777" w:rsidR="00F61C2C" w:rsidRPr="006C39BB" w:rsidRDefault="00F61C2C" w:rsidP="00F61C2C">
      <w:pPr>
        <w:autoSpaceDE w:val="0"/>
        <w:autoSpaceDN w:val="0"/>
        <w:adjustRightInd w:val="0"/>
        <w:rPr>
          <w:rFonts w:cs="Arial"/>
          <w:bCs/>
        </w:rPr>
      </w:pPr>
      <w:r w:rsidRPr="00720E7D">
        <w:rPr>
          <w:rFonts w:cs="Arial"/>
          <w:bCs/>
        </w:rPr>
        <w:t xml:space="preserve">Progress with delivering </w:t>
      </w:r>
      <w:r>
        <w:rPr>
          <w:rFonts w:cs="Arial"/>
          <w:bCs/>
        </w:rPr>
        <w:t>our</w:t>
      </w:r>
      <w:r w:rsidRPr="00720E7D">
        <w:rPr>
          <w:rFonts w:cs="Arial"/>
          <w:bCs/>
        </w:rPr>
        <w:t xml:space="preserve"> Business Plan</w:t>
      </w:r>
      <w:r>
        <w:rPr>
          <w:rFonts w:cs="Arial"/>
          <w:bCs/>
        </w:rPr>
        <w:t>,</w:t>
      </w:r>
      <w:r w:rsidRPr="00720E7D">
        <w:rPr>
          <w:rFonts w:cs="Arial"/>
          <w:bCs/>
        </w:rPr>
        <w:t xml:space="preserve"> and </w:t>
      </w:r>
      <w:r>
        <w:rPr>
          <w:rFonts w:cs="Arial"/>
          <w:bCs/>
        </w:rPr>
        <w:t xml:space="preserve">the </w:t>
      </w:r>
      <w:r w:rsidRPr="00720E7D">
        <w:rPr>
          <w:rFonts w:cs="Arial"/>
          <w:bCs/>
        </w:rPr>
        <w:t xml:space="preserve">management of </w:t>
      </w:r>
      <w:r>
        <w:rPr>
          <w:rFonts w:cs="Arial"/>
          <w:bCs/>
        </w:rPr>
        <w:t>key</w:t>
      </w:r>
      <w:r w:rsidRPr="00720E7D">
        <w:rPr>
          <w:rFonts w:cs="Arial"/>
          <w:bCs/>
        </w:rPr>
        <w:t xml:space="preserve"> risks</w:t>
      </w:r>
      <w:r>
        <w:rPr>
          <w:rFonts w:cs="Arial"/>
          <w:bCs/>
        </w:rPr>
        <w:t>,</w:t>
      </w:r>
      <w:r w:rsidRPr="00720E7D">
        <w:rPr>
          <w:rFonts w:cs="Arial"/>
          <w:bCs/>
        </w:rPr>
        <w:t xml:space="preserve"> </w:t>
      </w:r>
      <w:r>
        <w:rPr>
          <w:rFonts w:cs="Arial"/>
          <w:bCs/>
        </w:rPr>
        <w:t>is</w:t>
      </w:r>
      <w:r w:rsidRPr="00720E7D">
        <w:rPr>
          <w:rFonts w:cs="Arial"/>
          <w:bCs/>
        </w:rPr>
        <w:t xml:space="preserve"> </w:t>
      </w:r>
      <w:r w:rsidRPr="00164C63">
        <w:rPr>
          <w:rFonts w:cs="Arial"/>
          <w:bCs/>
        </w:rPr>
        <w:t>informally reviewed by t</w:t>
      </w:r>
      <w:r w:rsidRPr="00720E7D">
        <w:rPr>
          <w:rFonts w:cs="Arial"/>
          <w:bCs/>
        </w:rPr>
        <w:t>he Strategic Leadership Team each month</w:t>
      </w:r>
      <w:r w:rsidRPr="00164C63">
        <w:rPr>
          <w:rFonts w:cs="Arial"/>
          <w:bCs/>
        </w:rPr>
        <w:t>; and a</w:t>
      </w:r>
      <w:r w:rsidRPr="00720E7D">
        <w:rPr>
          <w:rFonts w:cs="Arial"/>
          <w:bCs/>
        </w:rPr>
        <w:t xml:space="preserve"> formal Performance and Risk Monitoring Report </w:t>
      </w:r>
      <w:r>
        <w:rPr>
          <w:rFonts w:cs="Arial"/>
          <w:bCs/>
        </w:rPr>
        <w:t>i</w:t>
      </w:r>
      <w:r w:rsidRPr="00720E7D">
        <w:rPr>
          <w:rFonts w:cs="Arial"/>
          <w:bCs/>
        </w:rPr>
        <w:t xml:space="preserve">s presented to Executive Board and </w:t>
      </w:r>
      <w:r>
        <w:rPr>
          <w:rFonts w:cs="Arial"/>
          <w:bCs/>
        </w:rPr>
        <w:t xml:space="preserve">to </w:t>
      </w:r>
      <w:r w:rsidRPr="00720E7D">
        <w:rPr>
          <w:rFonts w:cs="Arial"/>
          <w:bCs/>
        </w:rPr>
        <w:t>Resources Committee at the end of each quarter.</w:t>
      </w:r>
      <w:r w:rsidRPr="006C39BB">
        <w:rPr>
          <w:rFonts w:cs="Arial"/>
          <w:bCs/>
        </w:rPr>
        <w:t xml:space="preserve"> The</w:t>
      </w:r>
      <w:r>
        <w:rPr>
          <w:rFonts w:cs="Arial"/>
          <w:bCs/>
        </w:rPr>
        <w:t>se</w:t>
      </w:r>
      <w:r w:rsidRPr="006C39BB">
        <w:rPr>
          <w:rFonts w:cs="Arial"/>
          <w:bCs/>
        </w:rPr>
        <w:t xml:space="preserve"> quarterly </w:t>
      </w:r>
      <w:r>
        <w:rPr>
          <w:rFonts w:cs="Arial"/>
          <w:bCs/>
        </w:rPr>
        <w:t>monitoring r</w:t>
      </w:r>
      <w:r w:rsidRPr="006C39BB">
        <w:rPr>
          <w:rFonts w:cs="Arial"/>
          <w:bCs/>
        </w:rPr>
        <w:t>eports are available to view on our website.</w:t>
      </w:r>
    </w:p>
    <w:p w14:paraId="73998F98" w14:textId="77777777" w:rsidR="00F61C2C" w:rsidRDefault="00F61C2C" w:rsidP="00F61C2C">
      <w:pPr>
        <w:autoSpaceDE w:val="0"/>
        <w:autoSpaceDN w:val="0"/>
        <w:adjustRightInd w:val="0"/>
        <w:rPr>
          <w:rFonts w:cs="Arial"/>
          <w:bCs/>
        </w:rPr>
      </w:pPr>
    </w:p>
    <w:p w14:paraId="6526A6A3" w14:textId="77777777" w:rsidR="00F61C2C" w:rsidRDefault="00F61C2C" w:rsidP="00F61C2C">
      <w:pPr>
        <w:autoSpaceDE w:val="0"/>
        <w:autoSpaceDN w:val="0"/>
        <w:adjustRightInd w:val="0"/>
        <w:rPr>
          <w:rFonts w:cs="Arial"/>
          <w:bCs/>
        </w:rPr>
      </w:pPr>
      <w:r>
        <w:rPr>
          <w:rFonts w:cs="Arial"/>
          <w:bCs/>
        </w:rPr>
        <w:t>Performance reports include updates on the following elements, with more detailed analysis provided where we are not on track:</w:t>
      </w:r>
    </w:p>
    <w:p w14:paraId="16D3B520" w14:textId="77777777" w:rsidR="00F61C2C" w:rsidRDefault="00F61C2C" w:rsidP="00F61C2C">
      <w:pPr>
        <w:numPr>
          <w:ilvl w:val="0"/>
          <w:numId w:val="30"/>
        </w:numPr>
        <w:autoSpaceDE w:val="0"/>
        <w:autoSpaceDN w:val="0"/>
        <w:adjustRightInd w:val="0"/>
        <w:rPr>
          <w:rFonts w:cs="Arial"/>
          <w:bCs/>
        </w:rPr>
      </w:pPr>
      <w:r>
        <w:rPr>
          <w:rFonts w:cs="Arial"/>
          <w:bCs/>
        </w:rPr>
        <w:t>delivery of Business Plan actions</w:t>
      </w:r>
    </w:p>
    <w:p w14:paraId="52D85468" w14:textId="77777777" w:rsidR="00F61C2C" w:rsidRDefault="00F61C2C" w:rsidP="00F61C2C">
      <w:pPr>
        <w:numPr>
          <w:ilvl w:val="0"/>
          <w:numId w:val="30"/>
        </w:numPr>
        <w:autoSpaceDE w:val="0"/>
        <w:autoSpaceDN w:val="0"/>
        <w:adjustRightInd w:val="0"/>
        <w:rPr>
          <w:rFonts w:cs="Arial"/>
          <w:bCs/>
        </w:rPr>
      </w:pPr>
      <w:r w:rsidRPr="00D076C8">
        <w:rPr>
          <w:rFonts w:cs="Arial"/>
          <w:bCs/>
        </w:rPr>
        <w:t>management of key corporate risks</w:t>
      </w:r>
    </w:p>
    <w:p w14:paraId="502AF412" w14:textId="77777777" w:rsidR="00F61C2C" w:rsidRDefault="00F61C2C" w:rsidP="00F61C2C">
      <w:pPr>
        <w:numPr>
          <w:ilvl w:val="0"/>
          <w:numId w:val="30"/>
        </w:numPr>
        <w:autoSpaceDE w:val="0"/>
        <w:autoSpaceDN w:val="0"/>
        <w:adjustRightInd w:val="0"/>
        <w:rPr>
          <w:rFonts w:cs="Arial"/>
          <w:bCs/>
        </w:rPr>
      </w:pPr>
      <w:r>
        <w:rPr>
          <w:rFonts w:cs="Arial"/>
          <w:bCs/>
        </w:rPr>
        <w:t xml:space="preserve">management of key </w:t>
      </w:r>
      <w:r w:rsidRPr="00D076C8">
        <w:rPr>
          <w:rFonts w:cs="Arial"/>
          <w:bCs/>
        </w:rPr>
        <w:t>risks to delivering the Business Plan</w:t>
      </w:r>
    </w:p>
    <w:p w14:paraId="1AE22BA9" w14:textId="77777777" w:rsidR="00F61C2C" w:rsidRPr="0001009E" w:rsidRDefault="00F61C2C" w:rsidP="00F61C2C">
      <w:pPr>
        <w:numPr>
          <w:ilvl w:val="0"/>
          <w:numId w:val="30"/>
        </w:numPr>
        <w:autoSpaceDE w:val="0"/>
        <w:autoSpaceDN w:val="0"/>
        <w:adjustRightInd w:val="0"/>
        <w:rPr>
          <w:rFonts w:cs="Arial"/>
          <w:bCs/>
        </w:rPr>
      </w:pPr>
      <w:r w:rsidRPr="0001009E">
        <w:rPr>
          <w:rFonts w:cs="Arial"/>
          <w:bCs/>
        </w:rPr>
        <w:t xml:space="preserve">overall service performance </w:t>
      </w:r>
    </w:p>
    <w:p w14:paraId="71B1B30E" w14:textId="77777777" w:rsidR="00F61C2C" w:rsidRDefault="00F61C2C" w:rsidP="00F61C2C">
      <w:pPr>
        <w:autoSpaceDE w:val="0"/>
        <w:autoSpaceDN w:val="0"/>
        <w:adjustRightInd w:val="0"/>
        <w:rPr>
          <w:rFonts w:cs="Arial"/>
          <w:bCs/>
        </w:rPr>
      </w:pPr>
    </w:p>
    <w:p w14:paraId="492F16EC" w14:textId="77777777" w:rsidR="00F61C2C" w:rsidRDefault="00F61C2C" w:rsidP="00F61C2C">
      <w:pPr>
        <w:autoSpaceDE w:val="0"/>
        <w:autoSpaceDN w:val="0"/>
        <w:adjustRightInd w:val="0"/>
      </w:pPr>
      <w:r>
        <w:rPr>
          <w:rFonts w:cs="Arial"/>
          <w:bCs/>
        </w:rPr>
        <w:t>We no longer include performance indicators in our Business Plan. Instead, we have a much broader suite of key performance indicators which are monitored at service level.</w:t>
      </w:r>
    </w:p>
    <w:p w14:paraId="2E8F38DF" w14:textId="77777777" w:rsidR="00F61C2C" w:rsidRDefault="00F61C2C" w:rsidP="00F61C2C">
      <w:pPr>
        <w:autoSpaceDE w:val="0"/>
        <w:autoSpaceDN w:val="0"/>
        <w:adjustRightInd w:val="0"/>
      </w:pPr>
    </w:p>
    <w:p w14:paraId="47859462" w14:textId="77777777" w:rsidR="00F61C2C" w:rsidRDefault="00F61C2C" w:rsidP="00F61C2C">
      <w:pPr>
        <w:autoSpaceDE w:val="0"/>
        <w:autoSpaceDN w:val="0"/>
        <w:adjustRightInd w:val="0"/>
        <w:rPr>
          <w:rFonts w:cs="Arial"/>
          <w:bCs/>
        </w:rPr>
      </w:pPr>
      <w:r>
        <w:rPr>
          <w:rFonts w:cs="Arial"/>
          <w:bCs/>
        </w:rPr>
        <w:t>Heads of Service base their assessment of overall service performance on:</w:t>
      </w:r>
    </w:p>
    <w:p w14:paraId="6A9A577B" w14:textId="77777777" w:rsidR="00F61C2C" w:rsidRDefault="00F61C2C" w:rsidP="00F61C2C">
      <w:pPr>
        <w:numPr>
          <w:ilvl w:val="0"/>
          <w:numId w:val="31"/>
        </w:numPr>
        <w:autoSpaceDE w:val="0"/>
        <w:autoSpaceDN w:val="0"/>
        <w:adjustRightInd w:val="0"/>
        <w:rPr>
          <w:rFonts w:cs="Arial"/>
          <w:bCs/>
        </w:rPr>
      </w:pPr>
      <w:r w:rsidRPr="009955C9">
        <w:rPr>
          <w:rFonts w:cs="Arial"/>
          <w:bCs/>
        </w:rPr>
        <w:t>Service</w:t>
      </w:r>
      <w:r>
        <w:rPr>
          <w:rFonts w:cs="Arial"/>
          <w:bCs/>
        </w:rPr>
        <w:t xml:space="preserve"> Plan delivery</w:t>
      </w:r>
    </w:p>
    <w:p w14:paraId="3E1AE865" w14:textId="77777777" w:rsidR="00F61C2C" w:rsidRDefault="00F61C2C" w:rsidP="00F61C2C">
      <w:pPr>
        <w:numPr>
          <w:ilvl w:val="0"/>
          <w:numId w:val="31"/>
        </w:numPr>
        <w:autoSpaceDE w:val="0"/>
        <w:autoSpaceDN w:val="0"/>
        <w:adjustRightInd w:val="0"/>
        <w:ind w:left="782" w:hanging="357"/>
        <w:rPr>
          <w:rFonts w:cs="Arial"/>
          <w:bCs/>
        </w:rPr>
      </w:pPr>
      <w:r>
        <w:rPr>
          <w:rFonts w:cs="Arial"/>
          <w:bCs/>
        </w:rPr>
        <w:t>performance against targets for their</w:t>
      </w:r>
      <w:r w:rsidRPr="009955C9">
        <w:rPr>
          <w:rFonts w:cs="Arial"/>
          <w:bCs/>
        </w:rPr>
        <w:t xml:space="preserve"> se</w:t>
      </w:r>
      <w:r>
        <w:rPr>
          <w:rFonts w:cs="Arial"/>
          <w:bCs/>
        </w:rPr>
        <w:t>t of key performance indicators</w:t>
      </w:r>
    </w:p>
    <w:p w14:paraId="295234F2" w14:textId="77777777" w:rsidR="00F61C2C" w:rsidRDefault="00F61C2C" w:rsidP="00F61C2C">
      <w:pPr>
        <w:numPr>
          <w:ilvl w:val="0"/>
          <w:numId w:val="31"/>
        </w:numPr>
        <w:autoSpaceDE w:val="0"/>
        <w:autoSpaceDN w:val="0"/>
        <w:adjustRightInd w:val="0"/>
        <w:rPr>
          <w:rFonts w:cs="Arial"/>
          <w:bCs/>
        </w:rPr>
      </w:pPr>
      <w:r>
        <w:rPr>
          <w:rFonts w:cs="Arial"/>
          <w:bCs/>
        </w:rPr>
        <w:t>management of service risks</w:t>
      </w:r>
    </w:p>
    <w:p w14:paraId="51C601FA" w14:textId="77777777" w:rsidR="00F61C2C" w:rsidRDefault="00F61C2C" w:rsidP="00F61C2C">
      <w:pPr>
        <w:numPr>
          <w:ilvl w:val="0"/>
          <w:numId w:val="31"/>
        </w:numPr>
        <w:autoSpaceDE w:val="0"/>
        <w:autoSpaceDN w:val="0"/>
        <w:adjustRightInd w:val="0"/>
        <w:rPr>
          <w:rFonts w:cs="Arial"/>
          <w:bCs/>
        </w:rPr>
      </w:pPr>
      <w:r>
        <w:rPr>
          <w:rFonts w:cs="Arial"/>
          <w:bCs/>
        </w:rPr>
        <w:t>budgetary position</w:t>
      </w:r>
    </w:p>
    <w:p w14:paraId="3446BA66" w14:textId="77777777" w:rsidR="00F61C2C" w:rsidRPr="00ED2D62" w:rsidRDefault="00F61C2C" w:rsidP="00F61C2C">
      <w:pPr>
        <w:autoSpaceDE w:val="0"/>
        <w:autoSpaceDN w:val="0"/>
        <w:adjustRightInd w:val="0"/>
      </w:pPr>
    </w:p>
    <w:p w14:paraId="1869A815" w14:textId="77777777" w:rsidR="00F61C2C" w:rsidRPr="001D2210" w:rsidRDefault="00F61C2C" w:rsidP="00F61C2C">
      <w:pPr>
        <w:autoSpaceDE w:val="0"/>
        <w:autoSpaceDN w:val="0"/>
        <w:adjustRightInd w:val="0"/>
        <w:rPr>
          <w:b/>
          <w:bCs/>
        </w:rPr>
      </w:pPr>
      <w:r w:rsidRPr="001D2210">
        <w:rPr>
          <w:b/>
          <w:bCs/>
        </w:rPr>
        <w:t xml:space="preserve">2022/23 </w:t>
      </w:r>
      <w:r>
        <w:rPr>
          <w:b/>
          <w:bCs/>
        </w:rPr>
        <w:t>P</w:t>
      </w:r>
      <w:r w:rsidRPr="001D2210">
        <w:rPr>
          <w:b/>
          <w:bCs/>
        </w:rPr>
        <w:t>erformance</w:t>
      </w:r>
      <w:r>
        <w:rPr>
          <w:b/>
          <w:bCs/>
        </w:rPr>
        <w:t xml:space="preserve"> and Risk Management – key points</w:t>
      </w:r>
    </w:p>
    <w:p w14:paraId="2861FCFB" w14:textId="77777777" w:rsidR="00F61C2C" w:rsidRPr="00ED2D62" w:rsidRDefault="00F61C2C" w:rsidP="00F61C2C">
      <w:pPr>
        <w:autoSpaceDE w:val="0"/>
        <w:autoSpaceDN w:val="0"/>
        <w:adjustRightInd w:val="0"/>
      </w:pPr>
    </w:p>
    <w:p w14:paraId="5232EA5F" w14:textId="77777777" w:rsidR="00F61C2C" w:rsidRPr="009C6EC3" w:rsidRDefault="00F61C2C" w:rsidP="00F61C2C">
      <w:pPr>
        <w:autoSpaceDE w:val="0"/>
        <w:autoSpaceDN w:val="0"/>
        <w:adjustRightInd w:val="0"/>
        <w:ind w:firstLine="360"/>
        <w:rPr>
          <w:b/>
          <w:bCs/>
        </w:rPr>
      </w:pPr>
      <w:r w:rsidRPr="009C6EC3">
        <w:rPr>
          <w:b/>
          <w:bCs/>
        </w:rPr>
        <w:t xml:space="preserve">Business Plan </w:t>
      </w:r>
      <w:r>
        <w:rPr>
          <w:b/>
          <w:bCs/>
        </w:rPr>
        <w:t>actions</w:t>
      </w:r>
    </w:p>
    <w:p w14:paraId="06561967" w14:textId="77777777" w:rsidR="00F61C2C" w:rsidRPr="0001009E" w:rsidRDefault="00F61C2C" w:rsidP="00F61C2C">
      <w:pPr>
        <w:numPr>
          <w:ilvl w:val="0"/>
          <w:numId w:val="22"/>
        </w:numPr>
        <w:autoSpaceDE w:val="0"/>
        <w:autoSpaceDN w:val="0"/>
        <w:adjustRightInd w:val="0"/>
        <w:spacing w:after="40"/>
        <w:ind w:left="714" w:hanging="357"/>
        <w:rPr>
          <w:bCs/>
        </w:rPr>
      </w:pPr>
      <w:r w:rsidRPr="0001009E">
        <w:rPr>
          <w:bCs/>
        </w:rPr>
        <w:t>The revised 2022-2025 Business Plan detail</w:t>
      </w:r>
      <w:r>
        <w:rPr>
          <w:bCs/>
        </w:rPr>
        <w:t>ed</w:t>
      </w:r>
      <w:r w:rsidRPr="0001009E">
        <w:rPr>
          <w:bCs/>
        </w:rPr>
        <w:t xml:space="preserve"> 19 key actions which contribute to our priorities for the Lake District. </w:t>
      </w:r>
      <w:r>
        <w:rPr>
          <w:bCs/>
        </w:rPr>
        <w:t>Sixteen</w:t>
      </w:r>
      <w:r w:rsidRPr="0001009E">
        <w:rPr>
          <w:bCs/>
        </w:rPr>
        <w:t xml:space="preserve"> </w:t>
      </w:r>
      <w:r>
        <w:rPr>
          <w:bCs/>
        </w:rPr>
        <w:t xml:space="preserve">of these </w:t>
      </w:r>
      <w:r w:rsidRPr="0001009E">
        <w:rPr>
          <w:bCs/>
        </w:rPr>
        <w:t xml:space="preserve">actions (84 per cent) showed a green / ‘complete’ status at the year end, as the planned work for 2022/23 had been </w:t>
      </w:r>
      <w:r w:rsidRPr="0001009E">
        <w:rPr>
          <w:bCs/>
        </w:rPr>
        <w:lastRenderedPageBreak/>
        <w:t xml:space="preserve">substantially delivered. </w:t>
      </w:r>
      <w:r>
        <w:rPr>
          <w:bCs/>
        </w:rPr>
        <w:t>Three</w:t>
      </w:r>
      <w:r w:rsidRPr="0001009E">
        <w:rPr>
          <w:bCs/>
        </w:rPr>
        <w:t xml:space="preserve"> actions (16 per cent) showed a red / ‘not complete’ status</w:t>
      </w:r>
      <w:r>
        <w:rPr>
          <w:bCs/>
        </w:rPr>
        <w:t>;</w:t>
      </w:r>
      <w:r w:rsidRPr="0001009E">
        <w:rPr>
          <w:bCs/>
        </w:rPr>
        <w:t xml:space="preserve"> </w:t>
      </w:r>
      <w:r>
        <w:rPr>
          <w:bCs/>
        </w:rPr>
        <w:t>t</w:t>
      </w:r>
      <w:r w:rsidRPr="0001009E">
        <w:rPr>
          <w:bCs/>
        </w:rPr>
        <w:t xml:space="preserve">he elements of work which had not been completed were either rolled forward to 2023/24 or alternative plans </w:t>
      </w:r>
      <w:r>
        <w:rPr>
          <w:bCs/>
        </w:rPr>
        <w:t xml:space="preserve">have been </w:t>
      </w:r>
      <w:r w:rsidRPr="0001009E">
        <w:rPr>
          <w:bCs/>
        </w:rPr>
        <w:t>put in place.</w:t>
      </w:r>
    </w:p>
    <w:p w14:paraId="3019448F" w14:textId="77777777" w:rsidR="00F61C2C" w:rsidRPr="00912696" w:rsidRDefault="00F61C2C" w:rsidP="00F61C2C">
      <w:pPr>
        <w:numPr>
          <w:ilvl w:val="0"/>
          <w:numId w:val="22"/>
        </w:numPr>
        <w:autoSpaceDE w:val="0"/>
        <w:autoSpaceDN w:val="0"/>
        <w:adjustRightInd w:val="0"/>
      </w:pPr>
      <w:r w:rsidRPr="00C92CBF">
        <w:rPr>
          <w:bCs/>
        </w:rPr>
        <w:t xml:space="preserve">The Business Plan </w:t>
      </w:r>
      <w:r>
        <w:rPr>
          <w:bCs/>
        </w:rPr>
        <w:t>also detailed</w:t>
      </w:r>
      <w:r w:rsidRPr="00C92CBF">
        <w:rPr>
          <w:bCs/>
        </w:rPr>
        <w:t xml:space="preserve"> 15 additional key actions to be taken by services in 2022/23 to help achieve their service objectives. Thirteen </w:t>
      </w:r>
      <w:r>
        <w:rPr>
          <w:bCs/>
        </w:rPr>
        <w:t xml:space="preserve">of these </w:t>
      </w:r>
      <w:r w:rsidRPr="00C92CBF">
        <w:rPr>
          <w:bCs/>
        </w:rPr>
        <w:t>actions (87 per cent) showed a green / ‘complete’ status</w:t>
      </w:r>
      <w:r>
        <w:rPr>
          <w:bCs/>
        </w:rPr>
        <w:t xml:space="preserve"> at the year end</w:t>
      </w:r>
      <w:r w:rsidRPr="00C92CBF">
        <w:rPr>
          <w:bCs/>
        </w:rPr>
        <w:t>. Two actions (13 per cent) showed a red status; one was marked as ‘not complete’</w:t>
      </w:r>
      <w:r>
        <w:rPr>
          <w:bCs/>
        </w:rPr>
        <w:t>,</w:t>
      </w:r>
      <w:r w:rsidRPr="00C92CBF">
        <w:rPr>
          <w:bCs/>
        </w:rPr>
        <w:t xml:space="preserve"> </w:t>
      </w:r>
      <w:r>
        <w:rPr>
          <w:bCs/>
        </w:rPr>
        <w:t xml:space="preserve">with </w:t>
      </w:r>
      <w:r w:rsidRPr="00C92CBF">
        <w:rPr>
          <w:bCs/>
        </w:rPr>
        <w:t xml:space="preserve">the </w:t>
      </w:r>
      <w:r>
        <w:rPr>
          <w:bCs/>
        </w:rPr>
        <w:t xml:space="preserve">outstanding </w:t>
      </w:r>
      <w:r w:rsidRPr="00C92CBF">
        <w:rPr>
          <w:bCs/>
        </w:rPr>
        <w:t xml:space="preserve">work rolled forward to </w:t>
      </w:r>
      <w:r>
        <w:rPr>
          <w:bCs/>
        </w:rPr>
        <w:t xml:space="preserve">quarter one of </w:t>
      </w:r>
      <w:r w:rsidRPr="00C92CBF">
        <w:rPr>
          <w:bCs/>
        </w:rPr>
        <w:t>2023/24</w:t>
      </w:r>
      <w:r>
        <w:rPr>
          <w:bCs/>
        </w:rPr>
        <w:t>. Th</w:t>
      </w:r>
      <w:r w:rsidRPr="00C92CBF">
        <w:rPr>
          <w:bCs/>
        </w:rPr>
        <w:t xml:space="preserve">e other </w:t>
      </w:r>
      <w:r>
        <w:rPr>
          <w:bCs/>
        </w:rPr>
        <w:t xml:space="preserve">red </w:t>
      </w:r>
      <w:r w:rsidRPr="00C92CBF">
        <w:rPr>
          <w:bCs/>
        </w:rPr>
        <w:t xml:space="preserve">action was marked as ‘in progress’ as completion of the work </w:t>
      </w:r>
      <w:r>
        <w:rPr>
          <w:bCs/>
        </w:rPr>
        <w:t>will be</w:t>
      </w:r>
      <w:r w:rsidRPr="00C92CBF">
        <w:rPr>
          <w:bCs/>
        </w:rPr>
        <w:t xml:space="preserve"> more long term and will continue into </w:t>
      </w:r>
      <w:r>
        <w:rPr>
          <w:bCs/>
        </w:rPr>
        <w:t xml:space="preserve">and beyond </w:t>
      </w:r>
      <w:r w:rsidRPr="00C92CBF">
        <w:rPr>
          <w:bCs/>
        </w:rPr>
        <w:t>2023/24</w:t>
      </w:r>
      <w:r>
        <w:t>.</w:t>
      </w:r>
    </w:p>
    <w:p w14:paraId="5467E802" w14:textId="77777777" w:rsidR="00F61C2C" w:rsidRPr="009C6EC3" w:rsidRDefault="00F61C2C" w:rsidP="00F61C2C">
      <w:pPr>
        <w:autoSpaceDE w:val="0"/>
        <w:autoSpaceDN w:val="0"/>
        <w:adjustRightInd w:val="0"/>
        <w:rPr>
          <w:b/>
        </w:rPr>
      </w:pPr>
    </w:p>
    <w:p w14:paraId="313C6833" w14:textId="77777777" w:rsidR="00F61C2C" w:rsidRPr="000C7348" w:rsidRDefault="00F61C2C" w:rsidP="00F61C2C">
      <w:pPr>
        <w:autoSpaceDE w:val="0"/>
        <w:autoSpaceDN w:val="0"/>
        <w:adjustRightInd w:val="0"/>
        <w:ind w:firstLine="360"/>
        <w:rPr>
          <w:b/>
        </w:rPr>
      </w:pPr>
      <w:r>
        <w:rPr>
          <w:b/>
        </w:rPr>
        <w:t xml:space="preserve">Business Plan and Corporate </w:t>
      </w:r>
      <w:r w:rsidRPr="000C7348">
        <w:rPr>
          <w:b/>
        </w:rPr>
        <w:t>Risks</w:t>
      </w:r>
    </w:p>
    <w:p w14:paraId="75762D56" w14:textId="77777777" w:rsidR="00F61C2C" w:rsidRDefault="00F61C2C" w:rsidP="00F61C2C">
      <w:pPr>
        <w:numPr>
          <w:ilvl w:val="0"/>
          <w:numId w:val="32"/>
        </w:numPr>
        <w:autoSpaceDE w:val="0"/>
        <w:autoSpaceDN w:val="0"/>
        <w:adjustRightInd w:val="0"/>
        <w:spacing w:after="40"/>
        <w:ind w:left="714" w:hanging="357"/>
      </w:pPr>
      <w:r w:rsidRPr="00BB6834">
        <w:t xml:space="preserve">There were </w:t>
      </w:r>
      <w:r>
        <w:t>eight</w:t>
      </w:r>
      <w:r w:rsidRPr="004E0056">
        <w:t xml:space="preserve"> corporate risks </w:t>
      </w:r>
      <w:r>
        <w:t>and eight</w:t>
      </w:r>
      <w:r w:rsidRPr="00BB6834">
        <w:t xml:space="preserve"> </w:t>
      </w:r>
      <w:r>
        <w:t xml:space="preserve">risks to delivering the </w:t>
      </w:r>
      <w:r w:rsidRPr="00BB6834">
        <w:t xml:space="preserve">Business Plan </w:t>
      </w:r>
      <w:r>
        <w:t xml:space="preserve">which were being monitored in the corporate Risk Register at the year end. </w:t>
      </w:r>
    </w:p>
    <w:p w14:paraId="51B64104" w14:textId="77777777" w:rsidR="00F61C2C" w:rsidRDefault="00F61C2C" w:rsidP="00F61C2C">
      <w:pPr>
        <w:numPr>
          <w:ilvl w:val="0"/>
          <w:numId w:val="32"/>
        </w:numPr>
        <w:autoSpaceDE w:val="0"/>
        <w:autoSpaceDN w:val="0"/>
        <w:adjustRightInd w:val="0"/>
        <w:spacing w:after="40"/>
        <w:ind w:left="714" w:hanging="357"/>
      </w:pPr>
      <w:r>
        <w:t>Three of these risks had a risk score above 10, with one at a critical level and two at medium. The critical level risk ‘Development Management – Enforcement’ was assessed as having a red status. Of the medium level risks, the ‘Development Management – Planning Applications’ risk was amber; and the risk relating to the ‘Special Area of Conservation Planning Review’ was green.</w:t>
      </w:r>
    </w:p>
    <w:p w14:paraId="57E90B32" w14:textId="77777777" w:rsidR="00F61C2C" w:rsidRDefault="00F61C2C" w:rsidP="00F61C2C">
      <w:pPr>
        <w:numPr>
          <w:ilvl w:val="0"/>
          <w:numId w:val="32"/>
        </w:numPr>
        <w:autoSpaceDE w:val="0"/>
        <w:autoSpaceDN w:val="0"/>
        <w:adjustRightInd w:val="0"/>
      </w:pPr>
      <w:r>
        <w:t>All Business Plan and corporate risks are</w:t>
      </w:r>
      <w:r w:rsidRPr="005D38A7">
        <w:rPr>
          <w:bCs/>
          <w:spacing w:val="-2"/>
        </w:rPr>
        <w:t xml:space="preserve"> supported by a set of mitigation actions itemised </w:t>
      </w:r>
      <w:r>
        <w:rPr>
          <w:bCs/>
          <w:spacing w:val="-2"/>
        </w:rPr>
        <w:t>with</w:t>
      </w:r>
      <w:r w:rsidRPr="005D38A7">
        <w:rPr>
          <w:bCs/>
          <w:spacing w:val="-2"/>
        </w:rPr>
        <w:t>in the Business Plan and / or Service Plans, with necessary resources aligned to these</w:t>
      </w:r>
      <w:r>
        <w:rPr>
          <w:bCs/>
          <w:spacing w:val="-2"/>
        </w:rPr>
        <w:t>.</w:t>
      </w:r>
    </w:p>
    <w:p w14:paraId="225F67B7" w14:textId="77777777" w:rsidR="00F61C2C" w:rsidRDefault="00F61C2C" w:rsidP="00F61C2C">
      <w:pPr>
        <w:autoSpaceDE w:val="0"/>
        <w:autoSpaceDN w:val="0"/>
        <w:adjustRightInd w:val="0"/>
        <w:ind w:firstLine="360"/>
        <w:rPr>
          <w:b/>
        </w:rPr>
      </w:pPr>
    </w:p>
    <w:p w14:paraId="411A9632" w14:textId="77777777" w:rsidR="00F61C2C" w:rsidRPr="00D04D33" w:rsidRDefault="00F61C2C" w:rsidP="00F61C2C">
      <w:pPr>
        <w:autoSpaceDE w:val="0"/>
        <w:autoSpaceDN w:val="0"/>
        <w:adjustRightInd w:val="0"/>
        <w:ind w:firstLine="360"/>
        <w:rPr>
          <w:b/>
        </w:rPr>
      </w:pPr>
      <w:r>
        <w:rPr>
          <w:b/>
        </w:rPr>
        <w:t xml:space="preserve">Overall </w:t>
      </w:r>
      <w:r w:rsidRPr="00D04D33">
        <w:rPr>
          <w:b/>
        </w:rPr>
        <w:t>Service Performance</w:t>
      </w:r>
    </w:p>
    <w:p w14:paraId="3400D747" w14:textId="77777777" w:rsidR="00F61C2C" w:rsidRDefault="00F61C2C" w:rsidP="00F61C2C">
      <w:pPr>
        <w:numPr>
          <w:ilvl w:val="0"/>
          <w:numId w:val="22"/>
        </w:numPr>
        <w:autoSpaceDE w:val="0"/>
        <w:autoSpaceDN w:val="0"/>
        <w:adjustRightInd w:val="0"/>
        <w:spacing w:after="40"/>
        <w:ind w:left="714" w:hanging="357"/>
      </w:pPr>
      <w:r>
        <w:t>Commentary on overall service performance at the end of the year was provided by each Head of Service and will be reported to Resources Committee in May 2023.</w:t>
      </w:r>
    </w:p>
    <w:p w14:paraId="1F4F93D7" w14:textId="77777777" w:rsidR="00F61C2C" w:rsidRDefault="00F61C2C" w:rsidP="00F61C2C">
      <w:pPr>
        <w:numPr>
          <w:ilvl w:val="0"/>
          <w:numId w:val="22"/>
        </w:numPr>
        <w:autoSpaceDE w:val="0"/>
        <w:autoSpaceDN w:val="0"/>
        <w:adjustRightInd w:val="0"/>
        <w:spacing w:after="40"/>
        <w:ind w:left="714" w:hanging="357"/>
      </w:pPr>
      <w:r>
        <w:t>Four service areas reported a green status.</w:t>
      </w:r>
    </w:p>
    <w:p w14:paraId="4AE758CD" w14:textId="77777777" w:rsidR="00F61C2C" w:rsidRDefault="00F61C2C" w:rsidP="00F61C2C">
      <w:pPr>
        <w:numPr>
          <w:ilvl w:val="0"/>
          <w:numId w:val="22"/>
        </w:numPr>
        <w:autoSpaceDE w:val="0"/>
        <w:autoSpaceDN w:val="0"/>
        <w:adjustRightInd w:val="0"/>
        <w:spacing w:after="40"/>
        <w:ind w:left="714" w:hanging="357"/>
      </w:pPr>
      <w:r>
        <w:t xml:space="preserve">Development Management reported a red status as </w:t>
      </w:r>
      <w:r w:rsidRPr="00BB731A">
        <w:t xml:space="preserve">Service </w:t>
      </w:r>
      <w:r>
        <w:t>P</w:t>
      </w:r>
      <w:r w:rsidRPr="00BB731A">
        <w:t xml:space="preserve">lan delivery </w:t>
      </w:r>
      <w:r>
        <w:t xml:space="preserve">is </w:t>
      </w:r>
      <w:r w:rsidRPr="00BB731A">
        <w:t>continu</w:t>
      </w:r>
      <w:r>
        <w:t>ing</w:t>
      </w:r>
      <w:r w:rsidRPr="00BB731A">
        <w:t xml:space="preserve"> to present challenges</w:t>
      </w:r>
      <w:r>
        <w:t xml:space="preserve">. This is due to a </w:t>
      </w:r>
      <w:r w:rsidRPr="00BB731A">
        <w:t>backlog of applications and compliance cases accumulated in early 2021</w:t>
      </w:r>
      <w:r>
        <w:t xml:space="preserve"> </w:t>
      </w:r>
      <w:r w:rsidRPr="00BB731A">
        <w:t>/</w:t>
      </w:r>
      <w:r>
        <w:t xml:space="preserve"> </w:t>
      </w:r>
      <w:r w:rsidRPr="00BB731A">
        <w:t xml:space="preserve">late 2022 for reasons including the pandemic and staffing pressures. </w:t>
      </w:r>
      <w:r>
        <w:t>During the year there was significant improvement in some areas of the service; h</w:t>
      </w:r>
      <w:r w:rsidRPr="008504CF">
        <w:t>owever, pre-application advice services remain largely suspended; and enforcement services, although improving, remain stretched</w:t>
      </w:r>
      <w:r>
        <w:t>.</w:t>
      </w:r>
      <w:r w:rsidRPr="008504CF">
        <w:t xml:space="preserve"> We will be developing a further enforcement action plan for 2023/24</w:t>
      </w:r>
      <w:r>
        <w:t>.</w:t>
      </w:r>
    </w:p>
    <w:p w14:paraId="28468512" w14:textId="77777777" w:rsidR="00F61C2C" w:rsidRPr="00BB731A" w:rsidRDefault="00F61C2C" w:rsidP="00F61C2C">
      <w:pPr>
        <w:numPr>
          <w:ilvl w:val="0"/>
          <w:numId w:val="22"/>
        </w:numPr>
        <w:autoSpaceDE w:val="0"/>
        <w:autoSpaceDN w:val="0"/>
        <w:adjustRightInd w:val="0"/>
        <w:spacing w:after="40"/>
        <w:ind w:left="714" w:hanging="357"/>
      </w:pPr>
      <w:r w:rsidRPr="00AE3391">
        <w:t xml:space="preserve">The table below shows the status reported by each service area, </w:t>
      </w:r>
      <w:r>
        <w:t xml:space="preserve">compared to </w:t>
      </w:r>
      <w:r w:rsidRPr="00AE3391">
        <w:t xml:space="preserve">that </w:t>
      </w:r>
      <w:r>
        <w:t xml:space="preserve">reported </w:t>
      </w:r>
      <w:r w:rsidRPr="00AE3391">
        <w:t>at the end of the previous year.</w:t>
      </w:r>
    </w:p>
    <w:p w14:paraId="346BB9CA" w14:textId="77777777" w:rsidR="00F61C2C" w:rsidRDefault="00F61C2C" w:rsidP="00F61C2C">
      <w:pPr>
        <w:autoSpaceDE w:val="0"/>
        <w:autoSpaceDN w:val="0"/>
        <w:adjustRightInd w:val="0"/>
      </w:pPr>
    </w:p>
    <w:tbl>
      <w:tblPr>
        <w:tblW w:w="481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954"/>
        <w:gridCol w:w="3669"/>
        <w:gridCol w:w="949"/>
      </w:tblGrid>
      <w:tr w:rsidR="00F61C2C" w:rsidRPr="001965DC" w14:paraId="0596862F" w14:textId="77777777" w:rsidTr="0004468D">
        <w:trPr>
          <w:trHeight w:val="397"/>
        </w:trPr>
        <w:tc>
          <w:tcPr>
            <w:tcW w:w="2464" w:type="pct"/>
            <w:gridSpan w:val="2"/>
            <w:tcBorders>
              <w:top w:val="single" w:sz="12" w:space="0" w:color="auto"/>
              <w:left w:val="single" w:sz="12" w:space="0" w:color="auto"/>
              <w:right w:val="single" w:sz="12" w:space="0" w:color="auto"/>
            </w:tcBorders>
            <w:shd w:val="clear" w:color="auto" w:fill="D9D9D9"/>
            <w:vAlign w:val="center"/>
          </w:tcPr>
          <w:p w14:paraId="23C34158" w14:textId="77777777" w:rsidR="00F61C2C" w:rsidRPr="001965DC" w:rsidRDefault="00F61C2C" w:rsidP="0004468D">
            <w:pPr>
              <w:autoSpaceDE w:val="0"/>
              <w:autoSpaceDN w:val="0"/>
              <w:adjustRightInd w:val="0"/>
              <w:rPr>
                <w:b/>
              </w:rPr>
            </w:pPr>
            <w:r>
              <w:rPr>
                <w:b/>
              </w:rPr>
              <w:t>March 2022 Overall Service Performance</w:t>
            </w:r>
          </w:p>
        </w:tc>
        <w:tc>
          <w:tcPr>
            <w:tcW w:w="2536" w:type="pct"/>
            <w:gridSpan w:val="2"/>
            <w:tcBorders>
              <w:top w:val="single" w:sz="12" w:space="0" w:color="auto"/>
              <w:left w:val="single" w:sz="12" w:space="0" w:color="auto"/>
              <w:right w:val="single" w:sz="12" w:space="0" w:color="auto"/>
            </w:tcBorders>
            <w:shd w:val="clear" w:color="auto" w:fill="D9D9D9"/>
            <w:vAlign w:val="center"/>
          </w:tcPr>
          <w:p w14:paraId="14AE80F9" w14:textId="77777777" w:rsidR="00F61C2C" w:rsidRDefault="00F61C2C" w:rsidP="0004468D">
            <w:pPr>
              <w:autoSpaceDE w:val="0"/>
              <w:autoSpaceDN w:val="0"/>
              <w:adjustRightInd w:val="0"/>
              <w:rPr>
                <w:b/>
              </w:rPr>
            </w:pPr>
            <w:r w:rsidRPr="00AB248A">
              <w:rPr>
                <w:b/>
              </w:rPr>
              <w:t>March 202</w:t>
            </w:r>
            <w:r>
              <w:rPr>
                <w:b/>
              </w:rPr>
              <w:t>3</w:t>
            </w:r>
            <w:r w:rsidRPr="00AB248A">
              <w:rPr>
                <w:b/>
              </w:rPr>
              <w:t xml:space="preserve"> Overall Service Performance</w:t>
            </w:r>
          </w:p>
        </w:tc>
      </w:tr>
      <w:tr w:rsidR="00F61C2C" w:rsidRPr="001965DC" w14:paraId="584BDE59" w14:textId="77777777" w:rsidTr="0004468D">
        <w:trPr>
          <w:trHeight w:val="397"/>
        </w:trPr>
        <w:tc>
          <w:tcPr>
            <w:tcW w:w="1940" w:type="pct"/>
            <w:tcBorders>
              <w:left w:val="single" w:sz="12" w:space="0" w:color="auto"/>
              <w:bottom w:val="single" w:sz="12" w:space="0" w:color="auto"/>
            </w:tcBorders>
            <w:shd w:val="clear" w:color="auto" w:fill="D9D9D9"/>
            <w:vAlign w:val="center"/>
          </w:tcPr>
          <w:p w14:paraId="7AA6759D" w14:textId="77777777" w:rsidR="00F61C2C" w:rsidRPr="001965DC" w:rsidRDefault="00F61C2C" w:rsidP="0004468D">
            <w:pPr>
              <w:autoSpaceDE w:val="0"/>
              <w:autoSpaceDN w:val="0"/>
              <w:adjustRightInd w:val="0"/>
              <w:rPr>
                <w:b/>
              </w:rPr>
            </w:pPr>
            <w:r>
              <w:rPr>
                <w:b/>
              </w:rPr>
              <w:t>Service</w:t>
            </w:r>
          </w:p>
        </w:tc>
        <w:tc>
          <w:tcPr>
            <w:tcW w:w="524" w:type="pct"/>
            <w:tcBorders>
              <w:bottom w:val="single" w:sz="12" w:space="0" w:color="auto"/>
              <w:right w:val="single" w:sz="12" w:space="0" w:color="auto"/>
            </w:tcBorders>
            <w:shd w:val="clear" w:color="auto" w:fill="D9D9D9"/>
            <w:vAlign w:val="center"/>
          </w:tcPr>
          <w:p w14:paraId="5EFAFF3F" w14:textId="77777777" w:rsidR="00F61C2C" w:rsidRPr="001965DC" w:rsidRDefault="00F61C2C" w:rsidP="0004468D">
            <w:pPr>
              <w:autoSpaceDE w:val="0"/>
              <w:autoSpaceDN w:val="0"/>
              <w:adjustRightInd w:val="0"/>
              <w:jc w:val="center"/>
              <w:rPr>
                <w:b/>
              </w:rPr>
            </w:pPr>
            <w:r>
              <w:rPr>
                <w:b/>
              </w:rPr>
              <w:t>Status</w:t>
            </w:r>
          </w:p>
        </w:tc>
        <w:tc>
          <w:tcPr>
            <w:tcW w:w="2015" w:type="pct"/>
            <w:tcBorders>
              <w:left w:val="single" w:sz="12" w:space="0" w:color="auto"/>
              <w:bottom w:val="single" w:sz="12" w:space="0" w:color="auto"/>
            </w:tcBorders>
            <w:shd w:val="clear" w:color="auto" w:fill="D9D9D9"/>
            <w:vAlign w:val="center"/>
          </w:tcPr>
          <w:p w14:paraId="5E1EED6D" w14:textId="77777777" w:rsidR="00F61C2C" w:rsidRDefault="00F61C2C" w:rsidP="0004468D">
            <w:pPr>
              <w:autoSpaceDE w:val="0"/>
              <w:autoSpaceDN w:val="0"/>
              <w:adjustRightInd w:val="0"/>
              <w:rPr>
                <w:b/>
              </w:rPr>
            </w:pPr>
            <w:r>
              <w:rPr>
                <w:b/>
              </w:rPr>
              <w:t>Service</w:t>
            </w:r>
          </w:p>
        </w:tc>
        <w:tc>
          <w:tcPr>
            <w:tcW w:w="521" w:type="pct"/>
            <w:tcBorders>
              <w:bottom w:val="single" w:sz="12" w:space="0" w:color="auto"/>
              <w:right w:val="single" w:sz="12" w:space="0" w:color="auto"/>
            </w:tcBorders>
            <w:shd w:val="clear" w:color="auto" w:fill="D9D9D9"/>
            <w:vAlign w:val="center"/>
          </w:tcPr>
          <w:p w14:paraId="63874AC2" w14:textId="77777777" w:rsidR="00F61C2C" w:rsidRDefault="00F61C2C" w:rsidP="0004468D">
            <w:pPr>
              <w:autoSpaceDE w:val="0"/>
              <w:autoSpaceDN w:val="0"/>
              <w:adjustRightInd w:val="0"/>
              <w:jc w:val="center"/>
              <w:rPr>
                <w:b/>
              </w:rPr>
            </w:pPr>
            <w:r>
              <w:rPr>
                <w:b/>
              </w:rPr>
              <w:t>Status</w:t>
            </w:r>
          </w:p>
        </w:tc>
      </w:tr>
      <w:tr w:rsidR="00F61C2C" w14:paraId="06DDC9DE" w14:textId="77777777" w:rsidTr="0004468D">
        <w:trPr>
          <w:trHeight w:val="567"/>
        </w:trPr>
        <w:tc>
          <w:tcPr>
            <w:tcW w:w="1940" w:type="pct"/>
            <w:tcBorders>
              <w:top w:val="single" w:sz="12" w:space="0" w:color="auto"/>
              <w:left w:val="single" w:sz="12" w:space="0" w:color="auto"/>
              <w:bottom w:val="single" w:sz="8" w:space="0" w:color="auto"/>
            </w:tcBorders>
            <w:shd w:val="clear" w:color="auto" w:fill="auto"/>
            <w:vAlign w:val="center"/>
          </w:tcPr>
          <w:p w14:paraId="719DEF6B" w14:textId="77777777" w:rsidR="00F61C2C" w:rsidRDefault="00F61C2C" w:rsidP="0004468D">
            <w:pPr>
              <w:autoSpaceDE w:val="0"/>
              <w:autoSpaceDN w:val="0"/>
              <w:adjustRightInd w:val="0"/>
            </w:pPr>
            <w:r>
              <w:t>Communications and Visitor Services</w:t>
            </w:r>
          </w:p>
        </w:tc>
        <w:tc>
          <w:tcPr>
            <w:tcW w:w="524" w:type="pct"/>
            <w:tcBorders>
              <w:top w:val="single" w:sz="12" w:space="0" w:color="auto"/>
              <w:bottom w:val="single" w:sz="8" w:space="0" w:color="auto"/>
              <w:right w:val="single" w:sz="12" w:space="0" w:color="auto"/>
            </w:tcBorders>
            <w:shd w:val="clear" w:color="auto" w:fill="92D050"/>
            <w:vAlign w:val="center"/>
          </w:tcPr>
          <w:p w14:paraId="52F6DC13" w14:textId="77777777" w:rsidR="00F61C2C" w:rsidRDefault="00F61C2C" w:rsidP="0004468D">
            <w:pPr>
              <w:autoSpaceDE w:val="0"/>
              <w:autoSpaceDN w:val="0"/>
              <w:adjustRightInd w:val="0"/>
              <w:jc w:val="center"/>
            </w:pPr>
            <w:r>
              <w:t>Green</w:t>
            </w:r>
          </w:p>
        </w:tc>
        <w:tc>
          <w:tcPr>
            <w:tcW w:w="2015" w:type="pct"/>
            <w:tcBorders>
              <w:top w:val="single" w:sz="12" w:space="0" w:color="auto"/>
              <w:left w:val="single" w:sz="12" w:space="0" w:color="auto"/>
              <w:bottom w:val="single" w:sz="8" w:space="0" w:color="auto"/>
            </w:tcBorders>
            <w:shd w:val="clear" w:color="auto" w:fill="auto"/>
            <w:vAlign w:val="center"/>
          </w:tcPr>
          <w:p w14:paraId="636596A6" w14:textId="77777777" w:rsidR="00F61C2C" w:rsidRDefault="00F61C2C" w:rsidP="0004468D">
            <w:pPr>
              <w:autoSpaceDE w:val="0"/>
              <w:autoSpaceDN w:val="0"/>
              <w:adjustRightInd w:val="0"/>
            </w:pPr>
            <w:r>
              <w:t>Communications and Visitor Services</w:t>
            </w:r>
          </w:p>
        </w:tc>
        <w:tc>
          <w:tcPr>
            <w:tcW w:w="521" w:type="pct"/>
            <w:tcBorders>
              <w:top w:val="single" w:sz="12" w:space="0" w:color="auto"/>
              <w:bottom w:val="single" w:sz="8" w:space="0" w:color="auto"/>
              <w:right w:val="single" w:sz="12" w:space="0" w:color="auto"/>
            </w:tcBorders>
            <w:shd w:val="clear" w:color="auto" w:fill="92D050"/>
            <w:vAlign w:val="center"/>
          </w:tcPr>
          <w:p w14:paraId="4B513EA9" w14:textId="77777777" w:rsidR="00F61C2C" w:rsidRDefault="00F61C2C" w:rsidP="0004468D">
            <w:pPr>
              <w:autoSpaceDE w:val="0"/>
              <w:autoSpaceDN w:val="0"/>
              <w:adjustRightInd w:val="0"/>
              <w:jc w:val="center"/>
            </w:pPr>
            <w:r>
              <w:t>Green</w:t>
            </w:r>
          </w:p>
        </w:tc>
      </w:tr>
      <w:tr w:rsidR="00F61C2C" w14:paraId="7FA5E14B" w14:textId="77777777" w:rsidTr="0004468D">
        <w:trPr>
          <w:trHeight w:val="567"/>
        </w:trPr>
        <w:tc>
          <w:tcPr>
            <w:tcW w:w="1940" w:type="pct"/>
            <w:tcBorders>
              <w:top w:val="single" w:sz="8" w:space="0" w:color="auto"/>
              <w:left w:val="single" w:sz="12" w:space="0" w:color="auto"/>
              <w:bottom w:val="single" w:sz="8" w:space="0" w:color="auto"/>
            </w:tcBorders>
            <w:shd w:val="clear" w:color="auto" w:fill="auto"/>
            <w:vAlign w:val="center"/>
          </w:tcPr>
          <w:p w14:paraId="0595EF6B" w14:textId="77777777" w:rsidR="00F61C2C" w:rsidRDefault="00F61C2C" w:rsidP="0004468D">
            <w:pPr>
              <w:autoSpaceDE w:val="0"/>
              <w:autoSpaceDN w:val="0"/>
              <w:adjustRightInd w:val="0"/>
            </w:pPr>
            <w:r>
              <w:t>People and Organisational Development</w:t>
            </w:r>
          </w:p>
        </w:tc>
        <w:tc>
          <w:tcPr>
            <w:tcW w:w="524" w:type="pct"/>
            <w:tcBorders>
              <w:top w:val="single" w:sz="8" w:space="0" w:color="auto"/>
              <w:bottom w:val="single" w:sz="8" w:space="0" w:color="auto"/>
              <w:right w:val="single" w:sz="12" w:space="0" w:color="auto"/>
            </w:tcBorders>
            <w:shd w:val="clear" w:color="auto" w:fill="92D050"/>
            <w:vAlign w:val="center"/>
          </w:tcPr>
          <w:p w14:paraId="640E7DF6" w14:textId="77777777" w:rsidR="00F61C2C" w:rsidRDefault="00F61C2C" w:rsidP="0004468D">
            <w:pPr>
              <w:autoSpaceDE w:val="0"/>
              <w:autoSpaceDN w:val="0"/>
              <w:adjustRightInd w:val="0"/>
              <w:jc w:val="center"/>
            </w:pPr>
            <w:r>
              <w:t>Green</w:t>
            </w:r>
          </w:p>
        </w:tc>
        <w:tc>
          <w:tcPr>
            <w:tcW w:w="2015" w:type="pct"/>
            <w:tcBorders>
              <w:top w:val="single" w:sz="8" w:space="0" w:color="auto"/>
              <w:left w:val="single" w:sz="12" w:space="0" w:color="auto"/>
              <w:bottom w:val="single" w:sz="8" w:space="0" w:color="auto"/>
            </w:tcBorders>
            <w:shd w:val="clear" w:color="auto" w:fill="auto"/>
            <w:vAlign w:val="center"/>
          </w:tcPr>
          <w:p w14:paraId="1B033903" w14:textId="77777777" w:rsidR="00F61C2C" w:rsidRDefault="00F61C2C" w:rsidP="0004468D">
            <w:pPr>
              <w:autoSpaceDE w:val="0"/>
              <w:autoSpaceDN w:val="0"/>
              <w:adjustRightInd w:val="0"/>
            </w:pPr>
            <w:r>
              <w:t>People and Organisational Development</w:t>
            </w:r>
          </w:p>
        </w:tc>
        <w:tc>
          <w:tcPr>
            <w:tcW w:w="521" w:type="pct"/>
            <w:tcBorders>
              <w:top w:val="single" w:sz="8" w:space="0" w:color="auto"/>
              <w:bottom w:val="single" w:sz="8" w:space="0" w:color="auto"/>
              <w:right w:val="single" w:sz="12" w:space="0" w:color="auto"/>
            </w:tcBorders>
            <w:shd w:val="clear" w:color="auto" w:fill="92D050"/>
            <w:vAlign w:val="center"/>
          </w:tcPr>
          <w:p w14:paraId="65AED81E" w14:textId="77777777" w:rsidR="00F61C2C" w:rsidRDefault="00F61C2C" w:rsidP="0004468D">
            <w:pPr>
              <w:autoSpaceDE w:val="0"/>
              <w:autoSpaceDN w:val="0"/>
              <w:adjustRightInd w:val="0"/>
              <w:jc w:val="center"/>
            </w:pPr>
            <w:r>
              <w:t>Green</w:t>
            </w:r>
          </w:p>
        </w:tc>
      </w:tr>
      <w:tr w:rsidR="00F61C2C" w14:paraId="30331281" w14:textId="77777777" w:rsidTr="0004468D">
        <w:trPr>
          <w:trHeight w:val="567"/>
        </w:trPr>
        <w:tc>
          <w:tcPr>
            <w:tcW w:w="1940" w:type="pct"/>
            <w:tcBorders>
              <w:top w:val="single" w:sz="8" w:space="0" w:color="auto"/>
              <w:left w:val="single" w:sz="12" w:space="0" w:color="auto"/>
              <w:bottom w:val="single" w:sz="8" w:space="0" w:color="auto"/>
            </w:tcBorders>
            <w:shd w:val="clear" w:color="auto" w:fill="auto"/>
            <w:vAlign w:val="center"/>
          </w:tcPr>
          <w:p w14:paraId="19C0F7C1" w14:textId="77777777" w:rsidR="00F61C2C" w:rsidRDefault="00F61C2C" w:rsidP="0004468D">
            <w:pPr>
              <w:autoSpaceDE w:val="0"/>
              <w:autoSpaceDN w:val="0"/>
              <w:adjustRightInd w:val="0"/>
            </w:pPr>
            <w:r>
              <w:t>Strategy and Ranger service</w:t>
            </w:r>
          </w:p>
        </w:tc>
        <w:tc>
          <w:tcPr>
            <w:tcW w:w="524" w:type="pct"/>
            <w:tcBorders>
              <w:top w:val="single" w:sz="8" w:space="0" w:color="auto"/>
              <w:bottom w:val="single" w:sz="8" w:space="0" w:color="auto"/>
              <w:right w:val="single" w:sz="12" w:space="0" w:color="auto"/>
            </w:tcBorders>
            <w:shd w:val="clear" w:color="auto" w:fill="92D050"/>
            <w:vAlign w:val="center"/>
          </w:tcPr>
          <w:p w14:paraId="1AED642F" w14:textId="77777777" w:rsidR="00F61C2C" w:rsidRDefault="00F61C2C" w:rsidP="0004468D">
            <w:pPr>
              <w:autoSpaceDE w:val="0"/>
              <w:autoSpaceDN w:val="0"/>
              <w:adjustRightInd w:val="0"/>
              <w:jc w:val="center"/>
            </w:pPr>
            <w:r>
              <w:t>Green</w:t>
            </w:r>
          </w:p>
        </w:tc>
        <w:tc>
          <w:tcPr>
            <w:tcW w:w="2015" w:type="pct"/>
            <w:tcBorders>
              <w:top w:val="single" w:sz="8" w:space="0" w:color="auto"/>
              <w:left w:val="single" w:sz="12" w:space="0" w:color="auto"/>
              <w:bottom w:val="single" w:sz="8" w:space="0" w:color="auto"/>
            </w:tcBorders>
            <w:shd w:val="clear" w:color="auto" w:fill="auto"/>
            <w:vAlign w:val="center"/>
          </w:tcPr>
          <w:p w14:paraId="202913FA" w14:textId="77777777" w:rsidR="00F61C2C" w:rsidRDefault="00F61C2C" w:rsidP="0004468D">
            <w:pPr>
              <w:autoSpaceDE w:val="0"/>
              <w:autoSpaceDN w:val="0"/>
              <w:adjustRightInd w:val="0"/>
            </w:pPr>
            <w:r>
              <w:t>Strategy and Ranger service</w:t>
            </w:r>
          </w:p>
        </w:tc>
        <w:tc>
          <w:tcPr>
            <w:tcW w:w="521" w:type="pct"/>
            <w:tcBorders>
              <w:top w:val="single" w:sz="8" w:space="0" w:color="auto"/>
              <w:bottom w:val="single" w:sz="8" w:space="0" w:color="auto"/>
              <w:right w:val="single" w:sz="12" w:space="0" w:color="auto"/>
            </w:tcBorders>
            <w:shd w:val="clear" w:color="auto" w:fill="92D050"/>
            <w:vAlign w:val="center"/>
          </w:tcPr>
          <w:p w14:paraId="62F01A6F" w14:textId="77777777" w:rsidR="00F61C2C" w:rsidRDefault="00F61C2C" w:rsidP="0004468D">
            <w:pPr>
              <w:autoSpaceDE w:val="0"/>
              <w:autoSpaceDN w:val="0"/>
              <w:adjustRightInd w:val="0"/>
              <w:jc w:val="center"/>
            </w:pPr>
            <w:r>
              <w:t>Green</w:t>
            </w:r>
          </w:p>
        </w:tc>
      </w:tr>
      <w:tr w:rsidR="00F61C2C" w14:paraId="17B20B84" w14:textId="77777777" w:rsidTr="0004468D">
        <w:trPr>
          <w:trHeight w:val="567"/>
        </w:trPr>
        <w:tc>
          <w:tcPr>
            <w:tcW w:w="1940" w:type="pct"/>
            <w:tcBorders>
              <w:top w:val="single" w:sz="8" w:space="0" w:color="auto"/>
              <w:left w:val="single" w:sz="12" w:space="0" w:color="auto"/>
              <w:bottom w:val="single" w:sz="8" w:space="0" w:color="auto"/>
            </w:tcBorders>
            <w:shd w:val="clear" w:color="auto" w:fill="auto"/>
            <w:vAlign w:val="center"/>
          </w:tcPr>
          <w:p w14:paraId="3259B435" w14:textId="77777777" w:rsidR="00F61C2C" w:rsidRDefault="00F61C2C" w:rsidP="0004468D">
            <w:pPr>
              <w:autoSpaceDE w:val="0"/>
              <w:autoSpaceDN w:val="0"/>
              <w:adjustRightInd w:val="0"/>
            </w:pPr>
            <w:r>
              <w:t>Programmes and Resources</w:t>
            </w:r>
          </w:p>
        </w:tc>
        <w:tc>
          <w:tcPr>
            <w:tcW w:w="524" w:type="pct"/>
            <w:tcBorders>
              <w:top w:val="single" w:sz="8" w:space="0" w:color="auto"/>
              <w:bottom w:val="single" w:sz="8" w:space="0" w:color="auto"/>
              <w:right w:val="single" w:sz="12" w:space="0" w:color="auto"/>
            </w:tcBorders>
            <w:shd w:val="clear" w:color="auto" w:fill="FFC000"/>
            <w:vAlign w:val="center"/>
          </w:tcPr>
          <w:p w14:paraId="36632AD3" w14:textId="77777777" w:rsidR="00F61C2C" w:rsidRDefault="00F61C2C" w:rsidP="0004468D">
            <w:pPr>
              <w:autoSpaceDE w:val="0"/>
              <w:autoSpaceDN w:val="0"/>
              <w:adjustRightInd w:val="0"/>
              <w:jc w:val="center"/>
            </w:pPr>
            <w:r>
              <w:t>Amber</w:t>
            </w:r>
          </w:p>
        </w:tc>
        <w:tc>
          <w:tcPr>
            <w:tcW w:w="2015" w:type="pct"/>
            <w:tcBorders>
              <w:top w:val="single" w:sz="8" w:space="0" w:color="auto"/>
              <w:left w:val="single" w:sz="12" w:space="0" w:color="auto"/>
              <w:bottom w:val="single" w:sz="8" w:space="0" w:color="auto"/>
            </w:tcBorders>
            <w:shd w:val="clear" w:color="auto" w:fill="auto"/>
            <w:vAlign w:val="center"/>
          </w:tcPr>
          <w:p w14:paraId="156EA4C4" w14:textId="77777777" w:rsidR="00F61C2C" w:rsidRDefault="00F61C2C" w:rsidP="0004468D">
            <w:pPr>
              <w:autoSpaceDE w:val="0"/>
              <w:autoSpaceDN w:val="0"/>
              <w:adjustRightInd w:val="0"/>
            </w:pPr>
            <w:r>
              <w:t>Programmes and Resources</w:t>
            </w:r>
          </w:p>
        </w:tc>
        <w:tc>
          <w:tcPr>
            <w:tcW w:w="521" w:type="pct"/>
            <w:tcBorders>
              <w:top w:val="single" w:sz="8" w:space="0" w:color="auto"/>
              <w:bottom w:val="single" w:sz="8" w:space="0" w:color="auto"/>
              <w:right w:val="single" w:sz="12" w:space="0" w:color="auto"/>
            </w:tcBorders>
            <w:shd w:val="clear" w:color="auto" w:fill="92D050"/>
            <w:vAlign w:val="center"/>
          </w:tcPr>
          <w:p w14:paraId="50B3AAF3" w14:textId="77777777" w:rsidR="00F61C2C" w:rsidRDefault="00F61C2C" w:rsidP="0004468D">
            <w:pPr>
              <w:autoSpaceDE w:val="0"/>
              <w:autoSpaceDN w:val="0"/>
              <w:adjustRightInd w:val="0"/>
              <w:jc w:val="center"/>
            </w:pPr>
            <w:r>
              <w:t>Green</w:t>
            </w:r>
          </w:p>
        </w:tc>
      </w:tr>
      <w:tr w:rsidR="00F61C2C" w14:paraId="2CD0780B" w14:textId="77777777" w:rsidTr="0004468D">
        <w:trPr>
          <w:trHeight w:val="567"/>
        </w:trPr>
        <w:tc>
          <w:tcPr>
            <w:tcW w:w="1940" w:type="pct"/>
            <w:tcBorders>
              <w:top w:val="single" w:sz="8" w:space="0" w:color="auto"/>
              <w:left w:val="single" w:sz="12" w:space="0" w:color="auto"/>
              <w:bottom w:val="single" w:sz="12" w:space="0" w:color="auto"/>
            </w:tcBorders>
            <w:shd w:val="clear" w:color="auto" w:fill="auto"/>
            <w:vAlign w:val="center"/>
          </w:tcPr>
          <w:p w14:paraId="24707543" w14:textId="77777777" w:rsidR="00F61C2C" w:rsidRDefault="00F61C2C" w:rsidP="0004468D">
            <w:pPr>
              <w:autoSpaceDE w:val="0"/>
              <w:autoSpaceDN w:val="0"/>
              <w:adjustRightInd w:val="0"/>
            </w:pPr>
            <w:r>
              <w:t>Development Management</w:t>
            </w:r>
          </w:p>
        </w:tc>
        <w:tc>
          <w:tcPr>
            <w:tcW w:w="524" w:type="pct"/>
            <w:tcBorders>
              <w:top w:val="single" w:sz="8" w:space="0" w:color="auto"/>
              <w:bottom w:val="single" w:sz="12" w:space="0" w:color="auto"/>
              <w:right w:val="single" w:sz="12" w:space="0" w:color="auto"/>
            </w:tcBorders>
            <w:shd w:val="clear" w:color="auto" w:fill="FF0000"/>
            <w:vAlign w:val="center"/>
          </w:tcPr>
          <w:p w14:paraId="094F488F" w14:textId="77777777" w:rsidR="00F61C2C" w:rsidRDefault="00F61C2C" w:rsidP="0004468D">
            <w:pPr>
              <w:autoSpaceDE w:val="0"/>
              <w:autoSpaceDN w:val="0"/>
              <w:adjustRightInd w:val="0"/>
              <w:jc w:val="center"/>
            </w:pPr>
            <w:r>
              <w:t>Red</w:t>
            </w:r>
          </w:p>
        </w:tc>
        <w:tc>
          <w:tcPr>
            <w:tcW w:w="2015" w:type="pct"/>
            <w:tcBorders>
              <w:top w:val="single" w:sz="8" w:space="0" w:color="auto"/>
              <w:left w:val="single" w:sz="12" w:space="0" w:color="auto"/>
              <w:bottom w:val="single" w:sz="12" w:space="0" w:color="auto"/>
            </w:tcBorders>
            <w:shd w:val="clear" w:color="auto" w:fill="auto"/>
            <w:vAlign w:val="center"/>
          </w:tcPr>
          <w:p w14:paraId="419F58C9" w14:textId="77777777" w:rsidR="00F61C2C" w:rsidRDefault="00F61C2C" w:rsidP="0004468D">
            <w:pPr>
              <w:autoSpaceDE w:val="0"/>
              <w:autoSpaceDN w:val="0"/>
              <w:adjustRightInd w:val="0"/>
            </w:pPr>
            <w:r>
              <w:t>Development Management</w:t>
            </w:r>
          </w:p>
        </w:tc>
        <w:tc>
          <w:tcPr>
            <w:tcW w:w="521" w:type="pct"/>
            <w:tcBorders>
              <w:top w:val="single" w:sz="8" w:space="0" w:color="auto"/>
              <w:bottom w:val="single" w:sz="12" w:space="0" w:color="auto"/>
              <w:right w:val="single" w:sz="12" w:space="0" w:color="auto"/>
            </w:tcBorders>
            <w:shd w:val="clear" w:color="auto" w:fill="FF0000"/>
            <w:vAlign w:val="center"/>
          </w:tcPr>
          <w:p w14:paraId="191DF1C3" w14:textId="77777777" w:rsidR="00F61C2C" w:rsidRDefault="00F61C2C" w:rsidP="0004468D">
            <w:pPr>
              <w:autoSpaceDE w:val="0"/>
              <w:autoSpaceDN w:val="0"/>
              <w:adjustRightInd w:val="0"/>
              <w:jc w:val="center"/>
            </w:pPr>
            <w:r>
              <w:t>Red</w:t>
            </w:r>
          </w:p>
        </w:tc>
      </w:tr>
    </w:tbl>
    <w:p w14:paraId="549A0C4C" w14:textId="77777777" w:rsidR="00F61C2C" w:rsidRDefault="00F61C2C" w:rsidP="00F61C2C">
      <w:pPr>
        <w:autoSpaceDE w:val="0"/>
        <w:autoSpaceDN w:val="0"/>
        <w:adjustRightInd w:val="0"/>
      </w:pPr>
    </w:p>
    <w:p w14:paraId="6E8E76D5" w14:textId="77777777" w:rsidR="0082644A" w:rsidRDefault="0082644A" w:rsidP="00F61C2C">
      <w:pPr>
        <w:autoSpaceDE w:val="0"/>
        <w:autoSpaceDN w:val="0"/>
        <w:adjustRightInd w:val="0"/>
        <w:ind w:firstLine="360"/>
        <w:rPr>
          <w:b/>
        </w:rPr>
      </w:pPr>
    </w:p>
    <w:p w14:paraId="34D69255" w14:textId="399A467A" w:rsidR="00F61C2C" w:rsidRDefault="00F61C2C" w:rsidP="00F61C2C">
      <w:pPr>
        <w:autoSpaceDE w:val="0"/>
        <w:autoSpaceDN w:val="0"/>
        <w:adjustRightInd w:val="0"/>
        <w:ind w:firstLine="360"/>
        <w:rPr>
          <w:b/>
        </w:rPr>
      </w:pPr>
      <w:r w:rsidRPr="00FB7697">
        <w:rPr>
          <w:b/>
        </w:rPr>
        <w:lastRenderedPageBreak/>
        <w:t>Performance Indicators</w:t>
      </w:r>
    </w:p>
    <w:p w14:paraId="26B88EBD" w14:textId="77777777" w:rsidR="00F61C2C" w:rsidRDefault="00F61C2C" w:rsidP="00F61C2C">
      <w:pPr>
        <w:numPr>
          <w:ilvl w:val="0"/>
          <w:numId w:val="22"/>
        </w:numPr>
        <w:autoSpaceDE w:val="0"/>
        <w:autoSpaceDN w:val="0"/>
        <w:adjustRightInd w:val="0"/>
        <w:spacing w:after="40"/>
      </w:pPr>
      <w:r>
        <w:t>Although our Business Plan no longer contains performance indicators, f</w:t>
      </w:r>
      <w:r w:rsidRPr="00FB7697">
        <w:t>or consistency in our Statement of Accounts, in the table below we have included comparable performance indicators to those we have reported in previous years (where we still monitor them)</w:t>
      </w:r>
      <w:r>
        <w:t>.</w:t>
      </w:r>
    </w:p>
    <w:p w14:paraId="1148A38F" w14:textId="5E1EB5B1" w:rsidR="00F61C2C" w:rsidRDefault="00F61C2C" w:rsidP="00F61C2C"/>
    <w:tbl>
      <w:tblPr>
        <w:tblW w:w="480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1495"/>
        <w:gridCol w:w="1223"/>
        <w:gridCol w:w="1361"/>
        <w:gridCol w:w="1059"/>
      </w:tblGrid>
      <w:tr w:rsidR="00F61C2C" w:rsidRPr="00B27497" w14:paraId="618125CD" w14:textId="77777777" w:rsidTr="00103388">
        <w:trPr>
          <w:trHeight w:val="476"/>
          <w:tblHeader/>
        </w:trPr>
        <w:tc>
          <w:tcPr>
            <w:tcW w:w="2168" w:type="pct"/>
            <w:vMerge w:val="restart"/>
            <w:tcBorders>
              <w:top w:val="single" w:sz="12" w:space="0" w:color="auto"/>
              <w:left w:val="single" w:sz="12" w:space="0" w:color="auto"/>
              <w:right w:val="single" w:sz="12" w:space="0" w:color="auto"/>
            </w:tcBorders>
            <w:shd w:val="clear" w:color="auto" w:fill="D9D9D9"/>
          </w:tcPr>
          <w:p w14:paraId="2AB74F96" w14:textId="77777777" w:rsidR="00F61C2C" w:rsidRPr="00B27497" w:rsidRDefault="00F61C2C" w:rsidP="0004468D">
            <w:pPr>
              <w:spacing w:before="40"/>
              <w:ind w:right="-108"/>
              <w:rPr>
                <w:b/>
                <w:highlight w:val="yellow"/>
              </w:rPr>
            </w:pPr>
            <w:r>
              <w:rPr>
                <w:rFonts w:cs="Arial"/>
                <w:bCs/>
              </w:rPr>
              <w:br w:type="page"/>
            </w:r>
            <w:r w:rsidRPr="00B1271F">
              <w:rPr>
                <w:b/>
              </w:rPr>
              <w:t>Performance Indicator</w:t>
            </w:r>
          </w:p>
        </w:tc>
        <w:tc>
          <w:tcPr>
            <w:tcW w:w="824" w:type="pct"/>
            <w:tcBorders>
              <w:top w:val="single" w:sz="12" w:space="0" w:color="auto"/>
              <w:left w:val="single" w:sz="12" w:space="0" w:color="auto"/>
              <w:right w:val="single" w:sz="12" w:space="0" w:color="auto"/>
            </w:tcBorders>
            <w:shd w:val="clear" w:color="auto" w:fill="D9D9D9"/>
          </w:tcPr>
          <w:p w14:paraId="5574EE87" w14:textId="77777777" w:rsidR="00F61C2C" w:rsidRPr="00B27497" w:rsidRDefault="00F61C2C" w:rsidP="0004468D">
            <w:pPr>
              <w:spacing w:before="40"/>
              <w:jc w:val="center"/>
              <w:rPr>
                <w:b/>
                <w:highlight w:val="yellow"/>
              </w:rPr>
            </w:pPr>
            <w:r>
              <w:rPr>
                <w:b/>
              </w:rPr>
              <w:t>2021/22</w:t>
            </w:r>
          </w:p>
        </w:tc>
        <w:tc>
          <w:tcPr>
            <w:tcW w:w="2008" w:type="pct"/>
            <w:gridSpan w:val="3"/>
            <w:tcBorders>
              <w:top w:val="single" w:sz="12" w:space="0" w:color="auto"/>
              <w:left w:val="single" w:sz="12" w:space="0" w:color="auto"/>
              <w:right w:val="single" w:sz="12" w:space="0" w:color="auto"/>
            </w:tcBorders>
            <w:shd w:val="clear" w:color="auto" w:fill="D9D9D9"/>
          </w:tcPr>
          <w:p w14:paraId="01EFA45D" w14:textId="77777777" w:rsidR="00F61C2C" w:rsidRPr="00B27497" w:rsidRDefault="00F61C2C" w:rsidP="0004468D">
            <w:pPr>
              <w:spacing w:before="40"/>
              <w:ind w:left="-91" w:right="-108" w:hanging="17"/>
              <w:jc w:val="center"/>
              <w:rPr>
                <w:b/>
                <w:highlight w:val="yellow"/>
              </w:rPr>
            </w:pPr>
            <w:r>
              <w:rPr>
                <w:b/>
              </w:rPr>
              <w:t>2022/23</w:t>
            </w:r>
          </w:p>
        </w:tc>
      </w:tr>
      <w:tr w:rsidR="00F61C2C" w:rsidRPr="00B1271F" w14:paraId="1E0DDC81" w14:textId="77777777" w:rsidTr="00103388">
        <w:trPr>
          <w:trHeight w:val="599"/>
          <w:tblHeader/>
        </w:trPr>
        <w:tc>
          <w:tcPr>
            <w:tcW w:w="2168" w:type="pct"/>
            <w:vMerge/>
            <w:tcBorders>
              <w:left w:val="single" w:sz="12" w:space="0" w:color="auto"/>
              <w:bottom w:val="single" w:sz="12" w:space="0" w:color="auto"/>
              <w:right w:val="single" w:sz="12" w:space="0" w:color="auto"/>
            </w:tcBorders>
            <w:shd w:val="clear" w:color="auto" w:fill="D9D9D9"/>
          </w:tcPr>
          <w:p w14:paraId="32941526" w14:textId="77777777" w:rsidR="00F61C2C" w:rsidRPr="00B27497" w:rsidRDefault="00F61C2C" w:rsidP="0004468D">
            <w:pPr>
              <w:rPr>
                <w:b/>
                <w:sz w:val="22"/>
                <w:szCs w:val="22"/>
                <w:highlight w:val="yellow"/>
              </w:rPr>
            </w:pPr>
          </w:p>
        </w:tc>
        <w:tc>
          <w:tcPr>
            <w:tcW w:w="824" w:type="pct"/>
            <w:tcBorders>
              <w:left w:val="single" w:sz="12" w:space="0" w:color="auto"/>
              <w:bottom w:val="single" w:sz="12" w:space="0" w:color="auto"/>
              <w:right w:val="single" w:sz="12" w:space="0" w:color="auto"/>
            </w:tcBorders>
            <w:shd w:val="clear" w:color="auto" w:fill="D9D9D9"/>
          </w:tcPr>
          <w:p w14:paraId="75FC1DF4" w14:textId="77777777" w:rsidR="00F61C2C" w:rsidRPr="009955C9" w:rsidRDefault="00F61C2C" w:rsidP="0004468D">
            <w:pPr>
              <w:spacing w:before="40"/>
              <w:jc w:val="center"/>
              <w:rPr>
                <w:b/>
              </w:rPr>
            </w:pPr>
            <w:r w:rsidRPr="00B1271F">
              <w:rPr>
                <w:b/>
              </w:rPr>
              <w:t>Actual</w:t>
            </w:r>
          </w:p>
        </w:tc>
        <w:tc>
          <w:tcPr>
            <w:tcW w:w="674" w:type="pct"/>
            <w:tcBorders>
              <w:top w:val="single" w:sz="4" w:space="0" w:color="auto"/>
              <w:left w:val="single" w:sz="12" w:space="0" w:color="auto"/>
              <w:bottom w:val="single" w:sz="12" w:space="0" w:color="auto"/>
              <w:right w:val="single" w:sz="4" w:space="0" w:color="auto"/>
            </w:tcBorders>
            <w:shd w:val="clear" w:color="auto" w:fill="D9D9D9"/>
          </w:tcPr>
          <w:p w14:paraId="641620F6" w14:textId="77777777" w:rsidR="00F61C2C" w:rsidRPr="009955C9" w:rsidRDefault="00F61C2C" w:rsidP="0004468D">
            <w:pPr>
              <w:spacing w:before="40"/>
              <w:ind w:left="-108" w:right="-108"/>
              <w:jc w:val="center"/>
              <w:rPr>
                <w:b/>
              </w:rPr>
            </w:pPr>
            <w:r w:rsidRPr="00B1271F">
              <w:rPr>
                <w:b/>
              </w:rPr>
              <w:t>Target</w:t>
            </w:r>
          </w:p>
        </w:tc>
        <w:tc>
          <w:tcPr>
            <w:tcW w:w="750" w:type="pct"/>
            <w:tcBorders>
              <w:top w:val="single" w:sz="4" w:space="0" w:color="auto"/>
              <w:left w:val="single" w:sz="4" w:space="0" w:color="auto"/>
              <w:bottom w:val="single" w:sz="12" w:space="0" w:color="auto"/>
              <w:right w:val="single" w:sz="4" w:space="0" w:color="auto"/>
            </w:tcBorders>
            <w:shd w:val="clear" w:color="auto" w:fill="D9D9D9"/>
          </w:tcPr>
          <w:p w14:paraId="3FFB5901" w14:textId="77777777" w:rsidR="00F61C2C" w:rsidRPr="00B1271F" w:rsidRDefault="00F61C2C" w:rsidP="0004468D">
            <w:pPr>
              <w:spacing w:before="40"/>
              <w:ind w:left="-108" w:right="-108"/>
              <w:jc w:val="center"/>
              <w:rPr>
                <w:b/>
              </w:rPr>
            </w:pPr>
            <w:r w:rsidRPr="00B1271F">
              <w:rPr>
                <w:b/>
              </w:rPr>
              <w:t>Actual</w:t>
            </w:r>
          </w:p>
        </w:tc>
        <w:tc>
          <w:tcPr>
            <w:tcW w:w="584" w:type="pct"/>
            <w:tcBorders>
              <w:top w:val="single" w:sz="4" w:space="0" w:color="auto"/>
              <w:left w:val="single" w:sz="4" w:space="0" w:color="auto"/>
              <w:bottom w:val="single" w:sz="12" w:space="0" w:color="auto"/>
              <w:right w:val="single" w:sz="12" w:space="0" w:color="auto"/>
            </w:tcBorders>
            <w:shd w:val="clear" w:color="auto" w:fill="D9D9D9"/>
          </w:tcPr>
          <w:p w14:paraId="28925AD3" w14:textId="77777777" w:rsidR="00F61C2C" w:rsidRPr="00B1271F" w:rsidRDefault="00F61C2C" w:rsidP="0004468D">
            <w:pPr>
              <w:spacing w:before="40" w:after="40"/>
              <w:ind w:left="-108" w:right="-136"/>
              <w:jc w:val="center"/>
              <w:rPr>
                <w:b/>
              </w:rPr>
            </w:pPr>
            <w:r w:rsidRPr="00B1271F">
              <w:rPr>
                <w:b/>
              </w:rPr>
              <w:t>Target</w:t>
            </w:r>
          </w:p>
          <w:p w14:paraId="11B313DE" w14:textId="77777777" w:rsidR="00F61C2C" w:rsidRPr="00B1271F" w:rsidRDefault="00F61C2C" w:rsidP="0004468D">
            <w:pPr>
              <w:spacing w:before="40" w:after="40"/>
              <w:ind w:left="-108" w:right="-136"/>
              <w:jc w:val="center"/>
              <w:rPr>
                <w:b/>
              </w:rPr>
            </w:pPr>
            <w:r>
              <w:rPr>
                <w:b/>
              </w:rPr>
              <w:t>met?</w:t>
            </w:r>
          </w:p>
        </w:tc>
      </w:tr>
      <w:tr w:rsidR="00F61C2C" w:rsidRPr="00CD62C0" w14:paraId="31B2E2D4" w14:textId="77777777" w:rsidTr="00103388">
        <w:trPr>
          <w:trHeight w:val="397"/>
        </w:trPr>
        <w:tc>
          <w:tcPr>
            <w:tcW w:w="5000" w:type="pct"/>
            <w:gridSpan w:val="5"/>
            <w:tcBorders>
              <w:top w:val="single" w:sz="12" w:space="0" w:color="auto"/>
              <w:left w:val="single" w:sz="12" w:space="0" w:color="auto"/>
              <w:bottom w:val="single" w:sz="2" w:space="0" w:color="auto"/>
              <w:right w:val="single" w:sz="12" w:space="0" w:color="auto"/>
            </w:tcBorders>
            <w:shd w:val="clear" w:color="auto" w:fill="F2F2F2"/>
            <w:vAlign w:val="center"/>
          </w:tcPr>
          <w:p w14:paraId="14D104D4" w14:textId="77777777" w:rsidR="00F61C2C" w:rsidRPr="00CD62C0" w:rsidRDefault="00F61C2C" w:rsidP="0004468D">
            <w:pPr>
              <w:spacing w:before="40" w:after="40"/>
              <w:rPr>
                <w:rFonts w:cs="Arial"/>
                <w:b/>
              </w:rPr>
            </w:pPr>
            <w:r>
              <w:rPr>
                <w:rFonts w:cs="Arial"/>
                <w:b/>
              </w:rPr>
              <w:t xml:space="preserve">Vision </w:t>
            </w:r>
            <w:r w:rsidRPr="00681DFF">
              <w:rPr>
                <w:rFonts w:cs="Arial"/>
                <w:b/>
              </w:rPr>
              <w:t>Outcome: Contributing to a Prosperous Economy</w:t>
            </w:r>
          </w:p>
        </w:tc>
      </w:tr>
      <w:tr w:rsidR="00F61C2C" w:rsidRPr="00B27497" w14:paraId="365AE513" w14:textId="77777777" w:rsidTr="00103388">
        <w:trPr>
          <w:trHeight w:val="954"/>
        </w:trPr>
        <w:tc>
          <w:tcPr>
            <w:tcW w:w="2168" w:type="pct"/>
            <w:tcBorders>
              <w:top w:val="nil"/>
              <w:left w:val="single" w:sz="12" w:space="0" w:color="auto"/>
              <w:bottom w:val="single" w:sz="4" w:space="0" w:color="auto"/>
              <w:right w:val="single" w:sz="12" w:space="0" w:color="auto"/>
            </w:tcBorders>
            <w:shd w:val="clear" w:color="auto" w:fill="FFFFFF"/>
          </w:tcPr>
          <w:p w14:paraId="36B4A021" w14:textId="77777777" w:rsidR="00F61C2C" w:rsidRPr="00B27497" w:rsidRDefault="00F61C2C" w:rsidP="0004468D">
            <w:pPr>
              <w:spacing w:before="40"/>
              <w:rPr>
                <w:highlight w:val="yellow"/>
              </w:rPr>
            </w:pPr>
            <w:r w:rsidRPr="00B1271F">
              <w:t>Major planning applications determined within 13 weeks</w:t>
            </w:r>
          </w:p>
        </w:tc>
        <w:tc>
          <w:tcPr>
            <w:tcW w:w="824" w:type="pct"/>
            <w:tcBorders>
              <w:top w:val="dotted" w:sz="4" w:space="0" w:color="auto"/>
              <w:left w:val="single" w:sz="12" w:space="0" w:color="auto"/>
              <w:bottom w:val="single" w:sz="4" w:space="0" w:color="auto"/>
              <w:right w:val="single" w:sz="12" w:space="0" w:color="auto"/>
            </w:tcBorders>
            <w:shd w:val="clear" w:color="auto" w:fill="F2F2F2"/>
          </w:tcPr>
          <w:p w14:paraId="4A6FE5E8" w14:textId="77777777" w:rsidR="00F61C2C" w:rsidRPr="00DF3372" w:rsidRDefault="00F61C2C" w:rsidP="0004468D">
            <w:pPr>
              <w:spacing w:before="40" w:after="40"/>
              <w:ind w:left="-108" w:right="-108"/>
              <w:jc w:val="center"/>
              <w:rPr>
                <w:rFonts w:cs="Arial"/>
                <w:b/>
              </w:rPr>
            </w:pPr>
            <w:r>
              <w:rPr>
                <w:rFonts w:cs="Arial"/>
                <w:b/>
              </w:rPr>
              <w:t>91</w:t>
            </w:r>
            <w:r w:rsidRPr="00DF3372">
              <w:rPr>
                <w:rFonts w:cs="Arial"/>
                <w:b/>
              </w:rPr>
              <w:t>%</w:t>
            </w:r>
          </w:p>
          <w:p w14:paraId="41D3DFE8" w14:textId="77777777" w:rsidR="00F61C2C" w:rsidRPr="00DF3372" w:rsidRDefault="00F61C2C" w:rsidP="0004468D">
            <w:pPr>
              <w:spacing w:before="40" w:after="40"/>
              <w:ind w:left="-159" w:right="-108"/>
              <w:jc w:val="center"/>
              <w:rPr>
                <w:rFonts w:cs="Arial"/>
              </w:rPr>
            </w:pPr>
            <w:r w:rsidRPr="00DF3372">
              <w:rPr>
                <w:rFonts w:cs="Arial"/>
              </w:rPr>
              <w:t>(1</w:t>
            </w:r>
            <w:r>
              <w:rPr>
                <w:rFonts w:cs="Arial"/>
              </w:rPr>
              <w:t>0</w:t>
            </w:r>
            <w:r w:rsidRPr="00DF3372">
              <w:rPr>
                <w:rFonts w:cs="Arial"/>
              </w:rPr>
              <w:t xml:space="preserve"> / 1</w:t>
            </w:r>
            <w:r>
              <w:rPr>
                <w:rFonts w:cs="Arial"/>
              </w:rPr>
              <w:t>1</w:t>
            </w:r>
            <w:r w:rsidRPr="00DF3372">
              <w:rPr>
                <w:rFonts w:cs="Arial"/>
              </w:rPr>
              <w:t>)</w:t>
            </w:r>
          </w:p>
        </w:tc>
        <w:tc>
          <w:tcPr>
            <w:tcW w:w="674" w:type="pct"/>
            <w:tcBorders>
              <w:top w:val="dotted" w:sz="4" w:space="0" w:color="auto"/>
              <w:left w:val="single" w:sz="12" w:space="0" w:color="auto"/>
              <w:bottom w:val="single" w:sz="4" w:space="0" w:color="auto"/>
              <w:right w:val="single" w:sz="4" w:space="0" w:color="auto"/>
            </w:tcBorders>
            <w:shd w:val="clear" w:color="auto" w:fill="FFFFFF"/>
          </w:tcPr>
          <w:p w14:paraId="78418CF6" w14:textId="77777777" w:rsidR="00F61C2C" w:rsidRPr="00DF3372" w:rsidRDefault="00F61C2C" w:rsidP="0004468D">
            <w:pPr>
              <w:spacing w:before="40" w:after="40"/>
              <w:ind w:left="-108" w:right="-108"/>
              <w:jc w:val="center"/>
              <w:rPr>
                <w:b/>
              </w:rPr>
            </w:pPr>
            <w:r w:rsidRPr="00DF3372">
              <w:rPr>
                <w:rFonts w:cs="Arial"/>
              </w:rPr>
              <w:t>&gt; 6</w:t>
            </w:r>
            <w:r>
              <w:rPr>
                <w:rFonts w:cs="Arial"/>
              </w:rPr>
              <w:t>5</w:t>
            </w:r>
            <w:r w:rsidRPr="00DF3372">
              <w:rPr>
                <w:rFonts w:cs="Arial"/>
              </w:rPr>
              <w:t>%</w:t>
            </w:r>
          </w:p>
        </w:tc>
        <w:tc>
          <w:tcPr>
            <w:tcW w:w="750" w:type="pct"/>
            <w:tcBorders>
              <w:top w:val="dotted" w:sz="4" w:space="0" w:color="auto"/>
              <w:left w:val="single" w:sz="4" w:space="0" w:color="auto"/>
              <w:bottom w:val="single" w:sz="4" w:space="0" w:color="auto"/>
              <w:right w:val="single" w:sz="2" w:space="0" w:color="auto"/>
            </w:tcBorders>
            <w:shd w:val="clear" w:color="auto" w:fill="F2F2F2"/>
          </w:tcPr>
          <w:p w14:paraId="05C9B6BA" w14:textId="77777777" w:rsidR="00F61C2C" w:rsidRPr="00DF3372" w:rsidRDefault="00F61C2C" w:rsidP="0004468D">
            <w:pPr>
              <w:spacing w:before="40" w:after="40"/>
              <w:ind w:left="-108" w:right="-108"/>
              <w:jc w:val="center"/>
              <w:rPr>
                <w:rFonts w:cs="Arial"/>
                <w:b/>
              </w:rPr>
            </w:pPr>
            <w:r>
              <w:rPr>
                <w:rFonts w:cs="Arial"/>
                <w:b/>
              </w:rPr>
              <w:t>100</w:t>
            </w:r>
            <w:r w:rsidRPr="00DF3372">
              <w:rPr>
                <w:rFonts w:cs="Arial"/>
                <w:b/>
              </w:rPr>
              <w:t>%</w:t>
            </w:r>
          </w:p>
          <w:p w14:paraId="2673ACB4" w14:textId="77777777" w:rsidR="00F61C2C" w:rsidRPr="00DF3372" w:rsidRDefault="00F61C2C" w:rsidP="0004468D">
            <w:pPr>
              <w:spacing w:before="40" w:after="40"/>
              <w:ind w:left="-159" w:right="-108"/>
              <w:jc w:val="center"/>
              <w:rPr>
                <w:rFonts w:cs="Arial"/>
                <w:highlight w:val="yellow"/>
              </w:rPr>
            </w:pPr>
            <w:r w:rsidRPr="00DF3372">
              <w:rPr>
                <w:rFonts w:cs="Arial"/>
              </w:rPr>
              <w:t>(</w:t>
            </w:r>
            <w:r>
              <w:rPr>
                <w:rFonts w:cs="Arial"/>
              </w:rPr>
              <w:t>9</w:t>
            </w:r>
            <w:r w:rsidRPr="00DF3372">
              <w:rPr>
                <w:rFonts w:cs="Arial"/>
              </w:rPr>
              <w:t xml:space="preserve"> / </w:t>
            </w:r>
            <w:r>
              <w:rPr>
                <w:rFonts w:cs="Arial"/>
              </w:rPr>
              <w:t>9</w:t>
            </w:r>
            <w:r w:rsidRPr="00DF3372">
              <w:rPr>
                <w:rFonts w:cs="Arial"/>
              </w:rPr>
              <w:t>)</w:t>
            </w:r>
          </w:p>
        </w:tc>
        <w:tc>
          <w:tcPr>
            <w:tcW w:w="584" w:type="pct"/>
            <w:tcBorders>
              <w:top w:val="dotted" w:sz="4" w:space="0" w:color="auto"/>
              <w:left w:val="single" w:sz="2" w:space="0" w:color="auto"/>
              <w:bottom w:val="single" w:sz="4" w:space="0" w:color="auto"/>
              <w:right w:val="single" w:sz="12" w:space="0" w:color="auto"/>
            </w:tcBorders>
            <w:shd w:val="clear" w:color="auto" w:fill="92D050"/>
          </w:tcPr>
          <w:p w14:paraId="3EB53288" w14:textId="77777777" w:rsidR="00F61C2C" w:rsidRPr="00342E77" w:rsidRDefault="00F61C2C" w:rsidP="0004468D">
            <w:pPr>
              <w:spacing w:before="40"/>
              <w:jc w:val="center"/>
            </w:pPr>
            <w:r w:rsidRPr="00201147">
              <w:rPr>
                <w:sz w:val="40"/>
                <w:szCs w:val="52"/>
              </w:rPr>
              <w:sym w:font="Wingdings" w:char="F04A"/>
            </w:r>
          </w:p>
          <w:p w14:paraId="48606DA3" w14:textId="77777777" w:rsidR="00F61C2C" w:rsidRPr="00B27497" w:rsidRDefault="00F61C2C" w:rsidP="0004468D">
            <w:pPr>
              <w:ind w:left="-108" w:right="-108"/>
              <w:jc w:val="center"/>
              <w:rPr>
                <w:highlight w:val="yellow"/>
              </w:rPr>
            </w:pPr>
            <w:r>
              <w:t>Yes</w:t>
            </w:r>
          </w:p>
        </w:tc>
      </w:tr>
      <w:tr w:rsidR="00F61C2C" w:rsidRPr="00B27497" w14:paraId="59268F5D" w14:textId="77777777" w:rsidTr="00103388">
        <w:trPr>
          <w:trHeight w:val="970"/>
        </w:trPr>
        <w:tc>
          <w:tcPr>
            <w:tcW w:w="2168" w:type="pct"/>
            <w:tcBorders>
              <w:top w:val="single" w:sz="4" w:space="0" w:color="auto"/>
              <w:left w:val="single" w:sz="12" w:space="0" w:color="auto"/>
              <w:bottom w:val="single" w:sz="4" w:space="0" w:color="auto"/>
              <w:right w:val="single" w:sz="12" w:space="0" w:color="auto"/>
            </w:tcBorders>
            <w:shd w:val="clear" w:color="auto" w:fill="FFFFFF"/>
          </w:tcPr>
          <w:p w14:paraId="5812E218" w14:textId="77777777" w:rsidR="00F61C2C" w:rsidRPr="002F63EB" w:rsidRDefault="00F61C2C" w:rsidP="0004468D">
            <w:pPr>
              <w:spacing w:before="40"/>
            </w:pPr>
            <w:r w:rsidRPr="002F63EB">
              <w:t>Minor planning applications determined within eight weeks</w:t>
            </w:r>
          </w:p>
        </w:tc>
        <w:tc>
          <w:tcPr>
            <w:tcW w:w="824" w:type="pct"/>
            <w:tcBorders>
              <w:top w:val="single" w:sz="4" w:space="0" w:color="auto"/>
              <w:left w:val="single" w:sz="12" w:space="0" w:color="auto"/>
              <w:bottom w:val="single" w:sz="4" w:space="0" w:color="auto"/>
              <w:right w:val="single" w:sz="12" w:space="0" w:color="auto"/>
            </w:tcBorders>
            <w:shd w:val="clear" w:color="auto" w:fill="F2F2F2"/>
          </w:tcPr>
          <w:p w14:paraId="6778848A" w14:textId="77777777" w:rsidR="00F61C2C" w:rsidRPr="002779D7" w:rsidRDefault="00F61C2C" w:rsidP="0004468D">
            <w:pPr>
              <w:spacing w:before="40" w:after="40"/>
              <w:ind w:left="-108" w:right="-108"/>
              <w:jc w:val="center"/>
              <w:rPr>
                <w:rFonts w:cs="Arial"/>
                <w:b/>
              </w:rPr>
            </w:pPr>
            <w:r w:rsidRPr="002779D7">
              <w:rPr>
                <w:rFonts w:cs="Arial"/>
                <w:b/>
              </w:rPr>
              <w:t>54%</w:t>
            </w:r>
          </w:p>
          <w:p w14:paraId="15818976" w14:textId="77777777" w:rsidR="00F61C2C" w:rsidRPr="002779D7" w:rsidRDefault="00F61C2C" w:rsidP="0004468D">
            <w:pPr>
              <w:spacing w:before="40" w:after="40"/>
              <w:ind w:left="-159" w:right="-108"/>
              <w:jc w:val="center"/>
              <w:rPr>
                <w:rFonts w:cs="Arial"/>
                <w:bCs/>
              </w:rPr>
            </w:pPr>
            <w:r w:rsidRPr="002779D7">
              <w:rPr>
                <w:rFonts w:cs="Arial"/>
                <w:bCs/>
              </w:rPr>
              <w:t>(181 / 336)</w:t>
            </w:r>
          </w:p>
        </w:tc>
        <w:tc>
          <w:tcPr>
            <w:tcW w:w="674" w:type="pct"/>
            <w:tcBorders>
              <w:top w:val="single" w:sz="4" w:space="0" w:color="auto"/>
              <w:left w:val="single" w:sz="12" w:space="0" w:color="auto"/>
              <w:bottom w:val="single" w:sz="4" w:space="0" w:color="auto"/>
              <w:right w:val="single" w:sz="4" w:space="0" w:color="auto"/>
            </w:tcBorders>
            <w:shd w:val="clear" w:color="auto" w:fill="FFFFFF"/>
          </w:tcPr>
          <w:p w14:paraId="258339DA" w14:textId="77777777" w:rsidR="00F61C2C" w:rsidRPr="00DF3372" w:rsidRDefault="00F61C2C" w:rsidP="0004468D">
            <w:pPr>
              <w:spacing w:before="40" w:after="40"/>
              <w:ind w:left="-108" w:right="-108"/>
              <w:jc w:val="center"/>
              <w:rPr>
                <w:rFonts w:cs="Arial"/>
              </w:rPr>
            </w:pPr>
            <w:r w:rsidRPr="00DF3372">
              <w:rPr>
                <w:rFonts w:cs="Arial"/>
              </w:rPr>
              <w:t xml:space="preserve">&gt; </w:t>
            </w:r>
            <w:r>
              <w:rPr>
                <w:rFonts w:cs="Arial"/>
              </w:rPr>
              <w:t>70</w:t>
            </w:r>
            <w:r w:rsidRPr="00DF3372">
              <w:rPr>
                <w:rFonts w:cs="Arial"/>
              </w:rPr>
              <w:t>%</w:t>
            </w:r>
          </w:p>
        </w:tc>
        <w:tc>
          <w:tcPr>
            <w:tcW w:w="750" w:type="pct"/>
            <w:tcBorders>
              <w:top w:val="single" w:sz="4" w:space="0" w:color="auto"/>
              <w:left w:val="single" w:sz="4" w:space="0" w:color="auto"/>
              <w:bottom w:val="single" w:sz="4" w:space="0" w:color="auto"/>
              <w:right w:val="single" w:sz="2" w:space="0" w:color="auto"/>
            </w:tcBorders>
            <w:shd w:val="clear" w:color="auto" w:fill="F2F2F2"/>
          </w:tcPr>
          <w:p w14:paraId="364F2CB3" w14:textId="77777777" w:rsidR="00F61C2C" w:rsidRPr="00DF3372" w:rsidRDefault="00F61C2C" w:rsidP="0004468D">
            <w:pPr>
              <w:spacing w:before="40" w:after="40"/>
              <w:ind w:left="-108" w:right="-108"/>
              <w:jc w:val="center"/>
              <w:rPr>
                <w:rFonts w:cs="Arial"/>
                <w:b/>
              </w:rPr>
            </w:pPr>
            <w:r>
              <w:rPr>
                <w:rFonts w:cs="Arial"/>
                <w:b/>
              </w:rPr>
              <w:t>67</w:t>
            </w:r>
            <w:r w:rsidRPr="00DF3372">
              <w:rPr>
                <w:rFonts w:cs="Arial"/>
                <w:b/>
              </w:rPr>
              <w:t>%</w:t>
            </w:r>
          </w:p>
          <w:p w14:paraId="167293F7" w14:textId="77777777" w:rsidR="00F61C2C" w:rsidRPr="00DF3372" w:rsidRDefault="00F61C2C" w:rsidP="0004468D">
            <w:pPr>
              <w:spacing w:before="40" w:after="40"/>
              <w:ind w:left="-108" w:right="-108"/>
              <w:jc w:val="center"/>
              <w:rPr>
                <w:rFonts w:cs="Arial"/>
              </w:rPr>
            </w:pPr>
            <w:r w:rsidRPr="00DF3372">
              <w:rPr>
                <w:rFonts w:cs="Arial"/>
              </w:rPr>
              <w:t>(</w:t>
            </w:r>
            <w:r>
              <w:rPr>
                <w:rFonts w:cs="Arial"/>
              </w:rPr>
              <w:t>151</w:t>
            </w:r>
            <w:r w:rsidRPr="00DF3372">
              <w:rPr>
                <w:rFonts w:cs="Arial"/>
              </w:rPr>
              <w:t xml:space="preserve"> / </w:t>
            </w:r>
            <w:r>
              <w:rPr>
                <w:rFonts w:cs="Arial"/>
              </w:rPr>
              <w:t>225</w:t>
            </w:r>
            <w:r w:rsidRPr="00DF3372">
              <w:rPr>
                <w:rFonts w:cs="Arial"/>
              </w:rPr>
              <w:t>)</w:t>
            </w:r>
          </w:p>
        </w:tc>
        <w:tc>
          <w:tcPr>
            <w:tcW w:w="584" w:type="pct"/>
            <w:tcBorders>
              <w:top w:val="dotted" w:sz="4" w:space="0" w:color="auto"/>
              <w:left w:val="single" w:sz="2" w:space="0" w:color="auto"/>
              <w:bottom w:val="single" w:sz="4" w:space="0" w:color="auto"/>
              <w:right w:val="single" w:sz="12" w:space="0" w:color="auto"/>
            </w:tcBorders>
            <w:shd w:val="clear" w:color="auto" w:fill="FF0000"/>
          </w:tcPr>
          <w:p w14:paraId="44A32267" w14:textId="77777777" w:rsidR="00F61C2C" w:rsidRPr="00342E77" w:rsidRDefault="00F61C2C" w:rsidP="0004468D">
            <w:pPr>
              <w:spacing w:before="40"/>
              <w:jc w:val="center"/>
            </w:pPr>
            <w:r w:rsidRPr="00201147">
              <w:rPr>
                <w:sz w:val="40"/>
                <w:szCs w:val="52"/>
              </w:rPr>
              <w:sym w:font="Wingdings" w:char="F04C"/>
            </w:r>
          </w:p>
          <w:p w14:paraId="416BA1AF" w14:textId="77777777" w:rsidR="00F61C2C" w:rsidRPr="00B27497" w:rsidRDefault="00F61C2C" w:rsidP="0004468D">
            <w:pPr>
              <w:ind w:left="-108" w:right="-108"/>
              <w:jc w:val="center"/>
              <w:rPr>
                <w:highlight w:val="yellow"/>
              </w:rPr>
            </w:pPr>
            <w:r>
              <w:t>No</w:t>
            </w:r>
          </w:p>
        </w:tc>
      </w:tr>
      <w:tr w:rsidR="00F61C2C" w:rsidRPr="00B43F48" w14:paraId="43C05985" w14:textId="77777777" w:rsidTr="00103388">
        <w:trPr>
          <w:trHeight w:val="984"/>
        </w:trPr>
        <w:tc>
          <w:tcPr>
            <w:tcW w:w="2168" w:type="pct"/>
            <w:tcBorders>
              <w:top w:val="single" w:sz="4" w:space="0" w:color="auto"/>
              <w:left w:val="single" w:sz="12" w:space="0" w:color="auto"/>
              <w:bottom w:val="single" w:sz="4" w:space="0" w:color="auto"/>
              <w:right w:val="single" w:sz="12" w:space="0" w:color="auto"/>
            </w:tcBorders>
            <w:shd w:val="clear" w:color="auto" w:fill="FFFFFF"/>
          </w:tcPr>
          <w:p w14:paraId="3756C5FE" w14:textId="77777777" w:rsidR="00F61C2C" w:rsidRPr="00B43F48" w:rsidRDefault="00F61C2C" w:rsidP="0004468D">
            <w:pPr>
              <w:spacing w:before="40"/>
            </w:pPr>
            <w:r w:rsidRPr="00B43F48">
              <w:t>Other planning applications determined within eight weeks</w:t>
            </w:r>
          </w:p>
        </w:tc>
        <w:tc>
          <w:tcPr>
            <w:tcW w:w="824" w:type="pct"/>
            <w:tcBorders>
              <w:top w:val="single" w:sz="4" w:space="0" w:color="auto"/>
              <w:left w:val="single" w:sz="12" w:space="0" w:color="auto"/>
              <w:bottom w:val="single" w:sz="4" w:space="0" w:color="auto"/>
              <w:right w:val="single" w:sz="12" w:space="0" w:color="auto"/>
            </w:tcBorders>
            <w:shd w:val="clear" w:color="auto" w:fill="F2F2F2"/>
          </w:tcPr>
          <w:p w14:paraId="16F667A2" w14:textId="77777777" w:rsidR="00F61C2C" w:rsidRPr="002779D7" w:rsidRDefault="00F61C2C" w:rsidP="0004468D">
            <w:pPr>
              <w:spacing w:before="40" w:after="40"/>
              <w:ind w:left="-108" w:right="-108"/>
              <w:jc w:val="center"/>
              <w:rPr>
                <w:rFonts w:cs="Arial"/>
                <w:b/>
              </w:rPr>
            </w:pPr>
            <w:r w:rsidRPr="002779D7">
              <w:rPr>
                <w:rFonts w:cs="Arial"/>
                <w:b/>
              </w:rPr>
              <w:t>69%</w:t>
            </w:r>
          </w:p>
          <w:p w14:paraId="05F27AD6" w14:textId="77777777" w:rsidR="00F61C2C" w:rsidRPr="002779D7" w:rsidRDefault="00F61C2C" w:rsidP="0004468D">
            <w:pPr>
              <w:spacing w:before="40" w:after="40"/>
              <w:ind w:left="-159" w:right="-108"/>
              <w:jc w:val="center"/>
              <w:rPr>
                <w:rFonts w:cs="Arial"/>
                <w:bCs/>
              </w:rPr>
            </w:pPr>
            <w:r w:rsidRPr="002779D7">
              <w:rPr>
                <w:rFonts w:cs="Arial"/>
                <w:bCs/>
              </w:rPr>
              <w:t>(329 / 480)</w:t>
            </w:r>
          </w:p>
        </w:tc>
        <w:tc>
          <w:tcPr>
            <w:tcW w:w="674" w:type="pct"/>
            <w:tcBorders>
              <w:top w:val="single" w:sz="4" w:space="0" w:color="auto"/>
              <w:left w:val="single" w:sz="12" w:space="0" w:color="auto"/>
              <w:bottom w:val="single" w:sz="4" w:space="0" w:color="auto"/>
              <w:right w:val="single" w:sz="4" w:space="0" w:color="auto"/>
            </w:tcBorders>
            <w:shd w:val="clear" w:color="auto" w:fill="FFFFFF"/>
          </w:tcPr>
          <w:p w14:paraId="425F1412" w14:textId="77777777" w:rsidR="00F61C2C" w:rsidRPr="00DF3372" w:rsidRDefault="00F61C2C" w:rsidP="0004468D">
            <w:pPr>
              <w:spacing w:before="40" w:after="40"/>
              <w:ind w:left="-108" w:right="-108"/>
              <w:jc w:val="center"/>
            </w:pPr>
            <w:r w:rsidRPr="00DF3372">
              <w:rPr>
                <w:rFonts w:cs="Arial"/>
              </w:rPr>
              <w:t>&gt; 80%</w:t>
            </w:r>
          </w:p>
        </w:tc>
        <w:tc>
          <w:tcPr>
            <w:tcW w:w="750" w:type="pct"/>
            <w:tcBorders>
              <w:top w:val="single" w:sz="4" w:space="0" w:color="auto"/>
              <w:left w:val="single" w:sz="4" w:space="0" w:color="auto"/>
              <w:bottom w:val="single" w:sz="4" w:space="0" w:color="auto"/>
              <w:right w:val="single" w:sz="2" w:space="0" w:color="auto"/>
            </w:tcBorders>
            <w:shd w:val="clear" w:color="auto" w:fill="F2F2F2"/>
          </w:tcPr>
          <w:p w14:paraId="5491D672" w14:textId="77777777" w:rsidR="00F61C2C" w:rsidRPr="00DF3372" w:rsidRDefault="00F61C2C" w:rsidP="0004468D">
            <w:pPr>
              <w:spacing w:before="40" w:after="40"/>
              <w:ind w:left="-108" w:right="-108"/>
              <w:jc w:val="center"/>
              <w:rPr>
                <w:rFonts w:cs="Arial"/>
                <w:b/>
              </w:rPr>
            </w:pPr>
            <w:r>
              <w:rPr>
                <w:rFonts w:cs="Arial"/>
                <w:b/>
              </w:rPr>
              <w:t>74</w:t>
            </w:r>
            <w:r w:rsidRPr="00DF3372">
              <w:rPr>
                <w:rFonts w:cs="Arial"/>
                <w:b/>
              </w:rPr>
              <w:t>%</w:t>
            </w:r>
          </w:p>
          <w:p w14:paraId="79DCC06E" w14:textId="77777777" w:rsidR="00F61C2C" w:rsidRPr="00DF3372" w:rsidRDefault="00F61C2C" w:rsidP="0004468D">
            <w:pPr>
              <w:spacing w:before="40" w:after="40"/>
              <w:ind w:left="-159" w:right="-108"/>
              <w:jc w:val="center"/>
              <w:rPr>
                <w:rFonts w:cs="Arial"/>
              </w:rPr>
            </w:pPr>
            <w:r w:rsidRPr="00DF3372">
              <w:rPr>
                <w:rFonts w:cs="Arial"/>
              </w:rPr>
              <w:t>(</w:t>
            </w:r>
            <w:r>
              <w:rPr>
                <w:rFonts w:cs="Arial"/>
              </w:rPr>
              <w:t>308</w:t>
            </w:r>
            <w:r w:rsidRPr="00DF3372">
              <w:rPr>
                <w:rFonts w:cs="Arial"/>
              </w:rPr>
              <w:t xml:space="preserve"> / 4</w:t>
            </w:r>
            <w:r>
              <w:rPr>
                <w:rFonts w:cs="Arial"/>
              </w:rPr>
              <w:t>14</w:t>
            </w:r>
            <w:r w:rsidRPr="00DF3372">
              <w:rPr>
                <w:rFonts w:cs="Arial"/>
              </w:rPr>
              <w:t>)</w:t>
            </w:r>
          </w:p>
        </w:tc>
        <w:tc>
          <w:tcPr>
            <w:tcW w:w="584" w:type="pct"/>
            <w:tcBorders>
              <w:top w:val="single" w:sz="4" w:space="0" w:color="auto"/>
              <w:left w:val="single" w:sz="2" w:space="0" w:color="auto"/>
              <w:bottom w:val="single" w:sz="4" w:space="0" w:color="auto"/>
              <w:right w:val="single" w:sz="12" w:space="0" w:color="auto"/>
            </w:tcBorders>
            <w:shd w:val="clear" w:color="auto" w:fill="FF0000"/>
          </w:tcPr>
          <w:p w14:paraId="24CF472E" w14:textId="77777777" w:rsidR="00F61C2C" w:rsidRPr="00342E77" w:rsidRDefault="00F61C2C" w:rsidP="0004468D">
            <w:pPr>
              <w:spacing w:before="40"/>
              <w:jc w:val="center"/>
            </w:pPr>
            <w:r w:rsidRPr="00201147">
              <w:rPr>
                <w:sz w:val="40"/>
                <w:szCs w:val="52"/>
              </w:rPr>
              <w:sym w:font="Wingdings" w:char="F04C"/>
            </w:r>
          </w:p>
          <w:p w14:paraId="3EEA7612" w14:textId="77777777" w:rsidR="00F61C2C" w:rsidRPr="00B43F48" w:rsidRDefault="00F61C2C" w:rsidP="0004468D">
            <w:pPr>
              <w:ind w:left="-108" w:right="-108"/>
              <w:jc w:val="center"/>
            </w:pPr>
            <w:r>
              <w:t>No</w:t>
            </w:r>
          </w:p>
        </w:tc>
      </w:tr>
      <w:tr w:rsidR="00F61C2C" w:rsidRPr="00B43F48" w14:paraId="3A5E69FB" w14:textId="77777777" w:rsidTr="00103388">
        <w:trPr>
          <w:trHeight w:val="984"/>
        </w:trPr>
        <w:tc>
          <w:tcPr>
            <w:tcW w:w="2168" w:type="pct"/>
            <w:tcBorders>
              <w:top w:val="single" w:sz="4" w:space="0" w:color="auto"/>
              <w:left w:val="single" w:sz="12" w:space="0" w:color="auto"/>
              <w:bottom w:val="single" w:sz="4" w:space="0" w:color="auto"/>
              <w:right w:val="single" w:sz="12" w:space="0" w:color="auto"/>
            </w:tcBorders>
            <w:shd w:val="clear" w:color="auto" w:fill="FFFFFF"/>
          </w:tcPr>
          <w:p w14:paraId="45371A02" w14:textId="77777777" w:rsidR="00F61C2C" w:rsidRPr="00B43F48" w:rsidRDefault="00F61C2C" w:rsidP="0004468D">
            <w:pPr>
              <w:spacing w:before="40" w:after="40"/>
            </w:pPr>
            <w:r>
              <w:t>Planning applications with Planning Performance Agreements, Environmental Impact Assessments or agreed time extensions determined within their agreed timescales</w:t>
            </w:r>
          </w:p>
        </w:tc>
        <w:tc>
          <w:tcPr>
            <w:tcW w:w="824" w:type="pct"/>
            <w:tcBorders>
              <w:top w:val="single" w:sz="4" w:space="0" w:color="auto"/>
              <w:left w:val="single" w:sz="12" w:space="0" w:color="auto"/>
              <w:bottom w:val="single" w:sz="4" w:space="0" w:color="auto"/>
              <w:right w:val="single" w:sz="12" w:space="0" w:color="auto"/>
            </w:tcBorders>
            <w:shd w:val="clear" w:color="auto" w:fill="F2F2F2"/>
          </w:tcPr>
          <w:p w14:paraId="6DED9EA2" w14:textId="77777777" w:rsidR="00F61C2C" w:rsidRPr="002779D7" w:rsidRDefault="00F61C2C" w:rsidP="0004468D">
            <w:pPr>
              <w:spacing w:before="40" w:after="40"/>
              <w:ind w:left="-108" w:right="-108"/>
              <w:jc w:val="center"/>
              <w:rPr>
                <w:rFonts w:cs="Arial"/>
                <w:b/>
              </w:rPr>
            </w:pPr>
            <w:r>
              <w:rPr>
                <w:rFonts w:cs="Arial"/>
                <w:b/>
              </w:rPr>
              <w:t>84</w:t>
            </w:r>
            <w:r w:rsidRPr="002779D7">
              <w:rPr>
                <w:rFonts w:cs="Arial"/>
                <w:b/>
              </w:rPr>
              <w:t>%</w:t>
            </w:r>
          </w:p>
          <w:p w14:paraId="4FEB99DF" w14:textId="77777777" w:rsidR="00F61C2C" w:rsidRPr="002779D7" w:rsidRDefault="00F61C2C" w:rsidP="0004468D">
            <w:pPr>
              <w:spacing w:before="40" w:after="40"/>
              <w:ind w:left="-108" w:right="-108"/>
              <w:jc w:val="center"/>
              <w:rPr>
                <w:rFonts w:cs="Arial"/>
                <w:b/>
              </w:rPr>
            </w:pPr>
            <w:r w:rsidRPr="002779D7">
              <w:rPr>
                <w:rFonts w:cs="Arial"/>
                <w:bCs/>
              </w:rPr>
              <w:t>(</w:t>
            </w:r>
            <w:r>
              <w:rPr>
                <w:rFonts w:cs="Arial"/>
                <w:bCs/>
              </w:rPr>
              <w:t>249</w:t>
            </w:r>
            <w:r w:rsidRPr="002779D7">
              <w:rPr>
                <w:rFonts w:cs="Arial"/>
                <w:bCs/>
              </w:rPr>
              <w:t xml:space="preserve"> / </w:t>
            </w:r>
            <w:r>
              <w:rPr>
                <w:rFonts w:cs="Arial"/>
                <w:bCs/>
              </w:rPr>
              <w:t>297</w:t>
            </w:r>
            <w:r w:rsidRPr="002779D7">
              <w:rPr>
                <w:rFonts w:cs="Arial"/>
                <w:bCs/>
              </w:rPr>
              <w:t>)</w:t>
            </w:r>
          </w:p>
        </w:tc>
        <w:tc>
          <w:tcPr>
            <w:tcW w:w="674" w:type="pct"/>
            <w:tcBorders>
              <w:top w:val="single" w:sz="4" w:space="0" w:color="auto"/>
              <w:left w:val="single" w:sz="12" w:space="0" w:color="auto"/>
              <w:bottom w:val="single" w:sz="4" w:space="0" w:color="auto"/>
              <w:right w:val="single" w:sz="4" w:space="0" w:color="auto"/>
            </w:tcBorders>
            <w:shd w:val="clear" w:color="auto" w:fill="FFFFFF"/>
          </w:tcPr>
          <w:p w14:paraId="1C7AE4F1" w14:textId="77777777" w:rsidR="00F61C2C" w:rsidRPr="00DF3372" w:rsidRDefault="00F61C2C" w:rsidP="0004468D">
            <w:pPr>
              <w:spacing w:before="40" w:after="40"/>
              <w:ind w:left="-108" w:right="-108"/>
              <w:jc w:val="center"/>
              <w:rPr>
                <w:rFonts w:cs="Arial"/>
              </w:rPr>
            </w:pPr>
            <w:r w:rsidRPr="00DF3372">
              <w:rPr>
                <w:rFonts w:cs="Arial"/>
              </w:rPr>
              <w:t>&gt; 80%</w:t>
            </w:r>
          </w:p>
        </w:tc>
        <w:tc>
          <w:tcPr>
            <w:tcW w:w="750" w:type="pct"/>
            <w:tcBorders>
              <w:top w:val="single" w:sz="4" w:space="0" w:color="auto"/>
              <w:left w:val="single" w:sz="4" w:space="0" w:color="auto"/>
              <w:bottom w:val="single" w:sz="4" w:space="0" w:color="auto"/>
              <w:right w:val="single" w:sz="2" w:space="0" w:color="auto"/>
            </w:tcBorders>
            <w:shd w:val="clear" w:color="auto" w:fill="F2F2F2"/>
          </w:tcPr>
          <w:p w14:paraId="31ADBEBA" w14:textId="77777777" w:rsidR="00F61C2C" w:rsidRPr="00DF3372" w:rsidRDefault="00F61C2C" w:rsidP="0004468D">
            <w:pPr>
              <w:spacing w:before="40" w:after="40"/>
              <w:ind w:left="-108" w:right="-108"/>
              <w:jc w:val="center"/>
              <w:rPr>
                <w:rFonts w:cs="Arial"/>
                <w:b/>
              </w:rPr>
            </w:pPr>
            <w:r>
              <w:rPr>
                <w:rFonts w:cs="Arial"/>
                <w:b/>
              </w:rPr>
              <w:t>95</w:t>
            </w:r>
            <w:r w:rsidRPr="00DF3372">
              <w:rPr>
                <w:rFonts w:cs="Arial"/>
                <w:b/>
              </w:rPr>
              <w:t>%</w:t>
            </w:r>
          </w:p>
          <w:p w14:paraId="717AC2DA" w14:textId="77777777" w:rsidR="00F61C2C" w:rsidRDefault="00F61C2C" w:rsidP="0004468D">
            <w:pPr>
              <w:spacing w:before="40" w:after="40"/>
              <w:ind w:left="-108" w:right="-108"/>
              <w:jc w:val="center"/>
              <w:rPr>
                <w:rFonts w:cs="Arial"/>
                <w:b/>
              </w:rPr>
            </w:pPr>
            <w:r w:rsidRPr="00DF3372">
              <w:rPr>
                <w:rFonts w:cs="Arial"/>
              </w:rPr>
              <w:t>(</w:t>
            </w:r>
            <w:r>
              <w:rPr>
                <w:rFonts w:cs="Arial"/>
              </w:rPr>
              <w:t>362</w:t>
            </w:r>
            <w:r w:rsidRPr="00DF3372">
              <w:rPr>
                <w:rFonts w:cs="Arial"/>
              </w:rPr>
              <w:t xml:space="preserve"> / </w:t>
            </w:r>
            <w:r>
              <w:rPr>
                <w:rFonts w:cs="Arial"/>
              </w:rPr>
              <w:t>383</w:t>
            </w:r>
            <w:r w:rsidRPr="00DF3372">
              <w:rPr>
                <w:rFonts w:cs="Arial"/>
              </w:rPr>
              <w:t>)</w:t>
            </w:r>
          </w:p>
        </w:tc>
        <w:tc>
          <w:tcPr>
            <w:tcW w:w="584" w:type="pct"/>
            <w:tcBorders>
              <w:bottom w:val="single" w:sz="4" w:space="0" w:color="auto"/>
              <w:right w:val="single" w:sz="12" w:space="0" w:color="auto"/>
            </w:tcBorders>
            <w:shd w:val="clear" w:color="auto" w:fill="92D050"/>
          </w:tcPr>
          <w:p w14:paraId="0D922ADF" w14:textId="77777777" w:rsidR="00F61C2C" w:rsidRPr="00342E77" w:rsidRDefault="00F61C2C" w:rsidP="0004468D">
            <w:pPr>
              <w:spacing w:before="40"/>
              <w:jc w:val="center"/>
            </w:pPr>
            <w:r w:rsidRPr="00201147">
              <w:rPr>
                <w:sz w:val="40"/>
                <w:szCs w:val="52"/>
              </w:rPr>
              <w:sym w:font="Wingdings" w:char="F04A"/>
            </w:r>
          </w:p>
          <w:p w14:paraId="3B836249" w14:textId="77777777" w:rsidR="00F61C2C" w:rsidRPr="00201147" w:rsidRDefault="00F61C2C" w:rsidP="0004468D">
            <w:pPr>
              <w:spacing w:before="40"/>
              <w:jc w:val="center"/>
              <w:rPr>
                <w:sz w:val="40"/>
                <w:szCs w:val="52"/>
              </w:rPr>
            </w:pPr>
            <w:r>
              <w:t>Yes</w:t>
            </w:r>
          </w:p>
        </w:tc>
      </w:tr>
      <w:tr w:rsidR="00F61C2C" w:rsidRPr="00CD62C0" w14:paraId="554E4AE8" w14:textId="77777777" w:rsidTr="00103388">
        <w:trPr>
          <w:trHeight w:val="397"/>
        </w:trPr>
        <w:tc>
          <w:tcPr>
            <w:tcW w:w="5000" w:type="pct"/>
            <w:gridSpan w:val="5"/>
            <w:tcBorders>
              <w:top w:val="single" w:sz="12" w:space="0" w:color="auto"/>
              <w:left w:val="single" w:sz="12" w:space="0" w:color="auto"/>
              <w:bottom w:val="single" w:sz="2" w:space="0" w:color="auto"/>
              <w:right w:val="single" w:sz="12" w:space="0" w:color="auto"/>
            </w:tcBorders>
            <w:shd w:val="clear" w:color="auto" w:fill="F2F2F2"/>
            <w:vAlign w:val="center"/>
          </w:tcPr>
          <w:p w14:paraId="53148565" w14:textId="77777777" w:rsidR="00F61C2C" w:rsidRPr="00CD62C0" w:rsidRDefault="00F61C2C" w:rsidP="0004468D">
            <w:pPr>
              <w:spacing w:before="40" w:after="40"/>
              <w:rPr>
                <w:rFonts w:cs="Arial"/>
                <w:b/>
              </w:rPr>
            </w:pPr>
            <w:r>
              <w:rPr>
                <w:rFonts w:cs="Arial"/>
                <w:b/>
              </w:rPr>
              <w:t xml:space="preserve">Vision </w:t>
            </w:r>
            <w:r w:rsidRPr="00681DFF">
              <w:rPr>
                <w:rFonts w:cs="Arial"/>
                <w:b/>
              </w:rPr>
              <w:t>Outcome: Contributing to World Class Visitor Experiences</w:t>
            </w:r>
          </w:p>
        </w:tc>
      </w:tr>
      <w:tr w:rsidR="00F61C2C" w:rsidRPr="00B27497" w14:paraId="533D5858" w14:textId="77777777" w:rsidTr="00103388">
        <w:trPr>
          <w:trHeight w:val="1205"/>
        </w:trPr>
        <w:tc>
          <w:tcPr>
            <w:tcW w:w="2168" w:type="pct"/>
            <w:tcBorders>
              <w:top w:val="single" w:sz="2" w:space="0" w:color="auto"/>
              <w:left w:val="single" w:sz="12" w:space="0" w:color="auto"/>
              <w:right w:val="single" w:sz="12" w:space="0" w:color="auto"/>
            </w:tcBorders>
            <w:shd w:val="clear" w:color="auto" w:fill="FFFFFF"/>
          </w:tcPr>
          <w:p w14:paraId="379C909B" w14:textId="77777777" w:rsidR="00F61C2C" w:rsidRPr="00CD62C0" w:rsidRDefault="00F61C2C" w:rsidP="0004468D">
            <w:pPr>
              <w:spacing w:before="40" w:after="40"/>
            </w:pPr>
            <w:r>
              <w:t>F</w:t>
            </w:r>
            <w:r w:rsidRPr="00CD62C0">
              <w:t>ootpaths</w:t>
            </w:r>
            <w:r>
              <w:t xml:space="preserve"> and other rights of way which are easy to use, even though they may not follow the definitive line</w:t>
            </w:r>
          </w:p>
        </w:tc>
        <w:tc>
          <w:tcPr>
            <w:tcW w:w="824" w:type="pct"/>
            <w:tcBorders>
              <w:top w:val="single" w:sz="2" w:space="0" w:color="auto"/>
              <w:left w:val="single" w:sz="12" w:space="0" w:color="auto"/>
              <w:right w:val="single" w:sz="12" w:space="0" w:color="auto"/>
            </w:tcBorders>
            <w:shd w:val="clear" w:color="auto" w:fill="F2F2F2"/>
          </w:tcPr>
          <w:p w14:paraId="0C645A7C" w14:textId="77777777" w:rsidR="00F61C2C" w:rsidRDefault="00F61C2C" w:rsidP="0004468D">
            <w:pPr>
              <w:spacing w:before="40" w:after="40"/>
              <w:ind w:left="-108" w:right="-108"/>
              <w:jc w:val="center"/>
              <w:rPr>
                <w:rFonts w:cs="Arial"/>
                <w:b/>
              </w:rPr>
            </w:pPr>
            <w:r>
              <w:rPr>
                <w:rFonts w:cs="Arial"/>
                <w:b/>
              </w:rPr>
              <w:t>62%</w:t>
            </w:r>
          </w:p>
          <w:p w14:paraId="00F0082A" w14:textId="77777777" w:rsidR="00F61C2C" w:rsidRPr="00BF1E9D" w:rsidRDefault="00F61C2C" w:rsidP="0004468D">
            <w:pPr>
              <w:ind w:left="-108" w:right="-108"/>
              <w:jc w:val="center"/>
              <w:rPr>
                <w:rFonts w:cs="Arial"/>
                <w:sz w:val="22"/>
              </w:rPr>
            </w:pPr>
            <w:r>
              <w:rPr>
                <w:rFonts w:cs="Arial"/>
                <w:sz w:val="22"/>
              </w:rPr>
              <w:t>(May: 71</w:t>
            </w:r>
            <w:r w:rsidRPr="00BF1E9D">
              <w:rPr>
                <w:rFonts w:cs="Arial"/>
                <w:sz w:val="22"/>
              </w:rPr>
              <w:t>%</w:t>
            </w:r>
          </w:p>
          <w:p w14:paraId="1375E0D1" w14:textId="77777777" w:rsidR="00F61C2C" w:rsidRPr="008E5C08" w:rsidRDefault="00F61C2C" w:rsidP="0004468D">
            <w:pPr>
              <w:ind w:left="-108" w:right="-108"/>
              <w:jc w:val="center"/>
              <w:rPr>
                <w:rFonts w:cs="Arial"/>
              </w:rPr>
            </w:pPr>
            <w:r>
              <w:rPr>
                <w:rFonts w:cs="Arial"/>
                <w:sz w:val="22"/>
              </w:rPr>
              <w:t xml:space="preserve">  </w:t>
            </w:r>
            <w:r w:rsidRPr="00BF1E9D">
              <w:rPr>
                <w:rFonts w:cs="Arial"/>
                <w:sz w:val="22"/>
              </w:rPr>
              <w:t>No</w:t>
            </w:r>
            <w:r>
              <w:rPr>
                <w:rFonts w:cs="Arial"/>
                <w:sz w:val="22"/>
              </w:rPr>
              <w:t>v: 53</w:t>
            </w:r>
            <w:r w:rsidRPr="00BF1E9D">
              <w:rPr>
                <w:rFonts w:cs="Arial"/>
                <w:sz w:val="22"/>
              </w:rPr>
              <w:t>%</w:t>
            </w:r>
            <w:r>
              <w:rPr>
                <w:rFonts w:cs="Arial"/>
                <w:sz w:val="22"/>
              </w:rPr>
              <w:t>)</w:t>
            </w:r>
          </w:p>
        </w:tc>
        <w:tc>
          <w:tcPr>
            <w:tcW w:w="674" w:type="pct"/>
            <w:tcBorders>
              <w:top w:val="single" w:sz="2" w:space="0" w:color="auto"/>
              <w:left w:val="single" w:sz="12" w:space="0" w:color="auto"/>
              <w:bottom w:val="single" w:sz="4" w:space="0" w:color="auto"/>
              <w:right w:val="single" w:sz="4" w:space="0" w:color="auto"/>
            </w:tcBorders>
            <w:shd w:val="clear" w:color="auto" w:fill="auto"/>
          </w:tcPr>
          <w:p w14:paraId="2C3E7630" w14:textId="77777777" w:rsidR="00F61C2C" w:rsidRPr="00CD62C0" w:rsidRDefault="00F61C2C" w:rsidP="0004468D">
            <w:pPr>
              <w:spacing w:before="40" w:after="40"/>
              <w:ind w:left="-108" w:right="-108"/>
              <w:jc w:val="center"/>
              <w:rPr>
                <w:rFonts w:cs="Arial"/>
                <w:b/>
                <w:sz w:val="16"/>
              </w:rPr>
            </w:pPr>
            <w:r w:rsidRPr="00CD62C0">
              <w:rPr>
                <w:rFonts w:cs="Arial"/>
              </w:rPr>
              <w:t>&gt; 7</w:t>
            </w:r>
            <w:r>
              <w:rPr>
                <w:rFonts w:cs="Arial"/>
              </w:rPr>
              <w:t>0</w:t>
            </w:r>
            <w:r w:rsidRPr="00CD62C0">
              <w:rPr>
                <w:rFonts w:cs="Arial"/>
              </w:rPr>
              <w:t>%</w:t>
            </w:r>
          </w:p>
        </w:tc>
        <w:tc>
          <w:tcPr>
            <w:tcW w:w="750" w:type="pct"/>
            <w:tcBorders>
              <w:top w:val="single" w:sz="2" w:space="0" w:color="auto"/>
              <w:left w:val="single" w:sz="4" w:space="0" w:color="auto"/>
              <w:right w:val="single" w:sz="4" w:space="0" w:color="auto"/>
            </w:tcBorders>
            <w:shd w:val="clear" w:color="auto" w:fill="F2F2F2"/>
          </w:tcPr>
          <w:p w14:paraId="7348E09F" w14:textId="77777777" w:rsidR="00F61C2C" w:rsidRDefault="00F61C2C" w:rsidP="0004468D">
            <w:pPr>
              <w:spacing w:before="40" w:after="40"/>
              <w:ind w:left="-108" w:right="-108"/>
              <w:jc w:val="center"/>
              <w:rPr>
                <w:rFonts w:cs="Arial"/>
                <w:b/>
              </w:rPr>
            </w:pPr>
            <w:r>
              <w:rPr>
                <w:rFonts w:cs="Arial"/>
                <w:b/>
              </w:rPr>
              <w:t>56%</w:t>
            </w:r>
          </w:p>
          <w:p w14:paraId="4DDE1967" w14:textId="77777777" w:rsidR="00F61C2C" w:rsidRPr="00BF1E9D" w:rsidRDefault="00F61C2C" w:rsidP="0004468D">
            <w:pPr>
              <w:ind w:left="-108" w:right="-108"/>
              <w:jc w:val="center"/>
              <w:rPr>
                <w:rFonts w:cs="Arial"/>
                <w:sz w:val="22"/>
              </w:rPr>
            </w:pPr>
            <w:r>
              <w:rPr>
                <w:rFonts w:cs="Arial"/>
                <w:sz w:val="22"/>
              </w:rPr>
              <w:t>(May: 61</w:t>
            </w:r>
            <w:r w:rsidRPr="00BF1E9D">
              <w:rPr>
                <w:rFonts w:cs="Arial"/>
                <w:sz w:val="22"/>
              </w:rPr>
              <w:t>%</w:t>
            </w:r>
          </w:p>
          <w:p w14:paraId="5C815A5C" w14:textId="77777777" w:rsidR="00F61C2C" w:rsidRPr="00CD62C0" w:rsidRDefault="00F61C2C" w:rsidP="0004468D">
            <w:pPr>
              <w:ind w:left="-108" w:right="-108"/>
              <w:jc w:val="center"/>
              <w:rPr>
                <w:rFonts w:cs="Arial"/>
                <w:b/>
              </w:rPr>
            </w:pPr>
            <w:r>
              <w:rPr>
                <w:rFonts w:cs="Arial"/>
                <w:sz w:val="22"/>
              </w:rPr>
              <w:t xml:space="preserve">  </w:t>
            </w:r>
            <w:r w:rsidRPr="00BF1E9D">
              <w:rPr>
                <w:rFonts w:cs="Arial"/>
                <w:sz w:val="22"/>
              </w:rPr>
              <w:t>No</w:t>
            </w:r>
            <w:r>
              <w:rPr>
                <w:rFonts w:cs="Arial"/>
                <w:sz w:val="22"/>
              </w:rPr>
              <w:t>v: 51</w:t>
            </w:r>
            <w:r w:rsidRPr="00BF1E9D">
              <w:rPr>
                <w:rFonts w:cs="Arial"/>
                <w:sz w:val="22"/>
              </w:rPr>
              <w:t>%</w:t>
            </w:r>
            <w:r>
              <w:rPr>
                <w:rFonts w:cs="Arial"/>
                <w:sz w:val="22"/>
              </w:rPr>
              <w:t>)</w:t>
            </w:r>
          </w:p>
        </w:tc>
        <w:tc>
          <w:tcPr>
            <w:tcW w:w="584" w:type="pct"/>
            <w:tcBorders>
              <w:top w:val="single" w:sz="2" w:space="0" w:color="auto"/>
              <w:left w:val="single" w:sz="4" w:space="0" w:color="auto"/>
              <w:bottom w:val="single" w:sz="4" w:space="0" w:color="auto"/>
              <w:right w:val="single" w:sz="12" w:space="0" w:color="auto"/>
            </w:tcBorders>
            <w:shd w:val="clear" w:color="auto" w:fill="FF0000"/>
          </w:tcPr>
          <w:p w14:paraId="6974625F" w14:textId="77777777" w:rsidR="00F61C2C" w:rsidRPr="00342E77" w:rsidRDefault="00F61C2C" w:rsidP="0004468D">
            <w:pPr>
              <w:spacing w:before="40"/>
              <w:ind w:left="-108" w:right="-108"/>
              <w:jc w:val="center"/>
            </w:pPr>
            <w:r w:rsidRPr="00201147">
              <w:rPr>
                <w:sz w:val="40"/>
                <w:szCs w:val="52"/>
              </w:rPr>
              <w:sym w:font="Wingdings" w:char="F04C"/>
            </w:r>
          </w:p>
          <w:p w14:paraId="30EEC662" w14:textId="77777777" w:rsidR="00F61C2C" w:rsidRPr="00B27497" w:rsidRDefault="00F61C2C" w:rsidP="0004468D">
            <w:pPr>
              <w:ind w:left="-108" w:right="-108"/>
              <w:jc w:val="center"/>
              <w:rPr>
                <w:highlight w:val="yellow"/>
              </w:rPr>
            </w:pPr>
            <w:r>
              <w:t>No</w:t>
            </w:r>
          </w:p>
        </w:tc>
      </w:tr>
      <w:tr w:rsidR="00F61C2C" w:rsidRPr="00B27497" w14:paraId="0680C5DE" w14:textId="77777777" w:rsidTr="00103388">
        <w:trPr>
          <w:trHeight w:val="1018"/>
        </w:trPr>
        <w:tc>
          <w:tcPr>
            <w:tcW w:w="2168" w:type="pct"/>
            <w:tcBorders>
              <w:left w:val="single" w:sz="12" w:space="0" w:color="auto"/>
              <w:right w:val="single" w:sz="12" w:space="0" w:color="auto"/>
            </w:tcBorders>
            <w:shd w:val="clear" w:color="auto" w:fill="FFFFFF"/>
          </w:tcPr>
          <w:p w14:paraId="73731164" w14:textId="77777777" w:rsidR="00F61C2C" w:rsidRPr="00CD62C0" w:rsidRDefault="00F61C2C" w:rsidP="0004468D">
            <w:pPr>
              <w:spacing w:before="40" w:after="40"/>
            </w:pPr>
            <w:r>
              <w:t xml:space="preserve">Miles without Stiles routes which meet their </w:t>
            </w:r>
            <w:r w:rsidRPr="00DA67D5">
              <w:t>designation</w:t>
            </w:r>
            <w:r>
              <w:t xml:space="preserve"> category of ‘For All’, ‘For Many’ or ‘For Some’</w:t>
            </w:r>
          </w:p>
        </w:tc>
        <w:tc>
          <w:tcPr>
            <w:tcW w:w="824" w:type="pct"/>
            <w:tcBorders>
              <w:left w:val="single" w:sz="12" w:space="0" w:color="auto"/>
              <w:right w:val="single" w:sz="12" w:space="0" w:color="auto"/>
            </w:tcBorders>
            <w:shd w:val="clear" w:color="auto" w:fill="F2F2F2"/>
          </w:tcPr>
          <w:p w14:paraId="206F18F9" w14:textId="77777777" w:rsidR="00F61C2C" w:rsidRPr="00572A1D" w:rsidRDefault="00F61C2C" w:rsidP="0004468D">
            <w:pPr>
              <w:spacing w:before="40" w:after="40"/>
              <w:ind w:left="-108" w:right="-108"/>
              <w:jc w:val="center"/>
              <w:rPr>
                <w:rFonts w:cs="Arial"/>
                <w:b/>
              </w:rPr>
            </w:pPr>
            <w:r>
              <w:rPr>
                <w:rFonts w:cs="Arial"/>
                <w:b/>
              </w:rPr>
              <w:t>86</w:t>
            </w:r>
            <w:r w:rsidRPr="00572A1D">
              <w:rPr>
                <w:rFonts w:cs="Arial"/>
                <w:b/>
              </w:rPr>
              <w:t>%</w:t>
            </w:r>
          </w:p>
          <w:p w14:paraId="611DD4CF" w14:textId="77777777" w:rsidR="00F61C2C" w:rsidRPr="008E5C08" w:rsidRDefault="00F61C2C" w:rsidP="0004468D">
            <w:pPr>
              <w:spacing w:before="40" w:after="40"/>
              <w:ind w:left="-108" w:right="-108"/>
              <w:jc w:val="center"/>
              <w:rPr>
                <w:rFonts w:cs="Arial"/>
                <w:highlight w:val="yellow"/>
              </w:rPr>
            </w:pPr>
            <w:r>
              <w:rPr>
                <w:rFonts w:cs="Arial"/>
              </w:rPr>
              <w:t>(43</w:t>
            </w:r>
            <w:r w:rsidRPr="00572A1D">
              <w:rPr>
                <w:rFonts w:cs="Arial"/>
              </w:rPr>
              <w:t xml:space="preserve"> / </w:t>
            </w:r>
            <w:r>
              <w:rPr>
                <w:rFonts w:cs="Arial"/>
              </w:rPr>
              <w:t>50</w:t>
            </w:r>
            <w:r w:rsidRPr="00572A1D">
              <w:rPr>
                <w:rFonts w:cs="Arial"/>
              </w:rPr>
              <w:t>)</w:t>
            </w:r>
          </w:p>
        </w:tc>
        <w:tc>
          <w:tcPr>
            <w:tcW w:w="674" w:type="pct"/>
            <w:tcBorders>
              <w:left w:val="single" w:sz="12" w:space="0" w:color="auto"/>
              <w:right w:val="single" w:sz="4" w:space="0" w:color="auto"/>
            </w:tcBorders>
            <w:shd w:val="clear" w:color="auto" w:fill="auto"/>
          </w:tcPr>
          <w:p w14:paraId="5079E68F" w14:textId="77777777" w:rsidR="00F61C2C" w:rsidRPr="00DA67D5" w:rsidRDefault="00F61C2C" w:rsidP="0004468D">
            <w:pPr>
              <w:spacing w:before="40" w:after="40"/>
              <w:ind w:left="-108" w:right="-108"/>
              <w:jc w:val="center"/>
              <w:rPr>
                <w:rFonts w:cs="Arial"/>
              </w:rPr>
            </w:pPr>
            <w:r w:rsidRPr="00DA67D5">
              <w:rPr>
                <w:rFonts w:cs="Arial"/>
              </w:rPr>
              <w:t>&gt; 8</w:t>
            </w:r>
            <w:r>
              <w:rPr>
                <w:rFonts w:cs="Arial"/>
              </w:rPr>
              <w:t>0</w:t>
            </w:r>
            <w:r w:rsidRPr="00DA67D5">
              <w:rPr>
                <w:rFonts w:cs="Arial"/>
              </w:rPr>
              <w:t>%</w:t>
            </w:r>
          </w:p>
        </w:tc>
        <w:tc>
          <w:tcPr>
            <w:tcW w:w="750" w:type="pct"/>
            <w:tcBorders>
              <w:left w:val="single" w:sz="4" w:space="0" w:color="auto"/>
              <w:bottom w:val="single" w:sz="4" w:space="0" w:color="auto"/>
              <w:right w:val="single" w:sz="4" w:space="0" w:color="auto"/>
            </w:tcBorders>
            <w:shd w:val="clear" w:color="auto" w:fill="F2F2F2"/>
          </w:tcPr>
          <w:p w14:paraId="6F8EE239" w14:textId="77777777" w:rsidR="00F61C2C" w:rsidRPr="00572A1D" w:rsidRDefault="00F61C2C" w:rsidP="0004468D">
            <w:pPr>
              <w:spacing w:before="40" w:after="40"/>
              <w:ind w:left="-108" w:right="-108"/>
              <w:jc w:val="center"/>
              <w:rPr>
                <w:rFonts w:cs="Arial"/>
                <w:b/>
              </w:rPr>
            </w:pPr>
            <w:r>
              <w:rPr>
                <w:rFonts w:cs="Arial"/>
                <w:b/>
              </w:rPr>
              <w:t>50</w:t>
            </w:r>
            <w:r w:rsidRPr="00572A1D">
              <w:rPr>
                <w:rFonts w:cs="Arial"/>
                <w:b/>
              </w:rPr>
              <w:t>%</w:t>
            </w:r>
          </w:p>
          <w:p w14:paraId="5789A296" w14:textId="77777777" w:rsidR="00F61C2C" w:rsidRPr="00572A1D" w:rsidRDefault="00F61C2C" w:rsidP="0004468D">
            <w:pPr>
              <w:spacing w:before="40" w:after="40"/>
              <w:ind w:left="-108" w:right="-108"/>
              <w:jc w:val="center"/>
              <w:rPr>
                <w:rFonts w:cs="Arial"/>
              </w:rPr>
            </w:pPr>
            <w:r>
              <w:rPr>
                <w:rFonts w:cs="Arial"/>
              </w:rPr>
              <w:t>(25</w:t>
            </w:r>
            <w:r w:rsidRPr="00572A1D">
              <w:rPr>
                <w:rFonts w:cs="Arial"/>
              </w:rPr>
              <w:t xml:space="preserve"> / </w:t>
            </w:r>
            <w:r>
              <w:rPr>
                <w:rFonts w:cs="Arial"/>
              </w:rPr>
              <w:t>50</w:t>
            </w:r>
            <w:r w:rsidRPr="00572A1D">
              <w:rPr>
                <w:rFonts w:cs="Arial"/>
              </w:rPr>
              <w:t>)</w:t>
            </w:r>
          </w:p>
        </w:tc>
        <w:tc>
          <w:tcPr>
            <w:tcW w:w="584" w:type="pct"/>
            <w:tcBorders>
              <w:top w:val="single" w:sz="4" w:space="0" w:color="auto"/>
              <w:left w:val="single" w:sz="2" w:space="0" w:color="auto"/>
              <w:bottom w:val="single" w:sz="4" w:space="0" w:color="auto"/>
              <w:right w:val="single" w:sz="12" w:space="0" w:color="auto"/>
            </w:tcBorders>
            <w:shd w:val="clear" w:color="auto" w:fill="FF0000"/>
          </w:tcPr>
          <w:p w14:paraId="562F3453" w14:textId="77777777" w:rsidR="00F61C2C" w:rsidRPr="00342E77" w:rsidRDefault="00F61C2C" w:rsidP="0004468D">
            <w:pPr>
              <w:spacing w:before="40"/>
              <w:jc w:val="center"/>
            </w:pPr>
            <w:r w:rsidRPr="00201147">
              <w:rPr>
                <w:sz w:val="40"/>
                <w:szCs w:val="52"/>
              </w:rPr>
              <w:sym w:font="Wingdings" w:char="F04C"/>
            </w:r>
          </w:p>
          <w:p w14:paraId="6BF73A34" w14:textId="77777777" w:rsidR="00F61C2C" w:rsidRPr="00572A1D" w:rsidRDefault="00F61C2C" w:rsidP="0004468D">
            <w:pPr>
              <w:ind w:left="-108" w:right="-108"/>
              <w:jc w:val="center"/>
              <w:rPr>
                <w:highlight w:val="yellow"/>
              </w:rPr>
            </w:pPr>
            <w:r>
              <w:t>No</w:t>
            </w:r>
          </w:p>
        </w:tc>
      </w:tr>
      <w:tr w:rsidR="00F61C2C" w:rsidRPr="001D72FE" w14:paraId="77E3827B" w14:textId="77777777" w:rsidTr="00103388">
        <w:trPr>
          <w:trHeight w:val="397"/>
        </w:trPr>
        <w:tc>
          <w:tcPr>
            <w:tcW w:w="5000" w:type="pct"/>
            <w:gridSpan w:val="5"/>
            <w:tcBorders>
              <w:top w:val="single" w:sz="12" w:space="0" w:color="auto"/>
              <w:left w:val="single" w:sz="12" w:space="0" w:color="auto"/>
              <w:bottom w:val="single" w:sz="2" w:space="0" w:color="auto"/>
              <w:right w:val="single" w:sz="12" w:space="0" w:color="auto"/>
            </w:tcBorders>
            <w:shd w:val="clear" w:color="auto" w:fill="F2F2F2"/>
            <w:vAlign w:val="center"/>
          </w:tcPr>
          <w:p w14:paraId="15339B8F" w14:textId="77777777" w:rsidR="00F61C2C" w:rsidRPr="001D72FE" w:rsidRDefault="00F61C2C" w:rsidP="0004468D">
            <w:pPr>
              <w:spacing w:before="40" w:after="40"/>
              <w:rPr>
                <w:rFonts w:cs="Arial"/>
                <w:b/>
              </w:rPr>
            </w:pPr>
            <w:r>
              <w:rPr>
                <w:rFonts w:cs="Arial"/>
                <w:b/>
              </w:rPr>
              <w:t xml:space="preserve">Vision </w:t>
            </w:r>
            <w:r w:rsidRPr="00681DFF">
              <w:rPr>
                <w:rFonts w:cs="Arial"/>
                <w:b/>
              </w:rPr>
              <w:t>Outcome: Contributing to Vibrant Communities</w:t>
            </w:r>
          </w:p>
        </w:tc>
      </w:tr>
      <w:tr w:rsidR="00F61C2C" w:rsidRPr="00B27497" w14:paraId="36C4C950" w14:textId="77777777" w:rsidTr="00103388">
        <w:trPr>
          <w:trHeight w:val="885"/>
        </w:trPr>
        <w:tc>
          <w:tcPr>
            <w:tcW w:w="2168" w:type="pct"/>
            <w:tcBorders>
              <w:left w:val="single" w:sz="12" w:space="0" w:color="auto"/>
              <w:bottom w:val="single" w:sz="4" w:space="0" w:color="auto"/>
              <w:right w:val="single" w:sz="12" w:space="0" w:color="auto"/>
            </w:tcBorders>
            <w:shd w:val="clear" w:color="auto" w:fill="FFFFFF"/>
          </w:tcPr>
          <w:p w14:paraId="6E119819" w14:textId="77777777" w:rsidR="00F61C2C" w:rsidRPr="001D72FE" w:rsidRDefault="00F61C2C" w:rsidP="0004468D">
            <w:pPr>
              <w:spacing w:before="40"/>
            </w:pPr>
            <w:r w:rsidRPr="001D72FE">
              <w:t>Local needs homes</w:t>
            </w:r>
          </w:p>
          <w:p w14:paraId="3404FB2F" w14:textId="77777777" w:rsidR="00F61C2C" w:rsidRPr="001D72FE" w:rsidRDefault="00F61C2C" w:rsidP="0004468D">
            <w:r w:rsidRPr="001D72FE">
              <w:t>granted planning permission (units)</w:t>
            </w:r>
          </w:p>
        </w:tc>
        <w:tc>
          <w:tcPr>
            <w:tcW w:w="824" w:type="pct"/>
            <w:tcBorders>
              <w:left w:val="single" w:sz="12" w:space="0" w:color="auto"/>
              <w:bottom w:val="single" w:sz="4" w:space="0" w:color="auto"/>
              <w:right w:val="single" w:sz="12" w:space="0" w:color="auto"/>
            </w:tcBorders>
            <w:shd w:val="clear" w:color="auto" w:fill="F2F2F2"/>
          </w:tcPr>
          <w:p w14:paraId="3E24F68B" w14:textId="77777777" w:rsidR="00F61C2C" w:rsidRPr="00B27497" w:rsidRDefault="00F61C2C" w:rsidP="0004468D">
            <w:pPr>
              <w:spacing w:before="40" w:after="40"/>
              <w:ind w:left="-35" w:right="-93"/>
              <w:jc w:val="center"/>
              <w:rPr>
                <w:b/>
                <w:highlight w:val="yellow"/>
              </w:rPr>
            </w:pPr>
            <w:r>
              <w:rPr>
                <w:b/>
              </w:rPr>
              <w:t>43</w:t>
            </w:r>
          </w:p>
        </w:tc>
        <w:tc>
          <w:tcPr>
            <w:tcW w:w="674" w:type="pct"/>
            <w:tcBorders>
              <w:left w:val="single" w:sz="12" w:space="0" w:color="auto"/>
              <w:bottom w:val="single" w:sz="4" w:space="0" w:color="auto"/>
              <w:right w:val="single" w:sz="4" w:space="0" w:color="auto"/>
            </w:tcBorders>
            <w:shd w:val="clear" w:color="auto" w:fill="FFFFFF"/>
          </w:tcPr>
          <w:p w14:paraId="2B12FC61" w14:textId="77777777" w:rsidR="00F61C2C" w:rsidRPr="001D72FE" w:rsidRDefault="00F61C2C" w:rsidP="0004468D">
            <w:pPr>
              <w:spacing w:before="40" w:after="40"/>
              <w:ind w:left="-108" w:right="-108"/>
              <w:jc w:val="center"/>
              <w:rPr>
                <w:b/>
              </w:rPr>
            </w:pPr>
            <w:r w:rsidRPr="001D72FE">
              <w:rPr>
                <w:rFonts w:cs="Arial"/>
              </w:rPr>
              <w:t>&gt;</w:t>
            </w:r>
            <w:r w:rsidRPr="001D72FE">
              <w:t xml:space="preserve"> </w:t>
            </w:r>
            <w:r>
              <w:t>4</w:t>
            </w:r>
            <w:r w:rsidRPr="001D72FE">
              <w:t>0</w:t>
            </w:r>
          </w:p>
        </w:tc>
        <w:tc>
          <w:tcPr>
            <w:tcW w:w="750" w:type="pct"/>
            <w:tcBorders>
              <w:left w:val="single" w:sz="4" w:space="0" w:color="auto"/>
              <w:bottom w:val="single" w:sz="4" w:space="0" w:color="auto"/>
            </w:tcBorders>
            <w:shd w:val="clear" w:color="auto" w:fill="F2F2F2"/>
          </w:tcPr>
          <w:p w14:paraId="1268CC77" w14:textId="77777777" w:rsidR="00F61C2C" w:rsidRPr="00B27497" w:rsidRDefault="00F61C2C" w:rsidP="0004468D">
            <w:pPr>
              <w:spacing w:before="40" w:after="40"/>
              <w:ind w:left="-108" w:right="-108"/>
              <w:jc w:val="center"/>
              <w:rPr>
                <w:b/>
                <w:highlight w:val="yellow"/>
              </w:rPr>
            </w:pPr>
            <w:r>
              <w:rPr>
                <w:b/>
              </w:rPr>
              <w:t>44</w:t>
            </w:r>
          </w:p>
        </w:tc>
        <w:tc>
          <w:tcPr>
            <w:tcW w:w="584" w:type="pct"/>
            <w:tcBorders>
              <w:bottom w:val="single" w:sz="4" w:space="0" w:color="auto"/>
              <w:right w:val="single" w:sz="12" w:space="0" w:color="auto"/>
            </w:tcBorders>
            <w:shd w:val="clear" w:color="auto" w:fill="92D050"/>
          </w:tcPr>
          <w:p w14:paraId="59789FAF" w14:textId="77777777" w:rsidR="00F61C2C" w:rsidRPr="00342E77" w:rsidRDefault="00F61C2C" w:rsidP="0004468D">
            <w:pPr>
              <w:spacing w:before="40"/>
              <w:jc w:val="center"/>
            </w:pPr>
            <w:r w:rsidRPr="00201147">
              <w:rPr>
                <w:sz w:val="40"/>
                <w:szCs w:val="52"/>
              </w:rPr>
              <w:sym w:font="Wingdings" w:char="F04A"/>
            </w:r>
          </w:p>
          <w:p w14:paraId="0392EE18" w14:textId="77777777" w:rsidR="00F61C2C" w:rsidRPr="00B27497" w:rsidRDefault="00F61C2C" w:rsidP="0004468D">
            <w:pPr>
              <w:ind w:left="-108" w:right="-108"/>
              <w:jc w:val="center"/>
              <w:rPr>
                <w:highlight w:val="yellow"/>
              </w:rPr>
            </w:pPr>
            <w:r>
              <w:t>Yes</w:t>
            </w:r>
          </w:p>
        </w:tc>
      </w:tr>
      <w:tr w:rsidR="00F61C2C" w:rsidRPr="00B27497" w14:paraId="7F7E5CA9" w14:textId="77777777" w:rsidTr="00103388">
        <w:trPr>
          <w:trHeight w:val="896"/>
        </w:trPr>
        <w:tc>
          <w:tcPr>
            <w:tcW w:w="2168" w:type="pct"/>
            <w:tcBorders>
              <w:top w:val="single" w:sz="4" w:space="0" w:color="auto"/>
              <w:left w:val="single" w:sz="12" w:space="0" w:color="auto"/>
              <w:bottom w:val="single" w:sz="12" w:space="0" w:color="auto"/>
              <w:right w:val="single" w:sz="12" w:space="0" w:color="auto"/>
            </w:tcBorders>
            <w:shd w:val="clear" w:color="auto" w:fill="FFFFFF"/>
          </w:tcPr>
          <w:p w14:paraId="366BDD8D" w14:textId="77777777" w:rsidR="00F61C2C" w:rsidRPr="001D72FE" w:rsidRDefault="00F61C2C" w:rsidP="0004468D">
            <w:pPr>
              <w:spacing w:before="40"/>
            </w:pPr>
            <w:r w:rsidRPr="001D72FE">
              <w:t>Affordable homes</w:t>
            </w:r>
          </w:p>
          <w:p w14:paraId="631F3BBE" w14:textId="77777777" w:rsidR="00F61C2C" w:rsidRPr="001D72FE" w:rsidRDefault="00F61C2C" w:rsidP="0004468D">
            <w:r w:rsidRPr="001D72FE">
              <w:t>granted planning permission (units)</w:t>
            </w:r>
          </w:p>
        </w:tc>
        <w:tc>
          <w:tcPr>
            <w:tcW w:w="824" w:type="pct"/>
            <w:tcBorders>
              <w:top w:val="single" w:sz="4" w:space="0" w:color="auto"/>
              <w:left w:val="single" w:sz="12" w:space="0" w:color="auto"/>
              <w:bottom w:val="single" w:sz="12" w:space="0" w:color="auto"/>
              <w:right w:val="single" w:sz="12" w:space="0" w:color="auto"/>
            </w:tcBorders>
            <w:shd w:val="clear" w:color="auto" w:fill="F2F2F2"/>
          </w:tcPr>
          <w:p w14:paraId="4043D9D7" w14:textId="77777777" w:rsidR="00F61C2C" w:rsidRPr="00B27497" w:rsidRDefault="00F61C2C" w:rsidP="0004468D">
            <w:pPr>
              <w:spacing w:before="40" w:after="40"/>
              <w:ind w:left="-35" w:right="-93"/>
              <w:jc w:val="center"/>
              <w:rPr>
                <w:b/>
                <w:highlight w:val="yellow"/>
              </w:rPr>
            </w:pPr>
            <w:r>
              <w:rPr>
                <w:b/>
              </w:rPr>
              <w:t>1</w:t>
            </w:r>
          </w:p>
        </w:tc>
        <w:tc>
          <w:tcPr>
            <w:tcW w:w="674" w:type="pct"/>
            <w:tcBorders>
              <w:left w:val="single" w:sz="12" w:space="0" w:color="auto"/>
              <w:bottom w:val="single" w:sz="12" w:space="0" w:color="auto"/>
              <w:right w:val="single" w:sz="4" w:space="0" w:color="auto"/>
            </w:tcBorders>
            <w:shd w:val="clear" w:color="auto" w:fill="FFFFFF"/>
          </w:tcPr>
          <w:p w14:paraId="0608E394" w14:textId="77777777" w:rsidR="00F61C2C" w:rsidRPr="001D72FE" w:rsidRDefault="00F61C2C" w:rsidP="0004468D">
            <w:pPr>
              <w:spacing w:before="40" w:after="40"/>
              <w:ind w:left="-108" w:right="-108"/>
              <w:jc w:val="center"/>
              <w:rPr>
                <w:b/>
              </w:rPr>
            </w:pPr>
            <w:r w:rsidRPr="001D72FE">
              <w:rPr>
                <w:rFonts w:cs="Arial"/>
              </w:rPr>
              <w:t>&gt;</w:t>
            </w:r>
            <w:r>
              <w:t xml:space="preserve"> 4</w:t>
            </w:r>
            <w:r w:rsidRPr="001D72FE">
              <w:t>0</w:t>
            </w:r>
          </w:p>
        </w:tc>
        <w:tc>
          <w:tcPr>
            <w:tcW w:w="750" w:type="pct"/>
            <w:tcBorders>
              <w:top w:val="single" w:sz="4" w:space="0" w:color="auto"/>
              <w:left w:val="single" w:sz="4" w:space="0" w:color="auto"/>
              <w:bottom w:val="single" w:sz="12" w:space="0" w:color="auto"/>
            </w:tcBorders>
            <w:shd w:val="clear" w:color="auto" w:fill="F2F2F2"/>
          </w:tcPr>
          <w:p w14:paraId="1E0F4968" w14:textId="77777777" w:rsidR="00F61C2C" w:rsidRPr="00B27497" w:rsidRDefault="00F61C2C" w:rsidP="0004468D">
            <w:pPr>
              <w:spacing w:before="40" w:after="40"/>
              <w:ind w:left="-108" w:right="-108"/>
              <w:jc w:val="center"/>
              <w:rPr>
                <w:b/>
                <w:highlight w:val="yellow"/>
              </w:rPr>
            </w:pPr>
            <w:r>
              <w:rPr>
                <w:b/>
              </w:rPr>
              <w:t>2</w:t>
            </w:r>
          </w:p>
        </w:tc>
        <w:tc>
          <w:tcPr>
            <w:tcW w:w="584" w:type="pct"/>
            <w:tcBorders>
              <w:bottom w:val="single" w:sz="12" w:space="0" w:color="auto"/>
              <w:right w:val="single" w:sz="12" w:space="0" w:color="auto"/>
            </w:tcBorders>
            <w:shd w:val="clear" w:color="auto" w:fill="FF0000"/>
          </w:tcPr>
          <w:p w14:paraId="4B7FEDCD" w14:textId="77777777" w:rsidR="00F61C2C" w:rsidRPr="00342E77" w:rsidRDefault="00F61C2C" w:rsidP="0004468D">
            <w:pPr>
              <w:spacing w:before="40"/>
              <w:ind w:left="-108" w:right="-108"/>
              <w:jc w:val="center"/>
            </w:pPr>
            <w:r w:rsidRPr="00201147">
              <w:rPr>
                <w:sz w:val="40"/>
                <w:szCs w:val="52"/>
              </w:rPr>
              <w:sym w:font="Wingdings" w:char="F04C"/>
            </w:r>
          </w:p>
          <w:p w14:paraId="05D2B535" w14:textId="77777777" w:rsidR="00F61C2C" w:rsidRPr="00B27497" w:rsidRDefault="00F61C2C" w:rsidP="0004468D">
            <w:pPr>
              <w:ind w:left="-108" w:right="-108"/>
              <w:jc w:val="center"/>
              <w:rPr>
                <w:highlight w:val="yellow"/>
              </w:rPr>
            </w:pPr>
            <w:r>
              <w:t>No</w:t>
            </w:r>
          </w:p>
        </w:tc>
      </w:tr>
      <w:tr w:rsidR="00F61C2C" w:rsidRPr="001D72FE" w14:paraId="2F6A6F01" w14:textId="77777777" w:rsidTr="00103388">
        <w:trPr>
          <w:trHeight w:val="397"/>
        </w:trPr>
        <w:tc>
          <w:tcPr>
            <w:tcW w:w="5000" w:type="pct"/>
            <w:gridSpan w:val="5"/>
            <w:tcBorders>
              <w:top w:val="single" w:sz="12" w:space="0" w:color="auto"/>
              <w:left w:val="single" w:sz="12" w:space="0" w:color="auto"/>
              <w:bottom w:val="single" w:sz="2" w:space="0" w:color="auto"/>
              <w:right w:val="single" w:sz="12" w:space="0" w:color="auto"/>
            </w:tcBorders>
            <w:shd w:val="clear" w:color="auto" w:fill="F2F2F2"/>
            <w:vAlign w:val="center"/>
          </w:tcPr>
          <w:p w14:paraId="2DB5B841" w14:textId="77777777" w:rsidR="00F61C2C" w:rsidRPr="001D72FE" w:rsidRDefault="00F61C2C" w:rsidP="0004468D">
            <w:pPr>
              <w:spacing w:before="40" w:after="40"/>
              <w:rPr>
                <w:rFonts w:cs="Arial"/>
                <w:b/>
              </w:rPr>
            </w:pPr>
            <w:r>
              <w:rPr>
                <w:rFonts w:cs="Arial"/>
                <w:b/>
              </w:rPr>
              <w:t xml:space="preserve">Vision </w:t>
            </w:r>
            <w:r w:rsidRPr="00681DFF">
              <w:rPr>
                <w:rFonts w:cs="Arial"/>
                <w:b/>
              </w:rPr>
              <w:t>Outcome: Contributing to a Spectacular Landscape, Wildlife and Cultural Heritage</w:t>
            </w:r>
          </w:p>
        </w:tc>
      </w:tr>
      <w:tr w:rsidR="00F61C2C" w:rsidRPr="00B27497" w14:paraId="642BC52A" w14:textId="77777777" w:rsidTr="00103388">
        <w:trPr>
          <w:trHeight w:val="900"/>
        </w:trPr>
        <w:tc>
          <w:tcPr>
            <w:tcW w:w="2168" w:type="pct"/>
            <w:tcBorders>
              <w:left w:val="single" w:sz="12" w:space="0" w:color="auto"/>
              <w:bottom w:val="single" w:sz="4" w:space="0" w:color="auto"/>
              <w:right w:val="single" w:sz="12" w:space="0" w:color="auto"/>
            </w:tcBorders>
            <w:shd w:val="clear" w:color="auto" w:fill="FFFFFF"/>
          </w:tcPr>
          <w:p w14:paraId="21314797" w14:textId="77777777" w:rsidR="00F61C2C" w:rsidRPr="00FC13D9" w:rsidRDefault="00F61C2C" w:rsidP="0004468D">
            <w:pPr>
              <w:spacing w:before="40"/>
            </w:pPr>
            <w:r w:rsidRPr="00FC13D9">
              <w:t>Conservation areas with valid management plans and character appraisals</w:t>
            </w:r>
          </w:p>
        </w:tc>
        <w:tc>
          <w:tcPr>
            <w:tcW w:w="824" w:type="pct"/>
            <w:tcBorders>
              <w:left w:val="single" w:sz="12" w:space="0" w:color="auto"/>
              <w:bottom w:val="single" w:sz="4" w:space="0" w:color="auto"/>
              <w:right w:val="single" w:sz="12" w:space="0" w:color="auto"/>
            </w:tcBorders>
            <w:shd w:val="clear" w:color="auto" w:fill="F2F2F2"/>
          </w:tcPr>
          <w:p w14:paraId="7A94379B" w14:textId="77777777" w:rsidR="00F61C2C" w:rsidRDefault="00F61C2C" w:rsidP="0004468D">
            <w:pPr>
              <w:spacing w:before="40" w:after="40"/>
              <w:ind w:left="-108" w:right="-108"/>
              <w:jc w:val="center"/>
              <w:rPr>
                <w:rFonts w:cs="Arial"/>
                <w:b/>
              </w:rPr>
            </w:pPr>
            <w:r w:rsidRPr="00FC13D9">
              <w:rPr>
                <w:rFonts w:cs="Arial"/>
                <w:b/>
              </w:rPr>
              <w:t>96%</w:t>
            </w:r>
          </w:p>
          <w:p w14:paraId="232627A7" w14:textId="77777777" w:rsidR="00F61C2C" w:rsidRPr="00FC13D9" w:rsidRDefault="00F61C2C" w:rsidP="0004468D">
            <w:pPr>
              <w:spacing w:before="40" w:after="40"/>
              <w:ind w:left="-108" w:right="-108"/>
              <w:jc w:val="center"/>
              <w:rPr>
                <w:rFonts w:cs="Arial"/>
              </w:rPr>
            </w:pPr>
            <w:r w:rsidRPr="00FC13D9">
              <w:rPr>
                <w:rFonts w:cs="Arial"/>
              </w:rPr>
              <w:t>(22 / 23)</w:t>
            </w:r>
          </w:p>
        </w:tc>
        <w:tc>
          <w:tcPr>
            <w:tcW w:w="674" w:type="pct"/>
            <w:tcBorders>
              <w:left w:val="single" w:sz="12" w:space="0" w:color="auto"/>
              <w:bottom w:val="single" w:sz="4" w:space="0" w:color="auto"/>
              <w:right w:val="single" w:sz="4" w:space="0" w:color="auto"/>
            </w:tcBorders>
            <w:shd w:val="clear" w:color="auto" w:fill="auto"/>
          </w:tcPr>
          <w:p w14:paraId="09CBEC57" w14:textId="77777777" w:rsidR="00F61C2C" w:rsidRPr="00BD27B4" w:rsidRDefault="00F61C2C" w:rsidP="0004468D">
            <w:pPr>
              <w:spacing w:before="40" w:after="40"/>
              <w:ind w:left="-125" w:right="-108"/>
              <w:jc w:val="center"/>
              <w:rPr>
                <w:rFonts w:cs="Arial"/>
              </w:rPr>
            </w:pPr>
            <w:r>
              <w:rPr>
                <w:rFonts w:cs="Arial"/>
              </w:rPr>
              <w:t>100%</w:t>
            </w:r>
          </w:p>
        </w:tc>
        <w:tc>
          <w:tcPr>
            <w:tcW w:w="750" w:type="pct"/>
            <w:tcBorders>
              <w:left w:val="single" w:sz="4" w:space="0" w:color="auto"/>
              <w:bottom w:val="single" w:sz="4" w:space="0" w:color="auto"/>
            </w:tcBorders>
            <w:shd w:val="clear" w:color="auto" w:fill="F2F2F2"/>
          </w:tcPr>
          <w:p w14:paraId="6F3681B2" w14:textId="77777777" w:rsidR="00F61C2C" w:rsidRPr="00672661" w:rsidRDefault="00F61C2C" w:rsidP="0004468D">
            <w:pPr>
              <w:spacing w:before="40" w:after="40"/>
              <w:ind w:left="-108" w:right="-108"/>
              <w:jc w:val="center"/>
              <w:rPr>
                <w:rFonts w:cs="Arial"/>
                <w:b/>
              </w:rPr>
            </w:pPr>
            <w:r>
              <w:rPr>
                <w:rFonts w:cs="Arial"/>
                <w:b/>
              </w:rPr>
              <w:t>100</w:t>
            </w:r>
            <w:r w:rsidRPr="00672661">
              <w:rPr>
                <w:rFonts w:cs="Arial"/>
                <w:b/>
              </w:rPr>
              <w:t>%</w:t>
            </w:r>
          </w:p>
          <w:p w14:paraId="191A7D6E" w14:textId="77777777" w:rsidR="00F61C2C" w:rsidRPr="00F4356D" w:rsidRDefault="00F61C2C" w:rsidP="0004468D">
            <w:pPr>
              <w:spacing w:before="40" w:after="40"/>
              <w:ind w:left="-108" w:right="-108"/>
              <w:jc w:val="center"/>
              <w:rPr>
                <w:rFonts w:cs="Arial"/>
              </w:rPr>
            </w:pPr>
            <w:r>
              <w:rPr>
                <w:rFonts w:cs="Arial"/>
              </w:rPr>
              <w:t>(23</w:t>
            </w:r>
            <w:r w:rsidRPr="00672661">
              <w:rPr>
                <w:rFonts w:cs="Arial"/>
              </w:rPr>
              <w:t xml:space="preserve"> / 23)</w:t>
            </w:r>
          </w:p>
        </w:tc>
        <w:tc>
          <w:tcPr>
            <w:tcW w:w="584" w:type="pct"/>
            <w:tcBorders>
              <w:top w:val="dotted" w:sz="4" w:space="0" w:color="auto"/>
              <w:left w:val="single" w:sz="2" w:space="0" w:color="auto"/>
              <w:bottom w:val="single" w:sz="4" w:space="0" w:color="auto"/>
              <w:right w:val="single" w:sz="12" w:space="0" w:color="auto"/>
            </w:tcBorders>
            <w:shd w:val="clear" w:color="auto" w:fill="92D050"/>
          </w:tcPr>
          <w:p w14:paraId="284AB0DD" w14:textId="77777777" w:rsidR="00F61C2C" w:rsidRPr="00342E77" w:rsidRDefault="00F61C2C" w:rsidP="0004468D">
            <w:pPr>
              <w:spacing w:before="40"/>
              <w:jc w:val="center"/>
            </w:pPr>
            <w:r w:rsidRPr="00201147">
              <w:rPr>
                <w:sz w:val="40"/>
                <w:szCs w:val="52"/>
              </w:rPr>
              <w:sym w:font="Wingdings" w:char="F04A"/>
            </w:r>
          </w:p>
          <w:p w14:paraId="546FE833" w14:textId="77777777" w:rsidR="00F61C2C" w:rsidRPr="00B27497" w:rsidRDefault="00F61C2C" w:rsidP="0004468D">
            <w:pPr>
              <w:jc w:val="center"/>
              <w:rPr>
                <w:sz w:val="48"/>
                <w:szCs w:val="52"/>
                <w:highlight w:val="yellow"/>
              </w:rPr>
            </w:pPr>
            <w:r>
              <w:t>Yes</w:t>
            </w:r>
          </w:p>
        </w:tc>
      </w:tr>
      <w:tr w:rsidR="00F61C2C" w:rsidRPr="00B27497" w14:paraId="26647DB8" w14:textId="77777777" w:rsidTr="00103388">
        <w:trPr>
          <w:trHeight w:val="913"/>
        </w:trPr>
        <w:tc>
          <w:tcPr>
            <w:tcW w:w="2168" w:type="pct"/>
            <w:tcBorders>
              <w:top w:val="single" w:sz="4" w:space="0" w:color="auto"/>
              <w:left w:val="single" w:sz="12" w:space="0" w:color="auto"/>
              <w:bottom w:val="single" w:sz="4" w:space="0" w:color="auto"/>
              <w:right w:val="single" w:sz="12" w:space="0" w:color="auto"/>
            </w:tcBorders>
            <w:shd w:val="clear" w:color="auto" w:fill="FFFFFF"/>
          </w:tcPr>
          <w:p w14:paraId="7E37D7E3" w14:textId="77777777" w:rsidR="00F61C2C" w:rsidRPr="00B27497" w:rsidRDefault="00F61C2C" w:rsidP="0004468D">
            <w:pPr>
              <w:spacing w:before="40"/>
              <w:rPr>
                <w:highlight w:val="yellow"/>
              </w:rPr>
            </w:pPr>
            <w:r>
              <w:lastRenderedPageBreak/>
              <w:t>Number of s</w:t>
            </w:r>
            <w:r w:rsidRPr="00F4356D">
              <w:t>cheduled monuments at risk</w:t>
            </w:r>
          </w:p>
        </w:tc>
        <w:tc>
          <w:tcPr>
            <w:tcW w:w="824" w:type="pct"/>
            <w:tcBorders>
              <w:top w:val="single" w:sz="4" w:space="0" w:color="auto"/>
              <w:left w:val="single" w:sz="12" w:space="0" w:color="auto"/>
              <w:bottom w:val="single" w:sz="4" w:space="0" w:color="auto"/>
              <w:right w:val="single" w:sz="12" w:space="0" w:color="auto"/>
            </w:tcBorders>
            <w:shd w:val="clear" w:color="auto" w:fill="F2F2F2"/>
          </w:tcPr>
          <w:p w14:paraId="3F62146E" w14:textId="77777777" w:rsidR="00F61C2C" w:rsidRPr="00B27497" w:rsidRDefault="00F61C2C" w:rsidP="0004468D">
            <w:pPr>
              <w:spacing w:before="40" w:after="40"/>
              <w:ind w:left="-108" w:right="-108"/>
              <w:jc w:val="center"/>
              <w:rPr>
                <w:rFonts w:cs="Arial"/>
                <w:b/>
                <w:highlight w:val="yellow"/>
              </w:rPr>
            </w:pPr>
            <w:r w:rsidRPr="00F4356D">
              <w:rPr>
                <w:rFonts w:cs="Arial"/>
                <w:b/>
              </w:rPr>
              <w:t>2</w:t>
            </w:r>
            <w:r>
              <w:rPr>
                <w:rFonts w:cs="Arial"/>
                <w:b/>
              </w:rPr>
              <w:t>0</w:t>
            </w:r>
          </w:p>
        </w:tc>
        <w:tc>
          <w:tcPr>
            <w:tcW w:w="674" w:type="pct"/>
            <w:tcBorders>
              <w:top w:val="single" w:sz="4" w:space="0" w:color="auto"/>
              <w:left w:val="single" w:sz="12" w:space="0" w:color="auto"/>
              <w:bottom w:val="single" w:sz="4" w:space="0" w:color="auto"/>
              <w:right w:val="single" w:sz="4" w:space="0" w:color="auto"/>
            </w:tcBorders>
            <w:shd w:val="clear" w:color="auto" w:fill="auto"/>
          </w:tcPr>
          <w:p w14:paraId="30B68845" w14:textId="77777777" w:rsidR="00F61C2C" w:rsidRPr="00B27497" w:rsidRDefault="00F61C2C" w:rsidP="0004468D">
            <w:pPr>
              <w:spacing w:before="40" w:after="40"/>
              <w:ind w:left="-123" w:right="-108"/>
              <w:jc w:val="center"/>
              <w:rPr>
                <w:rFonts w:cs="Arial"/>
                <w:b/>
                <w:highlight w:val="yellow"/>
              </w:rPr>
            </w:pPr>
            <w:r>
              <w:rPr>
                <w:rFonts w:cs="Arial"/>
              </w:rPr>
              <w:t>&lt; 25</w:t>
            </w:r>
          </w:p>
        </w:tc>
        <w:tc>
          <w:tcPr>
            <w:tcW w:w="750" w:type="pct"/>
            <w:tcBorders>
              <w:top w:val="single" w:sz="4" w:space="0" w:color="auto"/>
              <w:left w:val="single" w:sz="4" w:space="0" w:color="auto"/>
              <w:bottom w:val="single" w:sz="4" w:space="0" w:color="auto"/>
            </w:tcBorders>
            <w:shd w:val="clear" w:color="auto" w:fill="F2F2F2"/>
          </w:tcPr>
          <w:p w14:paraId="65967D68" w14:textId="77777777" w:rsidR="00F61C2C" w:rsidRPr="00FC13D9" w:rsidRDefault="00F61C2C" w:rsidP="0004468D">
            <w:pPr>
              <w:spacing w:before="40" w:after="40"/>
              <w:ind w:left="-108" w:right="-108"/>
              <w:jc w:val="center"/>
              <w:rPr>
                <w:rFonts w:cs="Arial"/>
                <w:b/>
              </w:rPr>
            </w:pPr>
            <w:r>
              <w:rPr>
                <w:rFonts w:cs="Arial"/>
                <w:b/>
              </w:rPr>
              <w:t>20</w:t>
            </w:r>
          </w:p>
        </w:tc>
        <w:tc>
          <w:tcPr>
            <w:tcW w:w="584" w:type="pct"/>
            <w:tcBorders>
              <w:top w:val="single" w:sz="4" w:space="0" w:color="auto"/>
              <w:bottom w:val="single" w:sz="4" w:space="0" w:color="auto"/>
              <w:right w:val="single" w:sz="12" w:space="0" w:color="auto"/>
            </w:tcBorders>
            <w:shd w:val="clear" w:color="auto" w:fill="92D050"/>
          </w:tcPr>
          <w:p w14:paraId="5955DD6A" w14:textId="77777777" w:rsidR="00F61C2C" w:rsidRPr="00342E77" w:rsidRDefault="00F61C2C" w:rsidP="0004468D">
            <w:pPr>
              <w:spacing w:before="40"/>
              <w:jc w:val="center"/>
            </w:pPr>
            <w:r w:rsidRPr="00201147">
              <w:rPr>
                <w:sz w:val="40"/>
                <w:szCs w:val="52"/>
              </w:rPr>
              <w:sym w:font="Wingdings" w:char="F04A"/>
            </w:r>
          </w:p>
          <w:p w14:paraId="4E1C1528" w14:textId="77777777" w:rsidR="00F61C2C" w:rsidRPr="00554D6E" w:rsidRDefault="00F61C2C" w:rsidP="0004468D">
            <w:pPr>
              <w:ind w:left="-108" w:right="-108"/>
              <w:jc w:val="center"/>
            </w:pPr>
            <w:r>
              <w:t>Yes</w:t>
            </w:r>
          </w:p>
        </w:tc>
      </w:tr>
      <w:tr w:rsidR="00F61C2C" w:rsidRPr="00B27497" w14:paraId="157413F2" w14:textId="77777777" w:rsidTr="00103388">
        <w:trPr>
          <w:trHeight w:val="852"/>
        </w:trPr>
        <w:tc>
          <w:tcPr>
            <w:tcW w:w="2168" w:type="pct"/>
            <w:tcBorders>
              <w:top w:val="single" w:sz="4" w:space="0" w:color="auto"/>
              <w:left w:val="single" w:sz="12" w:space="0" w:color="auto"/>
              <w:bottom w:val="single" w:sz="12" w:space="0" w:color="auto"/>
              <w:right w:val="single" w:sz="12" w:space="0" w:color="auto"/>
            </w:tcBorders>
            <w:shd w:val="clear" w:color="auto" w:fill="FFFFFF"/>
          </w:tcPr>
          <w:p w14:paraId="7837BBAE" w14:textId="77777777" w:rsidR="00F61C2C" w:rsidRPr="00B27497" w:rsidRDefault="00F61C2C" w:rsidP="0004468D">
            <w:pPr>
              <w:spacing w:before="40"/>
              <w:rPr>
                <w:highlight w:val="yellow"/>
              </w:rPr>
            </w:pPr>
            <w:r>
              <w:t>Percentage of l</w:t>
            </w:r>
            <w:r w:rsidRPr="00F4356D">
              <w:t>isted buildings at risk</w:t>
            </w:r>
          </w:p>
        </w:tc>
        <w:tc>
          <w:tcPr>
            <w:tcW w:w="824" w:type="pct"/>
            <w:tcBorders>
              <w:top w:val="single" w:sz="4" w:space="0" w:color="auto"/>
              <w:left w:val="single" w:sz="12" w:space="0" w:color="auto"/>
              <w:bottom w:val="single" w:sz="12" w:space="0" w:color="auto"/>
              <w:right w:val="single" w:sz="12" w:space="0" w:color="auto"/>
            </w:tcBorders>
            <w:shd w:val="clear" w:color="auto" w:fill="F2F2F2"/>
          </w:tcPr>
          <w:p w14:paraId="0D27F920" w14:textId="77777777" w:rsidR="00F61C2C" w:rsidRPr="00672661" w:rsidRDefault="00F61C2C" w:rsidP="0004468D">
            <w:pPr>
              <w:spacing w:before="40" w:after="40"/>
              <w:ind w:left="-108" w:right="-108"/>
              <w:jc w:val="center"/>
              <w:rPr>
                <w:rFonts w:cs="Arial"/>
                <w:b/>
              </w:rPr>
            </w:pPr>
            <w:r>
              <w:rPr>
                <w:rFonts w:cs="Arial"/>
                <w:b/>
              </w:rPr>
              <w:t>4.5</w:t>
            </w:r>
            <w:r w:rsidRPr="00672661">
              <w:rPr>
                <w:rFonts w:cs="Arial"/>
                <w:b/>
              </w:rPr>
              <w:t>%</w:t>
            </w:r>
          </w:p>
          <w:p w14:paraId="518CFE4A" w14:textId="77777777" w:rsidR="00F61C2C" w:rsidRPr="00B27497" w:rsidRDefault="00F61C2C" w:rsidP="0004468D">
            <w:pPr>
              <w:spacing w:before="40" w:after="40"/>
              <w:ind w:left="-108" w:right="-108"/>
              <w:jc w:val="center"/>
              <w:rPr>
                <w:rFonts w:cs="Arial"/>
                <w:highlight w:val="yellow"/>
              </w:rPr>
            </w:pPr>
            <w:r w:rsidRPr="00672661">
              <w:rPr>
                <w:rFonts w:cs="Arial"/>
              </w:rPr>
              <w:t>(8</w:t>
            </w:r>
            <w:r>
              <w:rPr>
                <w:rFonts w:cs="Arial"/>
              </w:rPr>
              <w:t>0</w:t>
            </w:r>
            <w:r w:rsidRPr="00672661">
              <w:rPr>
                <w:rFonts w:cs="Arial"/>
              </w:rPr>
              <w:t xml:space="preserve"> / 1,7</w:t>
            </w:r>
            <w:r>
              <w:rPr>
                <w:rFonts w:cs="Arial"/>
              </w:rPr>
              <w:t>96</w:t>
            </w:r>
            <w:r w:rsidRPr="00672661">
              <w:rPr>
                <w:rFonts w:cs="Arial"/>
              </w:rPr>
              <w:t>)</w:t>
            </w:r>
          </w:p>
        </w:tc>
        <w:tc>
          <w:tcPr>
            <w:tcW w:w="674" w:type="pct"/>
            <w:tcBorders>
              <w:top w:val="single" w:sz="4" w:space="0" w:color="auto"/>
              <w:left w:val="single" w:sz="12" w:space="0" w:color="auto"/>
              <w:bottom w:val="single" w:sz="12" w:space="0" w:color="auto"/>
              <w:right w:val="single" w:sz="4" w:space="0" w:color="auto"/>
            </w:tcBorders>
            <w:shd w:val="clear" w:color="auto" w:fill="auto"/>
          </w:tcPr>
          <w:p w14:paraId="29044988" w14:textId="77777777" w:rsidR="00F61C2C" w:rsidRPr="006F1905" w:rsidRDefault="00F61C2C" w:rsidP="0004468D">
            <w:pPr>
              <w:spacing w:before="40"/>
              <w:ind w:left="-123" w:right="-108"/>
              <w:jc w:val="center"/>
              <w:rPr>
                <w:rFonts w:cs="Arial"/>
              </w:rPr>
            </w:pPr>
            <w:r w:rsidRPr="00F4356D">
              <w:rPr>
                <w:rFonts w:cs="Arial"/>
              </w:rPr>
              <w:t>&lt; 5</w:t>
            </w:r>
            <w:r>
              <w:rPr>
                <w:rFonts w:cs="Arial"/>
              </w:rPr>
              <w:t>.0</w:t>
            </w:r>
            <w:r w:rsidRPr="00F4356D">
              <w:rPr>
                <w:rFonts w:cs="Arial"/>
              </w:rPr>
              <w:t>%</w:t>
            </w:r>
          </w:p>
        </w:tc>
        <w:tc>
          <w:tcPr>
            <w:tcW w:w="750" w:type="pct"/>
            <w:tcBorders>
              <w:top w:val="single" w:sz="4" w:space="0" w:color="auto"/>
              <w:left w:val="single" w:sz="4" w:space="0" w:color="auto"/>
              <w:bottom w:val="single" w:sz="12" w:space="0" w:color="auto"/>
            </w:tcBorders>
            <w:shd w:val="clear" w:color="auto" w:fill="F2F2F2"/>
          </w:tcPr>
          <w:p w14:paraId="2485A86C" w14:textId="77777777" w:rsidR="00F61C2C" w:rsidRPr="00672661" w:rsidRDefault="00F61C2C" w:rsidP="0004468D">
            <w:pPr>
              <w:spacing w:before="40" w:after="40"/>
              <w:ind w:left="-108" w:right="-108"/>
              <w:jc w:val="center"/>
              <w:rPr>
                <w:rFonts w:cs="Arial"/>
                <w:b/>
              </w:rPr>
            </w:pPr>
            <w:r w:rsidRPr="00554D6E">
              <w:rPr>
                <w:rFonts w:cs="Arial"/>
                <w:b/>
              </w:rPr>
              <w:t>4</w:t>
            </w:r>
            <w:r>
              <w:rPr>
                <w:rFonts w:cs="Arial"/>
                <w:b/>
              </w:rPr>
              <w:t>.4</w:t>
            </w:r>
            <w:r w:rsidRPr="00672661">
              <w:rPr>
                <w:rFonts w:cs="Arial"/>
                <w:b/>
              </w:rPr>
              <w:t>%</w:t>
            </w:r>
          </w:p>
          <w:p w14:paraId="369AEBAF" w14:textId="77777777" w:rsidR="00F61C2C" w:rsidRPr="00554D6E" w:rsidRDefault="00F61C2C" w:rsidP="0004468D">
            <w:pPr>
              <w:spacing w:before="40" w:after="40"/>
              <w:ind w:left="-108" w:right="-108"/>
              <w:jc w:val="center"/>
              <w:rPr>
                <w:rFonts w:cs="Arial"/>
              </w:rPr>
            </w:pPr>
            <w:r>
              <w:rPr>
                <w:rFonts w:cs="Arial"/>
              </w:rPr>
              <w:t>(79 / 1,800)</w:t>
            </w:r>
          </w:p>
        </w:tc>
        <w:tc>
          <w:tcPr>
            <w:tcW w:w="584" w:type="pct"/>
            <w:tcBorders>
              <w:top w:val="single" w:sz="4" w:space="0" w:color="auto"/>
              <w:bottom w:val="single" w:sz="12" w:space="0" w:color="auto"/>
              <w:right w:val="single" w:sz="12" w:space="0" w:color="auto"/>
            </w:tcBorders>
            <w:shd w:val="clear" w:color="auto" w:fill="92D050"/>
          </w:tcPr>
          <w:p w14:paraId="7050781B" w14:textId="77777777" w:rsidR="00F61C2C" w:rsidRPr="00342E77" w:rsidRDefault="00F61C2C" w:rsidP="0004468D">
            <w:pPr>
              <w:spacing w:before="40"/>
              <w:jc w:val="center"/>
            </w:pPr>
            <w:r w:rsidRPr="00201147">
              <w:rPr>
                <w:sz w:val="40"/>
                <w:szCs w:val="52"/>
              </w:rPr>
              <w:sym w:font="Wingdings" w:char="F04A"/>
            </w:r>
          </w:p>
          <w:p w14:paraId="5A1C945A" w14:textId="77777777" w:rsidR="00F61C2C" w:rsidRPr="00554D6E" w:rsidRDefault="00F61C2C" w:rsidP="0004468D">
            <w:pPr>
              <w:ind w:left="-108" w:right="-108"/>
              <w:jc w:val="center"/>
            </w:pPr>
            <w:r>
              <w:t>Yes</w:t>
            </w:r>
          </w:p>
        </w:tc>
      </w:tr>
      <w:tr w:rsidR="00F61C2C" w:rsidRPr="00AF1606" w14:paraId="7697210F" w14:textId="77777777" w:rsidTr="00103388">
        <w:tblPrEx>
          <w:tblBorders>
            <w:top w:val="none" w:sz="0" w:space="0" w:color="auto"/>
            <w:bottom w:val="none" w:sz="0" w:space="0" w:color="auto"/>
            <w:insideH w:val="none" w:sz="0" w:space="0" w:color="auto"/>
            <w:insideV w:val="none" w:sz="0" w:space="0" w:color="auto"/>
          </w:tblBorders>
        </w:tblPrEx>
        <w:trPr>
          <w:trHeight w:val="397"/>
        </w:trPr>
        <w:tc>
          <w:tcPr>
            <w:tcW w:w="5000" w:type="pct"/>
            <w:gridSpan w:val="5"/>
            <w:tcBorders>
              <w:top w:val="single" w:sz="12" w:space="0" w:color="auto"/>
              <w:left w:val="single" w:sz="12" w:space="0" w:color="auto"/>
              <w:bottom w:val="single" w:sz="2" w:space="0" w:color="auto"/>
              <w:right w:val="single" w:sz="12" w:space="0" w:color="auto"/>
            </w:tcBorders>
            <w:shd w:val="clear" w:color="auto" w:fill="F2F2F2"/>
          </w:tcPr>
          <w:p w14:paraId="212DD6D3" w14:textId="77777777" w:rsidR="00F61C2C" w:rsidRPr="00AF1606" w:rsidRDefault="00F61C2C" w:rsidP="0004468D">
            <w:pPr>
              <w:spacing w:before="80" w:after="80"/>
              <w:rPr>
                <w:rFonts w:cs="Arial"/>
                <w:b/>
              </w:rPr>
            </w:pPr>
            <w:r>
              <w:rPr>
                <w:rFonts w:cs="Arial"/>
                <w:b/>
              </w:rPr>
              <w:t xml:space="preserve">LDNPA </w:t>
            </w:r>
            <w:r w:rsidRPr="00681DFF">
              <w:rPr>
                <w:rFonts w:cs="Arial"/>
                <w:b/>
              </w:rPr>
              <w:t>Outcome: Demonstrating a High Performance Culture</w:t>
            </w:r>
          </w:p>
        </w:tc>
      </w:tr>
      <w:tr w:rsidR="00F61C2C" w:rsidRPr="00B27497" w14:paraId="14582EEB" w14:textId="77777777" w:rsidTr="00103388">
        <w:trPr>
          <w:trHeight w:val="974"/>
        </w:trPr>
        <w:tc>
          <w:tcPr>
            <w:tcW w:w="2168" w:type="pct"/>
            <w:tcBorders>
              <w:top w:val="single" w:sz="4" w:space="0" w:color="auto"/>
              <w:left w:val="single" w:sz="12" w:space="0" w:color="auto"/>
              <w:bottom w:val="single" w:sz="4" w:space="0" w:color="auto"/>
              <w:right w:val="single" w:sz="12" w:space="0" w:color="auto"/>
            </w:tcBorders>
            <w:shd w:val="clear" w:color="auto" w:fill="FFFFFF"/>
          </w:tcPr>
          <w:p w14:paraId="1EDC366F" w14:textId="77777777" w:rsidR="00F61C2C" w:rsidRPr="00AF1606" w:rsidRDefault="00F61C2C" w:rsidP="0004468D">
            <w:pPr>
              <w:spacing w:before="40"/>
            </w:pPr>
            <w:r>
              <w:t>Staff sickness absence – average working days lost per FTE (full time equivalent) staff</w:t>
            </w:r>
          </w:p>
        </w:tc>
        <w:tc>
          <w:tcPr>
            <w:tcW w:w="824" w:type="pct"/>
            <w:tcBorders>
              <w:top w:val="single" w:sz="4" w:space="0" w:color="auto"/>
              <w:left w:val="single" w:sz="12" w:space="0" w:color="auto"/>
              <w:bottom w:val="single" w:sz="4" w:space="0" w:color="auto"/>
              <w:right w:val="single" w:sz="12" w:space="0" w:color="auto"/>
            </w:tcBorders>
            <w:shd w:val="clear" w:color="auto" w:fill="F2F2F2"/>
          </w:tcPr>
          <w:p w14:paraId="01210F14" w14:textId="77777777" w:rsidR="00F61C2C" w:rsidRDefault="00F61C2C" w:rsidP="0004468D">
            <w:pPr>
              <w:spacing w:before="40"/>
              <w:jc w:val="center"/>
              <w:rPr>
                <w:b/>
              </w:rPr>
            </w:pPr>
            <w:r>
              <w:rPr>
                <w:b/>
              </w:rPr>
              <w:t>5.1 days</w:t>
            </w:r>
          </w:p>
          <w:p w14:paraId="6C4C2211" w14:textId="77777777" w:rsidR="00F61C2C" w:rsidRPr="00C215FF" w:rsidRDefault="00F61C2C" w:rsidP="0004468D">
            <w:pPr>
              <w:spacing w:after="40"/>
              <w:jc w:val="center"/>
            </w:pPr>
            <w:r>
              <w:rPr>
                <w:b/>
              </w:rPr>
              <w:t>per FTE</w:t>
            </w:r>
          </w:p>
        </w:tc>
        <w:tc>
          <w:tcPr>
            <w:tcW w:w="674" w:type="pct"/>
            <w:tcBorders>
              <w:top w:val="single" w:sz="4" w:space="0" w:color="auto"/>
              <w:left w:val="single" w:sz="12" w:space="0" w:color="auto"/>
              <w:bottom w:val="single" w:sz="4" w:space="0" w:color="auto"/>
              <w:right w:val="single" w:sz="4" w:space="0" w:color="auto"/>
            </w:tcBorders>
            <w:shd w:val="clear" w:color="auto" w:fill="auto"/>
          </w:tcPr>
          <w:p w14:paraId="3FC3E209" w14:textId="77777777" w:rsidR="00F61C2C" w:rsidRDefault="00F61C2C" w:rsidP="0004468D">
            <w:pPr>
              <w:spacing w:before="40" w:after="40"/>
              <w:ind w:left="-105" w:right="-117"/>
              <w:jc w:val="center"/>
              <w:rPr>
                <w:rFonts w:cs="Arial"/>
              </w:rPr>
            </w:pPr>
            <w:r>
              <w:rPr>
                <w:rFonts w:cs="Arial"/>
              </w:rPr>
              <w:t>&lt; 5.0 days per FTE</w:t>
            </w:r>
          </w:p>
        </w:tc>
        <w:tc>
          <w:tcPr>
            <w:tcW w:w="750" w:type="pct"/>
            <w:tcBorders>
              <w:top w:val="single" w:sz="4" w:space="0" w:color="auto"/>
              <w:left w:val="single" w:sz="4" w:space="0" w:color="auto"/>
              <w:bottom w:val="single" w:sz="4" w:space="0" w:color="auto"/>
              <w:right w:val="single" w:sz="4" w:space="0" w:color="auto"/>
            </w:tcBorders>
            <w:shd w:val="clear" w:color="auto" w:fill="F2F2F2"/>
          </w:tcPr>
          <w:p w14:paraId="58C33C06" w14:textId="77777777" w:rsidR="00F61C2C" w:rsidRPr="00554D6E" w:rsidRDefault="00F61C2C" w:rsidP="0004468D">
            <w:pPr>
              <w:spacing w:before="40" w:after="40"/>
              <w:jc w:val="center"/>
              <w:rPr>
                <w:b/>
              </w:rPr>
            </w:pPr>
            <w:r>
              <w:rPr>
                <w:b/>
              </w:rPr>
              <w:t>5.0 days per FTE</w:t>
            </w:r>
          </w:p>
        </w:tc>
        <w:tc>
          <w:tcPr>
            <w:tcW w:w="584" w:type="pct"/>
            <w:tcBorders>
              <w:top w:val="dotted" w:sz="4" w:space="0" w:color="auto"/>
              <w:left w:val="single" w:sz="2" w:space="0" w:color="auto"/>
              <w:bottom w:val="single" w:sz="4" w:space="0" w:color="auto"/>
              <w:right w:val="single" w:sz="12" w:space="0" w:color="auto"/>
            </w:tcBorders>
            <w:shd w:val="clear" w:color="auto" w:fill="92D050"/>
          </w:tcPr>
          <w:p w14:paraId="54E29A54" w14:textId="77777777" w:rsidR="00F61C2C" w:rsidRPr="00342E77" w:rsidRDefault="00F61C2C" w:rsidP="0004468D">
            <w:pPr>
              <w:spacing w:before="40"/>
              <w:jc w:val="center"/>
            </w:pPr>
            <w:r w:rsidRPr="00201147">
              <w:rPr>
                <w:sz w:val="40"/>
                <w:szCs w:val="52"/>
              </w:rPr>
              <w:sym w:font="Wingdings" w:char="F04A"/>
            </w:r>
          </w:p>
          <w:p w14:paraId="144774CA" w14:textId="77777777" w:rsidR="00F61C2C" w:rsidRPr="00214FD7" w:rsidRDefault="00F61C2C" w:rsidP="0004468D">
            <w:pPr>
              <w:spacing w:before="40"/>
              <w:ind w:left="-108" w:right="-108"/>
              <w:jc w:val="center"/>
              <w:rPr>
                <w:b/>
              </w:rPr>
            </w:pPr>
            <w:r>
              <w:t>Yes</w:t>
            </w:r>
          </w:p>
        </w:tc>
      </w:tr>
      <w:tr w:rsidR="00F61C2C" w:rsidRPr="00B27497" w14:paraId="04CD01F3" w14:textId="77777777" w:rsidTr="00103388">
        <w:trPr>
          <w:trHeight w:val="890"/>
        </w:trPr>
        <w:tc>
          <w:tcPr>
            <w:tcW w:w="2168" w:type="pct"/>
            <w:tcBorders>
              <w:top w:val="single" w:sz="4" w:space="0" w:color="auto"/>
              <w:left w:val="single" w:sz="12" w:space="0" w:color="auto"/>
              <w:bottom w:val="single" w:sz="4" w:space="0" w:color="auto"/>
              <w:right w:val="single" w:sz="12" w:space="0" w:color="auto"/>
            </w:tcBorders>
            <w:shd w:val="clear" w:color="auto" w:fill="FFFFFF"/>
          </w:tcPr>
          <w:p w14:paraId="160CB66E" w14:textId="77777777" w:rsidR="00F61C2C" w:rsidRPr="00AF1606" w:rsidRDefault="00F61C2C" w:rsidP="0004468D">
            <w:pPr>
              <w:spacing w:before="40"/>
            </w:pPr>
            <w:r w:rsidRPr="00AF1606">
              <w:t>Staff who are satisfied working for the LDNPA</w:t>
            </w:r>
          </w:p>
        </w:tc>
        <w:tc>
          <w:tcPr>
            <w:tcW w:w="824" w:type="pct"/>
            <w:tcBorders>
              <w:top w:val="single" w:sz="4" w:space="0" w:color="auto"/>
              <w:left w:val="single" w:sz="12" w:space="0" w:color="auto"/>
              <w:bottom w:val="single" w:sz="4" w:space="0" w:color="auto"/>
              <w:right w:val="single" w:sz="12" w:space="0" w:color="auto"/>
            </w:tcBorders>
            <w:shd w:val="clear" w:color="auto" w:fill="F2F2F2"/>
          </w:tcPr>
          <w:p w14:paraId="00BF5143" w14:textId="77777777" w:rsidR="00F61C2C" w:rsidRPr="004F0240" w:rsidRDefault="00F61C2C" w:rsidP="0004468D">
            <w:pPr>
              <w:spacing w:before="40" w:after="40"/>
              <w:jc w:val="center"/>
              <w:rPr>
                <w:b/>
              </w:rPr>
            </w:pPr>
            <w:r>
              <w:rPr>
                <w:b/>
              </w:rPr>
              <w:t>8</w:t>
            </w:r>
            <w:r w:rsidRPr="004F0240">
              <w:rPr>
                <w:b/>
              </w:rPr>
              <w:t>1%</w:t>
            </w:r>
          </w:p>
          <w:p w14:paraId="469D2CC3" w14:textId="77777777" w:rsidR="00F61C2C" w:rsidRPr="004F0240" w:rsidRDefault="00F61C2C" w:rsidP="0004468D">
            <w:pPr>
              <w:spacing w:before="40" w:after="40"/>
              <w:jc w:val="center"/>
              <w:rPr>
                <w:highlight w:val="yellow"/>
              </w:rPr>
            </w:pPr>
            <w:r w:rsidRPr="004F0240">
              <w:t>(</w:t>
            </w:r>
            <w:r>
              <w:t>82</w:t>
            </w:r>
            <w:r w:rsidRPr="004F0240">
              <w:t xml:space="preserve"> / 1</w:t>
            </w:r>
            <w:r>
              <w:t>01</w:t>
            </w:r>
            <w:r w:rsidRPr="004F0240">
              <w:t>)</w:t>
            </w:r>
          </w:p>
        </w:tc>
        <w:tc>
          <w:tcPr>
            <w:tcW w:w="674" w:type="pct"/>
            <w:tcBorders>
              <w:top w:val="single" w:sz="4" w:space="0" w:color="auto"/>
              <w:left w:val="single" w:sz="12" w:space="0" w:color="auto"/>
              <w:bottom w:val="single" w:sz="4" w:space="0" w:color="auto"/>
              <w:right w:val="single" w:sz="4" w:space="0" w:color="auto"/>
            </w:tcBorders>
            <w:shd w:val="clear" w:color="auto" w:fill="auto"/>
          </w:tcPr>
          <w:p w14:paraId="16CB223D" w14:textId="77777777" w:rsidR="00F61C2C" w:rsidRPr="00B27497" w:rsidRDefault="00F61C2C" w:rsidP="0004468D">
            <w:pPr>
              <w:spacing w:before="40" w:after="40"/>
              <w:jc w:val="center"/>
              <w:rPr>
                <w:rFonts w:cs="Arial"/>
                <w:highlight w:val="yellow"/>
              </w:rPr>
            </w:pPr>
            <w:r>
              <w:rPr>
                <w:rFonts w:cs="Arial"/>
              </w:rPr>
              <w:t>&gt; 80</w:t>
            </w:r>
            <w:r w:rsidRPr="00AF1606">
              <w:rPr>
                <w:rFonts w:cs="Arial"/>
              </w:rPr>
              <w:t>%</w:t>
            </w:r>
          </w:p>
        </w:tc>
        <w:tc>
          <w:tcPr>
            <w:tcW w:w="750" w:type="pct"/>
            <w:tcBorders>
              <w:top w:val="single" w:sz="4" w:space="0" w:color="auto"/>
              <w:left w:val="single" w:sz="4" w:space="0" w:color="auto"/>
              <w:bottom w:val="single" w:sz="4" w:space="0" w:color="auto"/>
              <w:right w:val="single" w:sz="4" w:space="0" w:color="auto"/>
            </w:tcBorders>
            <w:shd w:val="clear" w:color="auto" w:fill="F2F2F2"/>
          </w:tcPr>
          <w:p w14:paraId="09ED4499" w14:textId="77777777" w:rsidR="00F61C2C" w:rsidRPr="004F0240" w:rsidRDefault="00F61C2C" w:rsidP="0004468D">
            <w:pPr>
              <w:spacing w:before="40" w:after="40"/>
              <w:jc w:val="center"/>
              <w:rPr>
                <w:b/>
              </w:rPr>
            </w:pPr>
            <w:r>
              <w:rPr>
                <w:b/>
              </w:rPr>
              <w:t>82</w:t>
            </w:r>
            <w:r w:rsidRPr="004F0240">
              <w:rPr>
                <w:b/>
              </w:rPr>
              <w:t>%</w:t>
            </w:r>
          </w:p>
          <w:p w14:paraId="6E6D4B2A" w14:textId="77777777" w:rsidR="00F61C2C" w:rsidRPr="004F0240" w:rsidRDefault="00F61C2C" w:rsidP="0004468D">
            <w:pPr>
              <w:spacing w:before="40" w:after="40"/>
              <w:jc w:val="center"/>
              <w:rPr>
                <w:highlight w:val="yellow"/>
              </w:rPr>
            </w:pPr>
            <w:r w:rsidRPr="004F0240">
              <w:t>(</w:t>
            </w:r>
            <w:r>
              <w:t>85</w:t>
            </w:r>
            <w:r w:rsidRPr="004F0240">
              <w:t xml:space="preserve"> / 1</w:t>
            </w:r>
            <w:r>
              <w:t>04</w:t>
            </w:r>
            <w:r w:rsidRPr="004F0240">
              <w:t>)</w:t>
            </w:r>
          </w:p>
        </w:tc>
        <w:tc>
          <w:tcPr>
            <w:tcW w:w="584" w:type="pct"/>
            <w:tcBorders>
              <w:top w:val="single" w:sz="4" w:space="0" w:color="auto"/>
              <w:bottom w:val="single" w:sz="4" w:space="0" w:color="auto"/>
              <w:right w:val="single" w:sz="12" w:space="0" w:color="auto"/>
            </w:tcBorders>
            <w:shd w:val="clear" w:color="auto" w:fill="92D050"/>
          </w:tcPr>
          <w:p w14:paraId="71E98330" w14:textId="77777777" w:rsidR="00F61C2C" w:rsidRPr="00342E77" w:rsidRDefault="00F61C2C" w:rsidP="0004468D">
            <w:pPr>
              <w:spacing w:before="40"/>
              <w:jc w:val="center"/>
            </w:pPr>
            <w:r w:rsidRPr="00201147">
              <w:rPr>
                <w:sz w:val="40"/>
                <w:szCs w:val="52"/>
              </w:rPr>
              <w:sym w:font="Wingdings" w:char="F04A"/>
            </w:r>
          </w:p>
          <w:p w14:paraId="265ACF3C" w14:textId="77777777" w:rsidR="00F61C2C" w:rsidRPr="00B27497" w:rsidRDefault="00F61C2C" w:rsidP="0004468D">
            <w:pPr>
              <w:ind w:left="-108" w:right="-108"/>
              <w:jc w:val="center"/>
              <w:rPr>
                <w:sz w:val="48"/>
                <w:szCs w:val="52"/>
                <w:highlight w:val="yellow"/>
              </w:rPr>
            </w:pPr>
            <w:r>
              <w:t>Yes</w:t>
            </w:r>
          </w:p>
        </w:tc>
      </w:tr>
      <w:tr w:rsidR="00F61C2C" w:rsidRPr="00B27497" w14:paraId="6E75BE70" w14:textId="77777777" w:rsidTr="00103388">
        <w:trPr>
          <w:trHeight w:val="975"/>
        </w:trPr>
        <w:tc>
          <w:tcPr>
            <w:tcW w:w="2168" w:type="pct"/>
            <w:tcBorders>
              <w:top w:val="single" w:sz="4" w:space="0" w:color="auto"/>
              <w:left w:val="single" w:sz="12" w:space="0" w:color="auto"/>
              <w:bottom w:val="single" w:sz="4" w:space="0" w:color="auto"/>
              <w:right w:val="single" w:sz="12" w:space="0" w:color="auto"/>
            </w:tcBorders>
            <w:shd w:val="clear" w:color="auto" w:fill="FFFFFF"/>
          </w:tcPr>
          <w:p w14:paraId="47D06FE3" w14:textId="77777777" w:rsidR="00F61C2C" w:rsidRPr="00AF1606" w:rsidRDefault="00F61C2C" w:rsidP="0004468D">
            <w:pPr>
              <w:spacing w:before="40"/>
            </w:pPr>
            <w:r w:rsidRPr="00AF1606">
              <w:t>Staff likely to recommend the LDNPA as a place to work</w:t>
            </w:r>
          </w:p>
        </w:tc>
        <w:tc>
          <w:tcPr>
            <w:tcW w:w="824" w:type="pct"/>
            <w:tcBorders>
              <w:top w:val="single" w:sz="4" w:space="0" w:color="auto"/>
              <w:left w:val="single" w:sz="12" w:space="0" w:color="auto"/>
              <w:bottom w:val="single" w:sz="4" w:space="0" w:color="auto"/>
              <w:right w:val="single" w:sz="12" w:space="0" w:color="auto"/>
            </w:tcBorders>
            <w:shd w:val="clear" w:color="auto" w:fill="F2F2F2"/>
          </w:tcPr>
          <w:p w14:paraId="2261428A" w14:textId="77777777" w:rsidR="00F61C2C" w:rsidRPr="004F0240" w:rsidRDefault="00F61C2C" w:rsidP="0004468D">
            <w:pPr>
              <w:spacing w:before="40" w:after="40"/>
              <w:jc w:val="center"/>
              <w:rPr>
                <w:b/>
              </w:rPr>
            </w:pPr>
            <w:r>
              <w:rPr>
                <w:b/>
              </w:rPr>
              <w:t>82</w:t>
            </w:r>
            <w:r w:rsidRPr="004F0240">
              <w:rPr>
                <w:b/>
              </w:rPr>
              <w:t>%</w:t>
            </w:r>
          </w:p>
          <w:p w14:paraId="08427144" w14:textId="77777777" w:rsidR="00F61C2C" w:rsidRPr="004F0240" w:rsidRDefault="00F61C2C" w:rsidP="0004468D">
            <w:pPr>
              <w:spacing w:before="40" w:after="40"/>
              <w:jc w:val="center"/>
              <w:rPr>
                <w:highlight w:val="yellow"/>
              </w:rPr>
            </w:pPr>
            <w:r>
              <w:t>(83</w:t>
            </w:r>
            <w:r w:rsidRPr="004F0240">
              <w:t xml:space="preserve"> / 1</w:t>
            </w:r>
            <w:r>
              <w:t>01</w:t>
            </w:r>
            <w:r w:rsidRPr="004F0240">
              <w:t>)</w:t>
            </w:r>
          </w:p>
        </w:tc>
        <w:tc>
          <w:tcPr>
            <w:tcW w:w="674" w:type="pct"/>
            <w:tcBorders>
              <w:top w:val="single" w:sz="4" w:space="0" w:color="auto"/>
              <w:left w:val="single" w:sz="12" w:space="0" w:color="auto"/>
              <w:bottom w:val="single" w:sz="4" w:space="0" w:color="auto"/>
              <w:right w:val="single" w:sz="4" w:space="0" w:color="auto"/>
            </w:tcBorders>
            <w:shd w:val="clear" w:color="auto" w:fill="auto"/>
          </w:tcPr>
          <w:p w14:paraId="77FFFBF7" w14:textId="77777777" w:rsidR="00F61C2C" w:rsidRPr="00B27497" w:rsidRDefault="00F61C2C" w:rsidP="0004468D">
            <w:pPr>
              <w:spacing w:before="40" w:after="40"/>
              <w:jc w:val="center"/>
              <w:rPr>
                <w:rFonts w:cs="Arial"/>
                <w:highlight w:val="yellow"/>
              </w:rPr>
            </w:pPr>
            <w:r w:rsidRPr="00AF1606">
              <w:rPr>
                <w:rFonts w:cs="Arial"/>
              </w:rPr>
              <w:t xml:space="preserve">&gt; </w:t>
            </w:r>
            <w:r>
              <w:rPr>
                <w:rFonts w:cs="Arial"/>
              </w:rPr>
              <w:t>80</w:t>
            </w:r>
            <w:r w:rsidRPr="00AF1606">
              <w:rPr>
                <w:rFonts w:cs="Arial"/>
              </w:rPr>
              <w:t>%</w:t>
            </w:r>
          </w:p>
        </w:tc>
        <w:tc>
          <w:tcPr>
            <w:tcW w:w="750" w:type="pct"/>
            <w:tcBorders>
              <w:top w:val="single" w:sz="4" w:space="0" w:color="auto"/>
              <w:left w:val="single" w:sz="4" w:space="0" w:color="auto"/>
              <w:bottom w:val="single" w:sz="4" w:space="0" w:color="auto"/>
              <w:right w:val="single" w:sz="4" w:space="0" w:color="auto"/>
            </w:tcBorders>
            <w:shd w:val="clear" w:color="auto" w:fill="F2F2F2"/>
          </w:tcPr>
          <w:p w14:paraId="327230C3" w14:textId="77777777" w:rsidR="00F61C2C" w:rsidRPr="008C19A9" w:rsidRDefault="00F61C2C" w:rsidP="0004468D">
            <w:pPr>
              <w:spacing w:before="40" w:after="40"/>
              <w:jc w:val="center"/>
              <w:rPr>
                <w:bCs/>
                <w:highlight w:val="yellow"/>
              </w:rPr>
            </w:pPr>
            <w:r w:rsidRPr="008C19A9">
              <w:rPr>
                <w:bCs/>
              </w:rPr>
              <w:t>Full staff survey not run</w:t>
            </w:r>
          </w:p>
        </w:tc>
        <w:tc>
          <w:tcPr>
            <w:tcW w:w="584" w:type="pct"/>
            <w:tcBorders>
              <w:top w:val="single" w:sz="4" w:space="0" w:color="auto"/>
              <w:bottom w:val="single" w:sz="4" w:space="0" w:color="auto"/>
              <w:right w:val="single" w:sz="12" w:space="0" w:color="auto"/>
            </w:tcBorders>
            <w:shd w:val="clear" w:color="auto" w:fill="BFBFBF"/>
          </w:tcPr>
          <w:p w14:paraId="61C57065" w14:textId="77777777" w:rsidR="00F61C2C" w:rsidRPr="008C19A9" w:rsidRDefault="00F61C2C" w:rsidP="0004468D">
            <w:pPr>
              <w:ind w:left="-108" w:right="-108"/>
              <w:jc w:val="center"/>
              <w:rPr>
                <w:sz w:val="32"/>
                <w:szCs w:val="36"/>
              </w:rPr>
            </w:pPr>
            <w:r w:rsidRPr="008C19A9">
              <w:rPr>
                <w:sz w:val="32"/>
                <w:szCs w:val="36"/>
              </w:rPr>
              <w:t>-</w:t>
            </w:r>
          </w:p>
        </w:tc>
      </w:tr>
      <w:tr w:rsidR="00F61C2C" w:rsidRPr="00B27497" w14:paraId="5CB92FAA" w14:textId="77777777" w:rsidTr="00103388">
        <w:trPr>
          <w:trHeight w:val="1129"/>
        </w:trPr>
        <w:tc>
          <w:tcPr>
            <w:tcW w:w="2168" w:type="pct"/>
            <w:tcBorders>
              <w:top w:val="single" w:sz="4" w:space="0" w:color="auto"/>
              <w:left w:val="single" w:sz="12" w:space="0" w:color="auto"/>
              <w:bottom w:val="single" w:sz="4" w:space="0" w:color="auto"/>
              <w:right w:val="single" w:sz="12" w:space="0" w:color="auto"/>
            </w:tcBorders>
            <w:shd w:val="clear" w:color="auto" w:fill="FFFFFF"/>
          </w:tcPr>
          <w:p w14:paraId="3617B02C" w14:textId="77777777" w:rsidR="00F61C2C" w:rsidRDefault="00F61C2C" w:rsidP="0004468D">
            <w:pPr>
              <w:spacing w:before="40" w:after="40"/>
            </w:pPr>
            <w:r>
              <w:t>N</w:t>
            </w:r>
            <w:r w:rsidRPr="00201147">
              <w:t xml:space="preserve">umber of reported accidents </w:t>
            </w:r>
            <w:r>
              <w:t>to staff, volunteers and members per 100,000 working hours</w:t>
            </w:r>
          </w:p>
          <w:p w14:paraId="45CE4799" w14:textId="77777777" w:rsidR="00F61C2C" w:rsidRPr="00201147" w:rsidRDefault="00F61C2C" w:rsidP="0004468D">
            <w:pPr>
              <w:spacing w:after="40"/>
            </w:pPr>
            <w:r>
              <w:t>(12 month rolling average)</w:t>
            </w:r>
          </w:p>
        </w:tc>
        <w:tc>
          <w:tcPr>
            <w:tcW w:w="824" w:type="pct"/>
            <w:tcBorders>
              <w:top w:val="single" w:sz="4" w:space="0" w:color="auto"/>
              <w:left w:val="single" w:sz="12" w:space="0" w:color="auto"/>
              <w:bottom w:val="single" w:sz="4" w:space="0" w:color="auto"/>
              <w:right w:val="single" w:sz="12" w:space="0" w:color="auto"/>
            </w:tcBorders>
            <w:shd w:val="clear" w:color="auto" w:fill="F2F2F2"/>
          </w:tcPr>
          <w:p w14:paraId="159D9A97" w14:textId="77777777" w:rsidR="00F61C2C" w:rsidRPr="00B65AB1" w:rsidRDefault="00F61C2C" w:rsidP="0004468D">
            <w:pPr>
              <w:spacing w:before="40"/>
              <w:ind w:left="-176" w:right="-113"/>
              <w:jc w:val="center"/>
              <w:rPr>
                <w:b/>
                <w:highlight w:val="yellow"/>
              </w:rPr>
            </w:pPr>
            <w:r>
              <w:rPr>
                <w:rFonts w:cs="Arial"/>
                <w:b/>
              </w:rPr>
              <w:t>4.7</w:t>
            </w:r>
          </w:p>
        </w:tc>
        <w:tc>
          <w:tcPr>
            <w:tcW w:w="674" w:type="pct"/>
            <w:tcBorders>
              <w:top w:val="single" w:sz="4" w:space="0" w:color="auto"/>
              <w:left w:val="single" w:sz="12" w:space="0" w:color="auto"/>
              <w:bottom w:val="single" w:sz="4" w:space="0" w:color="auto"/>
              <w:right w:val="single" w:sz="4" w:space="0" w:color="auto"/>
            </w:tcBorders>
            <w:shd w:val="clear" w:color="auto" w:fill="auto"/>
          </w:tcPr>
          <w:p w14:paraId="5A405CCF" w14:textId="77777777" w:rsidR="00F61C2C" w:rsidRPr="00B27497" w:rsidRDefault="00F61C2C" w:rsidP="0004468D">
            <w:pPr>
              <w:spacing w:before="40"/>
              <w:jc w:val="center"/>
              <w:rPr>
                <w:highlight w:val="yellow"/>
              </w:rPr>
            </w:pPr>
            <w:r w:rsidRPr="00B65AB1">
              <w:rPr>
                <w:rFonts w:cs="Arial"/>
              </w:rPr>
              <w:t xml:space="preserve">&lt; </w:t>
            </w:r>
            <w:r>
              <w:rPr>
                <w:rFonts w:cs="Arial"/>
              </w:rPr>
              <w:t>3.5</w:t>
            </w:r>
          </w:p>
        </w:tc>
        <w:tc>
          <w:tcPr>
            <w:tcW w:w="750" w:type="pct"/>
            <w:tcBorders>
              <w:top w:val="single" w:sz="4" w:space="0" w:color="auto"/>
              <w:left w:val="single" w:sz="4" w:space="0" w:color="auto"/>
              <w:bottom w:val="single" w:sz="4" w:space="0" w:color="auto"/>
              <w:right w:val="single" w:sz="4" w:space="0" w:color="auto"/>
            </w:tcBorders>
            <w:shd w:val="clear" w:color="auto" w:fill="F2F2F2"/>
          </w:tcPr>
          <w:p w14:paraId="723555C0" w14:textId="77777777" w:rsidR="00F61C2C" w:rsidRPr="00B27497" w:rsidRDefault="00F61C2C" w:rsidP="0004468D">
            <w:pPr>
              <w:spacing w:before="40"/>
              <w:ind w:left="-135" w:right="-113"/>
              <w:jc w:val="center"/>
              <w:rPr>
                <w:b/>
                <w:highlight w:val="yellow"/>
              </w:rPr>
            </w:pPr>
            <w:r>
              <w:rPr>
                <w:b/>
              </w:rPr>
              <w:t>3.0</w:t>
            </w:r>
          </w:p>
        </w:tc>
        <w:tc>
          <w:tcPr>
            <w:tcW w:w="584" w:type="pct"/>
            <w:tcBorders>
              <w:top w:val="single" w:sz="4" w:space="0" w:color="auto"/>
              <w:bottom w:val="single" w:sz="4" w:space="0" w:color="auto"/>
              <w:right w:val="single" w:sz="12" w:space="0" w:color="auto"/>
            </w:tcBorders>
            <w:shd w:val="clear" w:color="auto" w:fill="92D050"/>
          </w:tcPr>
          <w:p w14:paraId="03279DD1" w14:textId="77777777" w:rsidR="00F61C2C" w:rsidRPr="00342E77" w:rsidRDefault="00F61C2C" w:rsidP="0004468D">
            <w:pPr>
              <w:spacing w:before="40"/>
              <w:jc w:val="center"/>
            </w:pPr>
            <w:r w:rsidRPr="00201147">
              <w:rPr>
                <w:sz w:val="40"/>
                <w:szCs w:val="52"/>
              </w:rPr>
              <w:sym w:font="Wingdings" w:char="F04A"/>
            </w:r>
          </w:p>
          <w:p w14:paraId="21DE002B" w14:textId="77777777" w:rsidR="00F61C2C" w:rsidRPr="00B27497" w:rsidRDefault="00F61C2C" w:rsidP="0004468D">
            <w:pPr>
              <w:ind w:left="-108" w:right="-108"/>
              <w:jc w:val="center"/>
              <w:rPr>
                <w:highlight w:val="yellow"/>
              </w:rPr>
            </w:pPr>
            <w:r>
              <w:t>Yes</w:t>
            </w:r>
          </w:p>
        </w:tc>
      </w:tr>
      <w:tr w:rsidR="00F61C2C" w:rsidRPr="00B27497" w14:paraId="2DFCF5F7" w14:textId="77777777" w:rsidTr="00103388">
        <w:trPr>
          <w:trHeight w:val="974"/>
        </w:trPr>
        <w:tc>
          <w:tcPr>
            <w:tcW w:w="2168" w:type="pct"/>
            <w:tcBorders>
              <w:top w:val="single" w:sz="4" w:space="0" w:color="auto"/>
              <w:left w:val="single" w:sz="12" w:space="0" w:color="auto"/>
              <w:bottom w:val="single" w:sz="12" w:space="0" w:color="auto"/>
              <w:right w:val="single" w:sz="12" w:space="0" w:color="auto"/>
            </w:tcBorders>
            <w:shd w:val="clear" w:color="auto" w:fill="FFFFFF"/>
          </w:tcPr>
          <w:p w14:paraId="47666686" w14:textId="77777777" w:rsidR="00F61C2C" w:rsidRPr="00201147" w:rsidRDefault="00F61C2C" w:rsidP="0004468D">
            <w:pPr>
              <w:spacing w:before="40"/>
            </w:pPr>
            <w:r w:rsidRPr="00B65AB1">
              <w:t>Annual g</w:t>
            </w:r>
            <w:r>
              <w:t>reenhouse gas emissions</w:t>
            </w:r>
            <w:r w:rsidRPr="00B65AB1">
              <w:t xml:space="preserve"> from National Park Authority operations</w:t>
            </w:r>
            <w:r>
              <w:t xml:space="preserve"> (tonnes)</w:t>
            </w:r>
          </w:p>
        </w:tc>
        <w:tc>
          <w:tcPr>
            <w:tcW w:w="824" w:type="pct"/>
            <w:tcBorders>
              <w:top w:val="single" w:sz="4" w:space="0" w:color="auto"/>
              <w:left w:val="single" w:sz="12" w:space="0" w:color="auto"/>
              <w:bottom w:val="single" w:sz="12" w:space="0" w:color="auto"/>
              <w:right w:val="single" w:sz="12" w:space="0" w:color="auto"/>
            </w:tcBorders>
            <w:shd w:val="clear" w:color="auto" w:fill="F2F2F2"/>
          </w:tcPr>
          <w:p w14:paraId="3E77ED62" w14:textId="77777777" w:rsidR="00F61C2C" w:rsidRPr="00B27497" w:rsidRDefault="00F61C2C" w:rsidP="0004468D">
            <w:pPr>
              <w:spacing w:before="40"/>
              <w:ind w:left="-108" w:right="-113"/>
              <w:jc w:val="center"/>
              <w:rPr>
                <w:highlight w:val="yellow"/>
              </w:rPr>
            </w:pPr>
            <w:r w:rsidRPr="00C215FF">
              <w:rPr>
                <w:b/>
              </w:rPr>
              <w:t>329.23</w:t>
            </w:r>
            <w:r>
              <w:rPr>
                <w:b/>
              </w:rPr>
              <w:t xml:space="preserve"> </w:t>
            </w:r>
            <w:r w:rsidRPr="00B65AB1">
              <w:rPr>
                <w:b/>
              </w:rPr>
              <w:t>t</w:t>
            </w:r>
          </w:p>
        </w:tc>
        <w:tc>
          <w:tcPr>
            <w:tcW w:w="674" w:type="pct"/>
            <w:tcBorders>
              <w:top w:val="single" w:sz="4" w:space="0" w:color="auto"/>
              <w:left w:val="single" w:sz="12" w:space="0" w:color="auto"/>
              <w:bottom w:val="single" w:sz="12" w:space="0" w:color="auto"/>
              <w:right w:val="single" w:sz="4" w:space="0" w:color="auto"/>
            </w:tcBorders>
            <w:shd w:val="clear" w:color="auto" w:fill="auto"/>
          </w:tcPr>
          <w:p w14:paraId="19DAA61D" w14:textId="77777777" w:rsidR="00F61C2C" w:rsidRPr="00B65AB1" w:rsidRDefault="00F61C2C" w:rsidP="0004468D">
            <w:pPr>
              <w:spacing w:before="40"/>
              <w:jc w:val="center"/>
              <w:rPr>
                <w:rFonts w:cs="Arial"/>
              </w:rPr>
            </w:pPr>
            <w:r>
              <w:rPr>
                <w:rFonts w:cs="Arial"/>
              </w:rPr>
              <w:t>313.48 t</w:t>
            </w:r>
          </w:p>
        </w:tc>
        <w:tc>
          <w:tcPr>
            <w:tcW w:w="750" w:type="pct"/>
            <w:tcBorders>
              <w:top w:val="single" w:sz="4" w:space="0" w:color="auto"/>
              <w:left w:val="single" w:sz="4" w:space="0" w:color="auto"/>
              <w:bottom w:val="single" w:sz="12" w:space="0" w:color="auto"/>
              <w:right w:val="single" w:sz="4" w:space="0" w:color="auto"/>
            </w:tcBorders>
            <w:shd w:val="clear" w:color="auto" w:fill="F2F2F2"/>
          </w:tcPr>
          <w:p w14:paraId="74237462" w14:textId="77777777" w:rsidR="00F61C2C" w:rsidRPr="00B65AB1" w:rsidRDefault="00F61C2C" w:rsidP="0004468D">
            <w:pPr>
              <w:spacing w:before="40"/>
              <w:ind w:left="-108" w:right="-113"/>
              <w:jc w:val="center"/>
              <w:rPr>
                <w:sz w:val="20"/>
              </w:rPr>
            </w:pPr>
            <w:r>
              <w:rPr>
                <w:b/>
              </w:rPr>
              <w:t>267.97 t</w:t>
            </w:r>
          </w:p>
          <w:p w14:paraId="0F34C93E" w14:textId="77777777" w:rsidR="00F61C2C" w:rsidRPr="00B65AB1" w:rsidRDefault="00F61C2C" w:rsidP="0004468D">
            <w:pPr>
              <w:spacing w:before="40"/>
              <w:ind w:left="-108" w:right="-113"/>
              <w:jc w:val="center"/>
              <w:rPr>
                <w:sz w:val="20"/>
              </w:rPr>
            </w:pPr>
          </w:p>
        </w:tc>
        <w:tc>
          <w:tcPr>
            <w:tcW w:w="584" w:type="pct"/>
            <w:tcBorders>
              <w:top w:val="single" w:sz="4" w:space="0" w:color="auto"/>
              <w:bottom w:val="single" w:sz="12" w:space="0" w:color="auto"/>
              <w:right w:val="single" w:sz="12" w:space="0" w:color="auto"/>
            </w:tcBorders>
            <w:shd w:val="clear" w:color="auto" w:fill="92D050"/>
          </w:tcPr>
          <w:p w14:paraId="771909E4" w14:textId="77777777" w:rsidR="00F61C2C" w:rsidRPr="00342E77" w:rsidRDefault="00F61C2C" w:rsidP="0004468D">
            <w:pPr>
              <w:spacing w:before="40"/>
              <w:jc w:val="center"/>
            </w:pPr>
            <w:r w:rsidRPr="00201147">
              <w:rPr>
                <w:sz w:val="40"/>
                <w:szCs w:val="52"/>
              </w:rPr>
              <w:sym w:font="Wingdings" w:char="F04A"/>
            </w:r>
          </w:p>
          <w:p w14:paraId="169D5CC7" w14:textId="77777777" w:rsidR="00F61C2C" w:rsidRPr="00DA67D5" w:rsidRDefault="00F61C2C" w:rsidP="0004468D">
            <w:pPr>
              <w:ind w:left="-108" w:right="-108"/>
              <w:jc w:val="center"/>
            </w:pPr>
            <w:r>
              <w:t>Yes</w:t>
            </w:r>
          </w:p>
        </w:tc>
      </w:tr>
    </w:tbl>
    <w:p w14:paraId="5C74DCFF" w14:textId="77777777" w:rsidR="00F61C2C" w:rsidRPr="00BB6834" w:rsidRDefault="00F61C2C" w:rsidP="00F61C2C">
      <w:pPr>
        <w:autoSpaceDE w:val="0"/>
        <w:autoSpaceDN w:val="0"/>
        <w:adjustRightInd w:val="0"/>
        <w:rPr>
          <w:rFonts w:cs="Arial"/>
          <w:bCs/>
        </w:rPr>
      </w:pPr>
    </w:p>
    <w:p w14:paraId="5EC9D209" w14:textId="77777777" w:rsidR="006F69E5" w:rsidRDefault="006F69E5" w:rsidP="00A87029">
      <w:pPr>
        <w:rPr>
          <w:rFonts w:cs="Arial"/>
          <w:b/>
        </w:rPr>
      </w:pPr>
    </w:p>
    <w:p w14:paraId="1049CAD0" w14:textId="77777777" w:rsidR="003662C5" w:rsidRPr="002B5035" w:rsidRDefault="003662C5" w:rsidP="003662C5">
      <w:pPr>
        <w:rPr>
          <w:b/>
        </w:rPr>
      </w:pPr>
      <w:r w:rsidRPr="002B5035">
        <w:rPr>
          <w:b/>
        </w:rPr>
        <w:t>Going Concern</w:t>
      </w:r>
    </w:p>
    <w:p w14:paraId="79F64648" w14:textId="77777777" w:rsidR="003662C5" w:rsidRPr="002B5035" w:rsidRDefault="003662C5" w:rsidP="003662C5"/>
    <w:p w14:paraId="77F32540" w14:textId="77777777" w:rsidR="003662C5" w:rsidRDefault="003662C5" w:rsidP="003662C5">
      <w:r w:rsidRPr="002B5035">
        <w:t xml:space="preserve">The Authority’s accounts have been prepared on the basis that the Authority continues to operate as a going concern for the foreseeable future. This is judged to be reasonable </w:t>
      </w:r>
      <w:r>
        <w:t>mainly based on the Medium Term Financial Strategy (MTFS) which was approved in March 2023. This projected a balanced budget position over the 5 year life of the strategy, including an assumption that the trading reserve would need contributions of £170k. Although the actual position on the trading reserve is £80k lower than anticipated at the time of preparing the MTFS, this is less than 2% of Visitor Services gross income and is not judged to significantly alter the going concern assumption. As noted, the actual General Fund position for 2022/23 is consistent with MTFS assumption.</w:t>
      </w:r>
    </w:p>
    <w:p w14:paraId="14E83F11" w14:textId="77777777" w:rsidR="003662C5" w:rsidRDefault="003662C5" w:rsidP="003662C5">
      <w:pPr>
        <w:rPr>
          <w:b/>
        </w:rPr>
      </w:pPr>
    </w:p>
    <w:p w14:paraId="38D431BA" w14:textId="77777777" w:rsidR="0082644A" w:rsidRPr="006F69E5" w:rsidRDefault="0082644A" w:rsidP="0082644A">
      <w:pPr>
        <w:tabs>
          <w:tab w:val="left" w:pos="0"/>
        </w:tabs>
        <w:rPr>
          <w:b/>
        </w:rPr>
      </w:pPr>
      <w:r w:rsidRPr="006F69E5">
        <w:rPr>
          <w:b/>
        </w:rPr>
        <w:t>Changes to Accounting Policies and Accounting statements</w:t>
      </w:r>
    </w:p>
    <w:p w14:paraId="3F847C4B" w14:textId="77777777" w:rsidR="0082644A" w:rsidRPr="00512BAB" w:rsidRDefault="0082644A" w:rsidP="0082644A">
      <w:pPr>
        <w:pStyle w:val="BlockText"/>
        <w:tabs>
          <w:tab w:val="clear" w:pos="1843"/>
          <w:tab w:val="left" w:pos="709"/>
        </w:tabs>
        <w:ind w:left="720"/>
      </w:pPr>
    </w:p>
    <w:p w14:paraId="58A12D46" w14:textId="77777777" w:rsidR="0082644A" w:rsidRPr="00512BAB" w:rsidRDefault="0082644A" w:rsidP="0082644A">
      <w:pPr>
        <w:autoSpaceDE w:val="0"/>
        <w:autoSpaceDN w:val="0"/>
        <w:adjustRightInd w:val="0"/>
        <w:rPr>
          <w:rFonts w:cs="Arial"/>
        </w:rPr>
      </w:pPr>
      <w:r w:rsidRPr="00512BAB">
        <w:t>The 202</w:t>
      </w:r>
      <w:r>
        <w:t>2</w:t>
      </w:r>
      <w:r w:rsidRPr="00512BAB">
        <w:t>/2</w:t>
      </w:r>
      <w:r>
        <w:t>3</w:t>
      </w:r>
      <w:r w:rsidRPr="00512BAB">
        <w:t xml:space="preserve"> Code did not introduce any significant changes, which require a change to our accounting policies. The statements are structured to comply with the disclosure requirements of the Code and in an order judged to provide the most logical sequence, with reference to the significance of the main statements and supporting notes.</w:t>
      </w:r>
    </w:p>
    <w:p w14:paraId="6105CC3B" w14:textId="77777777" w:rsidR="0082644A" w:rsidRDefault="0082644A" w:rsidP="003662C5">
      <w:pPr>
        <w:rPr>
          <w:b/>
        </w:rPr>
      </w:pPr>
    </w:p>
    <w:p w14:paraId="5C133FEF" w14:textId="77777777" w:rsidR="0082644A" w:rsidRDefault="0082644A" w:rsidP="003662C5">
      <w:pPr>
        <w:rPr>
          <w:b/>
        </w:rPr>
      </w:pPr>
    </w:p>
    <w:p w14:paraId="39C617DE" w14:textId="77777777" w:rsidR="0082644A" w:rsidRDefault="0082644A" w:rsidP="003662C5">
      <w:pPr>
        <w:rPr>
          <w:b/>
        </w:rPr>
      </w:pPr>
    </w:p>
    <w:p w14:paraId="2CC83190" w14:textId="6988A245" w:rsidR="003662C5" w:rsidRPr="007D0045" w:rsidRDefault="003662C5" w:rsidP="003662C5">
      <w:pPr>
        <w:rPr>
          <w:b/>
        </w:rPr>
      </w:pPr>
      <w:r w:rsidRPr="007D0045">
        <w:rPr>
          <w:b/>
        </w:rPr>
        <w:lastRenderedPageBreak/>
        <w:t>Governance Arrangements</w:t>
      </w:r>
    </w:p>
    <w:p w14:paraId="1722389B" w14:textId="77777777" w:rsidR="003662C5" w:rsidRPr="007D0045" w:rsidRDefault="003662C5" w:rsidP="003662C5"/>
    <w:p w14:paraId="16E25D3D" w14:textId="77777777" w:rsidR="003662C5" w:rsidRPr="007D0045" w:rsidRDefault="003662C5" w:rsidP="003662C5">
      <w:r w:rsidRPr="007D0045">
        <w:t>There were no significant changes to the underlying governance arrangements in year although significant work was performed to bring the Authority Handbook up to date following a number of changes of roles in year</w:t>
      </w:r>
      <w:r>
        <w:t>,</w:t>
      </w:r>
      <w:r w:rsidRPr="007D0045">
        <w:t xml:space="preserve"> including the Director of Visitor Services and Resources, the S151 Officer (now residing with the Head of Resources) and deputy S151 Officer. </w:t>
      </w:r>
    </w:p>
    <w:p w14:paraId="051FB937" w14:textId="77777777" w:rsidR="003662C5" w:rsidRPr="004D5CA8" w:rsidRDefault="003662C5" w:rsidP="003662C5">
      <w:pPr>
        <w:rPr>
          <w:highlight w:val="yellow"/>
        </w:rPr>
      </w:pPr>
    </w:p>
    <w:p w14:paraId="2D113478" w14:textId="77777777" w:rsidR="003662C5" w:rsidRDefault="003662C5" w:rsidP="003662C5">
      <w:r w:rsidRPr="007D0045">
        <w:t>The 2021/22 audit findings report recommendation around the Authority’s finance system was addressed in year. The upgrade of the SUN finance system was completed during February 2023.</w:t>
      </w:r>
      <w:r>
        <w:t xml:space="preserve"> </w:t>
      </w:r>
    </w:p>
    <w:p w14:paraId="0816AFFF" w14:textId="77777777" w:rsidR="003662C5" w:rsidRDefault="003662C5" w:rsidP="003662C5"/>
    <w:p w14:paraId="696A794A" w14:textId="77777777" w:rsidR="003662C5" w:rsidRDefault="003662C5" w:rsidP="003662C5">
      <w:r>
        <w:t>The Annual Governance Statement for 2022/23, including the action plan of potential improvements, is included within this document.</w:t>
      </w:r>
    </w:p>
    <w:p w14:paraId="2A6B1939" w14:textId="77777777" w:rsidR="003662C5" w:rsidRDefault="003662C5" w:rsidP="00A87029">
      <w:pPr>
        <w:rPr>
          <w:rFonts w:cs="Arial"/>
          <w:b/>
        </w:rPr>
      </w:pPr>
    </w:p>
    <w:p w14:paraId="77A52355" w14:textId="34BBF9CE" w:rsidR="00A87029" w:rsidRPr="00A87029" w:rsidRDefault="00A87029" w:rsidP="00A87029">
      <w:pPr>
        <w:rPr>
          <w:b/>
          <w:sz w:val="24"/>
          <w:szCs w:val="24"/>
        </w:rPr>
      </w:pPr>
      <w:r w:rsidRPr="00A87029">
        <w:rPr>
          <w:rFonts w:cs="Arial"/>
          <w:b/>
        </w:rPr>
        <w:t>Cash flows and Other Issues</w:t>
      </w:r>
    </w:p>
    <w:p w14:paraId="154970A4" w14:textId="77777777" w:rsidR="00A87029" w:rsidRPr="00A87029" w:rsidRDefault="00A87029" w:rsidP="00A87029">
      <w:pPr>
        <w:autoSpaceDE w:val="0"/>
        <w:autoSpaceDN w:val="0"/>
        <w:adjustRightInd w:val="0"/>
        <w:rPr>
          <w:rFonts w:cs="Arial"/>
        </w:rPr>
      </w:pPr>
    </w:p>
    <w:p w14:paraId="3D72F841" w14:textId="77777777" w:rsidR="00A87029" w:rsidRPr="00A87029" w:rsidRDefault="00A87029" w:rsidP="00A87029">
      <w:pPr>
        <w:autoSpaceDE w:val="0"/>
        <w:autoSpaceDN w:val="0"/>
        <w:adjustRightInd w:val="0"/>
        <w:rPr>
          <w:rFonts w:cs="Arial"/>
        </w:rPr>
      </w:pPr>
      <w:r w:rsidRPr="00A87029">
        <w:rPr>
          <w:rFonts w:cs="Arial"/>
        </w:rPr>
        <w:t xml:space="preserve">The Authority held only non-material provisions at 31 March 2023. During 2022/23 there were no </w:t>
      </w:r>
      <w:r>
        <w:rPr>
          <w:rFonts w:cs="Arial"/>
        </w:rPr>
        <w:t xml:space="preserve">significant </w:t>
      </w:r>
      <w:r w:rsidRPr="00A87029">
        <w:rPr>
          <w:rFonts w:cs="Arial"/>
        </w:rPr>
        <w:t xml:space="preserve">debt write offs. </w:t>
      </w:r>
    </w:p>
    <w:p w14:paraId="7EAAA3AF" w14:textId="77777777" w:rsidR="00A87029" w:rsidRPr="004D5CA8" w:rsidRDefault="00A87029" w:rsidP="00A87029">
      <w:pPr>
        <w:autoSpaceDE w:val="0"/>
        <w:autoSpaceDN w:val="0"/>
        <w:adjustRightInd w:val="0"/>
        <w:rPr>
          <w:rFonts w:cs="Arial"/>
          <w:highlight w:val="yellow"/>
        </w:rPr>
      </w:pPr>
    </w:p>
    <w:p w14:paraId="73567B1D" w14:textId="77777777" w:rsidR="00A87029" w:rsidRPr="00A87029" w:rsidRDefault="00A87029" w:rsidP="00A87029">
      <w:r w:rsidRPr="00A87029">
        <w:rPr>
          <w:rFonts w:cs="Arial"/>
        </w:rPr>
        <w:t xml:space="preserve">Cash flows during the year were managed within existing resources and there was no need for temporary borrowing. </w:t>
      </w:r>
      <w:r w:rsidRPr="00A87029">
        <w:t>Both revenue and capital funds were monitored and re-projected on a frequent basis. Combining these with projections of the application of funds allowed a cash flow forecast to be prepared, assisting with day-to-day management of cash resources. Cash flows were well managed during 2022/23 and there were no significant issues to report. No cash flow difficulties are forecast within our existing planning horizons.</w:t>
      </w:r>
    </w:p>
    <w:p w14:paraId="57BE0231" w14:textId="77777777" w:rsidR="00A87029" w:rsidRPr="004D5CA8" w:rsidRDefault="00A87029" w:rsidP="00A87029">
      <w:pPr>
        <w:autoSpaceDE w:val="0"/>
        <w:autoSpaceDN w:val="0"/>
        <w:adjustRightInd w:val="0"/>
        <w:rPr>
          <w:rFonts w:cs="Arial"/>
          <w:highlight w:val="yellow"/>
        </w:rPr>
      </w:pPr>
    </w:p>
    <w:p w14:paraId="2F66F8FA" w14:textId="77777777" w:rsidR="00A87029" w:rsidRPr="00A87029" w:rsidRDefault="00A87029" w:rsidP="00A87029">
      <w:pPr>
        <w:autoSpaceDE w:val="0"/>
        <w:autoSpaceDN w:val="0"/>
        <w:adjustRightInd w:val="0"/>
        <w:rPr>
          <w:rFonts w:cs="Arial"/>
        </w:rPr>
      </w:pPr>
      <w:r w:rsidRPr="00A87029">
        <w:rPr>
          <w:rFonts w:cs="Arial"/>
        </w:rPr>
        <w:t xml:space="preserve">The Authority considers its staff and its positive working relationships with the other members of the Lake District National Park Partnership to be key strengths and drivers for its success and performance. Reserve balances are appropriate and not excessive. There were no material events after the reporting date.  </w:t>
      </w:r>
    </w:p>
    <w:p w14:paraId="0222445C" w14:textId="77777777" w:rsidR="00A87029" w:rsidRPr="004D5CA8" w:rsidRDefault="00A87029" w:rsidP="00A87029">
      <w:pPr>
        <w:rPr>
          <w:highlight w:val="yellow"/>
        </w:rPr>
      </w:pPr>
    </w:p>
    <w:p w14:paraId="5B4E5A77" w14:textId="77777777" w:rsidR="00A01E56" w:rsidRPr="00512BAB" w:rsidRDefault="00A01E56" w:rsidP="00A01E56">
      <w:pPr>
        <w:rPr>
          <w:b/>
          <w:iCs/>
          <w:szCs w:val="20"/>
        </w:rPr>
      </w:pPr>
      <w:r w:rsidRPr="00512BAB">
        <w:rPr>
          <w:b/>
          <w:iCs/>
          <w:szCs w:val="20"/>
        </w:rPr>
        <w:t xml:space="preserve">Materiality and </w:t>
      </w:r>
      <w:proofErr w:type="spellStart"/>
      <w:r w:rsidRPr="00512BAB">
        <w:rPr>
          <w:b/>
          <w:iCs/>
          <w:szCs w:val="20"/>
        </w:rPr>
        <w:t>Roundings</w:t>
      </w:r>
      <w:proofErr w:type="spellEnd"/>
    </w:p>
    <w:p w14:paraId="67F17C44" w14:textId="77777777" w:rsidR="00A01E56" w:rsidRPr="00512BAB" w:rsidRDefault="00A01E56" w:rsidP="00A01E56">
      <w:pPr>
        <w:rPr>
          <w:iCs/>
          <w:szCs w:val="20"/>
        </w:rPr>
      </w:pPr>
    </w:p>
    <w:p w14:paraId="36393244" w14:textId="56600D51" w:rsidR="00A01E56" w:rsidRPr="00512BAB" w:rsidRDefault="00A01E56" w:rsidP="00A01E56">
      <w:pPr>
        <w:rPr>
          <w:iCs/>
          <w:szCs w:val="20"/>
        </w:rPr>
      </w:pPr>
      <w:r w:rsidRPr="00512BAB">
        <w:rPr>
          <w:iCs/>
          <w:szCs w:val="20"/>
        </w:rPr>
        <w:t>The financial statements are prepared and presented based on material grounds taking into account a materiality threshold of £</w:t>
      </w:r>
      <w:r w:rsidR="007253C5" w:rsidRPr="00512BAB">
        <w:rPr>
          <w:iCs/>
          <w:szCs w:val="20"/>
        </w:rPr>
        <w:t>3</w:t>
      </w:r>
      <w:r w:rsidR="00512BAB" w:rsidRPr="00512BAB">
        <w:rPr>
          <w:iCs/>
          <w:szCs w:val="20"/>
        </w:rPr>
        <w:t>27</w:t>
      </w:r>
      <w:r w:rsidR="007253C5" w:rsidRPr="00512BAB">
        <w:rPr>
          <w:iCs/>
          <w:szCs w:val="20"/>
        </w:rPr>
        <w:t>k</w:t>
      </w:r>
      <w:r w:rsidR="00512BAB" w:rsidRPr="00512BAB">
        <w:rPr>
          <w:iCs/>
          <w:szCs w:val="20"/>
        </w:rPr>
        <w:t>, which is consistent with external audit’s planning materiality</w:t>
      </w:r>
      <w:r w:rsidRPr="00512BAB">
        <w:rPr>
          <w:iCs/>
          <w:szCs w:val="20"/>
        </w:rPr>
        <w:t>.</w:t>
      </w:r>
      <w:r w:rsidR="00103388">
        <w:rPr>
          <w:iCs/>
          <w:szCs w:val="20"/>
        </w:rPr>
        <w:t xml:space="preserve"> </w:t>
      </w:r>
    </w:p>
    <w:p w14:paraId="4B4A3451" w14:textId="77777777" w:rsidR="00A01E56" w:rsidRPr="00512BAB" w:rsidRDefault="00A01E56" w:rsidP="00A01E56">
      <w:pPr>
        <w:rPr>
          <w:iCs/>
          <w:szCs w:val="20"/>
        </w:rPr>
      </w:pPr>
    </w:p>
    <w:p w14:paraId="78C5EA8E" w14:textId="77777777" w:rsidR="00A01E56" w:rsidRPr="00512BAB" w:rsidRDefault="00A01E56" w:rsidP="00A01E56">
      <w:pPr>
        <w:rPr>
          <w:iCs/>
          <w:szCs w:val="20"/>
        </w:rPr>
      </w:pPr>
      <w:r w:rsidRPr="00512BAB">
        <w:rPr>
          <w:iCs/>
          <w:szCs w:val="20"/>
        </w:rPr>
        <w:t>The Authority uses rounding to the nearest thousand pounds in the financial statements. Our accounting policies allow for small rounding differences in the accounts. These do not detract from the reader’s overall understanding of the Authority’s financial performance.</w:t>
      </w:r>
    </w:p>
    <w:p w14:paraId="4CAE71BE" w14:textId="77777777" w:rsidR="00A01E56" w:rsidRPr="004D5CA8" w:rsidRDefault="00A01E56" w:rsidP="006B57E8">
      <w:pPr>
        <w:pStyle w:val="ListParagraph"/>
        <w:ind w:left="284"/>
        <w:rPr>
          <w:highlight w:val="yellow"/>
        </w:rPr>
      </w:pPr>
    </w:p>
    <w:p w14:paraId="1477CFE3" w14:textId="780E5B5A" w:rsidR="00352B82" w:rsidRDefault="00352B82" w:rsidP="00BA639D">
      <w:pPr>
        <w:rPr>
          <w:rFonts w:ascii="Brush Script MT" w:hAnsi="Brush Script MT"/>
          <w:b/>
          <w:bCs/>
          <w:i/>
          <w:iCs/>
          <w:sz w:val="48"/>
          <w:szCs w:val="48"/>
          <w:highlight w:val="yellow"/>
        </w:rPr>
      </w:pPr>
    </w:p>
    <w:p w14:paraId="59D389CC" w14:textId="4DA8EEC9" w:rsidR="00BA639D" w:rsidRDefault="00BA639D" w:rsidP="00BA639D">
      <w:pPr>
        <w:rPr>
          <w:rFonts w:ascii="Brush Script MT" w:hAnsi="Brush Script MT"/>
          <w:b/>
          <w:bCs/>
          <w:i/>
          <w:iCs/>
          <w:sz w:val="48"/>
          <w:szCs w:val="48"/>
          <w:highlight w:val="yellow"/>
        </w:rPr>
      </w:pPr>
    </w:p>
    <w:p w14:paraId="64DD6B8F" w14:textId="1D744549" w:rsidR="00BA639D" w:rsidRDefault="00BA639D" w:rsidP="00BA639D">
      <w:pPr>
        <w:rPr>
          <w:rFonts w:ascii="Brush Script MT" w:hAnsi="Brush Script MT"/>
          <w:b/>
          <w:bCs/>
          <w:i/>
          <w:iCs/>
          <w:sz w:val="48"/>
          <w:szCs w:val="48"/>
          <w:highlight w:val="yellow"/>
        </w:rPr>
      </w:pPr>
    </w:p>
    <w:p w14:paraId="1092D06C" w14:textId="77777777" w:rsidR="00BA639D" w:rsidRPr="004D5CA8" w:rsidRDefault="00BA639D" w:rsidP="00BA639D">
      <w:pPr>
        <w:rPr>
          <w:highlight w:val="yellow"/>
        </w:rPr>
      </w:pPr>
    </w:p>
    <w:p w14:paraId="485A43D8" w14:textId="7C450402" w:rsidR="002A09D6" w:rsidRPr="00103388" w:rsidRDefault="000A5E97" w:rsidP="00352B82">
      <w:pPr>
        <w:tabs>
          <w:tab w:val="left" w:pos="0"/>
        </w:tabs>
      </w:pPr>
      <w:r w:rsidRPr="00103388">
        <w:t>Jane Fretwell</w:t>
      </w:r>
    </w:p>
    <w:p w14:paraId="5B0A8E88" w14:textId="4921E58A" w:rsidR="00352B82" w:rsidRPr="00103388" w:rsidRDefault="000A5E97" w:rsidP="00352B82">
      <w:pPr>
        <w:tabs>
          <w:tab w:val="left" w:pos="0"/>
        </w:tabs>
      </w:pPr>
      <w:r w:rsidRPr="00103388">
        <w:t>Head of Resources</w:t>
      </w:r>
      <w:r w:rsidR="00352B82" w:rsidRPr="00103388">
        <w:t xml:space="preserve"> (S151)</w:t>
      </w:r>
    </w:p>
    <w:p w14:paraId="422C8EB3" w14:textId="23C52740" w:rsidR="00352B82" w:rsidRPr="00103388" w:rsidRDefault="000A5E97" w:rsidP="00352B82">
      <w:pPr>
        <w:tabs>
          <w:tab w:val="left" w:pos="0"/>
        </w:tabs>
        <w:rPr>
          <w:b/>
          <w:sz w:val="28"/>
          <w:szCs w:val="28"/>
        </w:rPr>
      </w:pPr>
      <w:r w:rsidRPr="00103388">
        <w:t>31 May</w:t>
      </w:r>
      <w:r w:rsidR="00352B82" w:rsidRPr="00103388">
        <w:t xml:space="preserve"> 202</w:t>
      </w:r>
      <w:r w:rsidRPr="00103388">
        <w:t>3</w:t>
      </w:r>
    </w:p>
    <w:p w14:paraId="4228F256" w14:textId="77777777" w:rsidR="005221AC" w:rsidRPr="004D5CA8" w:rsidRDefault="005221AC" w:rsidP="00DD4157">
      <w:pPr>
        <w:tabs>
          <w:tab w:val="left" w:pos="0"/>
        </w:tabs>
        <w:jc w:val="center"/>
        <w:rPr>
          <w:b/>
          <w:sz w:val="28"/>
          <w:szCs w:val="28"/>
          <w:highlight w:val="yellow"/>
        </w:rPr>
      </w:pPr>
    </w:p>
    <w:p w14:paraId="268D4DCE" w14:textId="77777777" w:rsidR="00103388" w:rsidRDefault="00103388" w:rsidP="00D34473">
      <w:pPr>
        <w:pStyle w:val="HEADING"/>
        <w:jc w:val="center"/>
        <w:rPr>
          <w:sz w:val="28"/>
          <w:szCs w:val="28"/>
        </w:rPr>
        <w:sectPr w:rsidR="00103388" w:rsidSect="004F3100">
          <w:headerReference w:type="even" r:id="rId12"/>
          <w:headerReference w:type="default" r:id="rId13"/>
          <w:footerReference w:type="default" r:id="rId14"/>
          <w:headerReference w:type="first" r:id="rId15"/>
          <w:pgSz w:w="11906" w:h="16838" w:code="9"/>
          <w:pgMar w:top="1077" w:right="991" w:bottom="720" w:left="1440" w:header="709" w:footer="403" w:gutter="0"/>
          <w:cols w:space="708"/>
          <w:docGrid w:linePitch="360"/>
        </w:sectPr>
      </w:pPr>
    </w:p>
    <w:p w14:paraId="485A43DF" w14:textId="77777777" w:rsidR="008A14A3" w:rsidRPr="00BA639D" w:rsidRDefault="008A14A3" w:rsidP="00D34473">
      <w:pPr>
        <w:pStyle w:val="HEADING"/>
        <w:jc w:val="center"/>
        <w:rPr>
          <w:sz w:val="28"/>
          <w:szCs w:val="28"/>
        </w:rPr>
      </w:pPr>
      <w:r w:rsidRPr="00BA639D">
        <w:rPr>
          <w:sz w:val="28"/>
          <w:szCs w:val="28"/>
        </w:rPr>
        <w:lastRenderedPageBreak/>
        <w:t xml:space="preserve">STATEMENT OF </w:t>
      </w:r>
      <w:bookmarkEnd w:id="0"/>
      <w:bookmarkEnd w:id="1"/>
      <w:bookmarkEnd w:id="2"/>
      <w:bookmarkEnd w:id="3"/>
      <w:r w:rsidR="00645645" w:rsidRPr="00BA639D">
        <w:rPr>
          <w:sz w:val="28"/>
          <w:szCs w:val="28"/>
        </w:rPr>
        <w:t>RESPONSIBILITIES</w:t>
      </w:r>
    </w:p>
    <w:p w14:paraId="485A43E0" w14:textId="77777777" w:rsidR="006206A8" w:rsidRPr="00BA639D" w:rsidRDefault="006206A8" w:rsidP="00D34473">
      <w:pPr>
        <w:pStyle w:val="Heading3"/>
        <w:jc w:val="center"/>
        <w:rPr>
          <w:sz w:val="23"/>
          <w:szCs w:val="23"/>
        </w:rPr>
      </w:pPr>
    </w:p>
    <w:p w14:paraId="485A43E1" w14:textId="77777777" w:rsidR="008A14A3" w:rsidRPr="00BA639D" w:rsidRDefault="008A14A3" w:rsidP="006D2EED">
      <w:pPr>
        <w:pStyle w:val="Heading3"/>
        <w:rPr>
          <w:szCs w:val="24"/>
        </w:rPr>
      </w:pPr>
      <w:r w:rsidRPr="00BA639D">
        <w:rPr>
          <w:szCs w:val="24"/>
        </w:rPr>
        <w:t>The Authority’s Responsibilities</w:t>
      </w:r>
    </w:p>
    <w:p w14:paraId="485A43E2" w14:textId="77777777" w:rsidR="008A14A3" w:rsidRPr="00BA639D" w:rsidRDefault="008A14A3" w:rsidP="006D2EED">
      <w:pPr>
        <w:pStyle w:val="Heading3"/>
      </w:pPr>
    </w:p>
    <w:p w14:paraId="485A43E3" w14:textId="77777777" w:rsidR="008A14A3" w:rsidRPr="00BA639D" w:rsidRDefault="008A14A3" w:rsidP="006D2EED">
      <w:pPr>
        <w:pStyle w:val="Heading3"/>
        <w:rPr>
          <w:b w:val="0"/>
          <w:bCs w:val="0"/>
          <w:sz w:val="23"/>
          <w:szCs w:val="23"/>
        </w:rPr>
      </w:pPr>
      <w:r w:rsidRPr="00BA639D">
        <w:rPr>
          <w:b w:val="0"/>
          <w:bCs w:val="0"/>
          <w:sz w:val="23"/>
          <w:szCs w:val="23"/>
        </w:rPr>
        <w:t>The Authority is required:</w:t>
      </w:r>
    </w:p>
    <w:p w14:paraId="485A43E4" w14:textId="77777777" w:rsidR="008A14A3" w:rsidRPr="00BA639D" w:rsidRDefault="008A14A3" w:rsidP="006D2EED">
      <w:pPr>
        <w:pStyle w:val="Heading3"/>
        <w:rPr>
          <w:sz w:val="23"/>
          <w:szCs w:val="23"/>
        </w:rPr>
      </w:pPr>
    </w:p>
    <w:p w14:paraId="485A43E5" w14:textId="77777777" w:rsidR="008A14A3" w:rsidRPr="00BA639D" w:rsidRDefault="008A14A3" w:rsidP="00DE7EB9">
      <w:pPr>
        <w:pStyle w:val="Heading3"/>
        <w:numPr>
          <w:ilvl w:val="0"/>
          <w:numId w:val="1"/>
        </w:numPr>
        <w:tabs>
          <w:tab w:val="clear" w:pos="360"/>
        </w:tabs>
        <w:rPr>
          <w:b w:val="0"/>
          <w:bCs w:val="0"/>
          <w:sz w:val="23"/>
          <w:szCs w:val="23"/>
        </w:rPr>
      </w:pPr>
      <w:r w:rsidRPr="00BA639D">
        <w:rPr>
          <w:b w:val="0"/>
          <w:bCs w:val="0"/>
          <w:sz w:val="23"/>
          <w:szCs w:val="23"/>
        </w:rPr>
        <w:t>To make arrangements for the proper administration of its financial affairs and to secure that one of its officers has the responsibility for the administration of those affairs.</w:t>
      </w:r>
      <w:r w:rsidR="00D95903" w:rsidRPr="00BA639D">
        <w:rPr>
          <w:b w:val="0"/>
          <w:bCs w:val="0"/>
          <w:sz w:val="23"/>
          <w:szCs w:val="23"/>
        </w:rPr>
        <w:t xml:space="preserve"> </w:t>
      </w:r>
      <w:r w:rsidRPr="00BA639D">
        <w:rPr>
          <w:b w:val="0"/>
          <w:bCs w:val="0"/>
          <w:sz w:val="23"/>
          <w:szCs w:val="23"/>
        </w:rPr>
        <w:t xml:space="preserve">In this Authority that officer is the Director of </w:t>
      </w:r>
      <w:r w:rsidR="00782474" w:rsidRPr="00BA639D">
        <w:rPr>
          <w:b w:val="0"/>
          <w:bCs w:val="0"/>
          <w:sz w:val="23"/>
          <w:szCs w:val="23"/>
        </w:rPr>
        <w:t>Communications</w:t>
      </w:r>
      <w:r w:rsidR="006206A8" w:rsidRPr="00BA639D">
        <w:rPr>
          <w:b w:val="0"/>
          <w:bCs w:val="0"/>
          <w:sz w:val="23"/>
          <w:szCs w:val="23"/>
        </w:rPr>
        <w:t xml:space="preserve"> and Resources</w:t>
      </w:r>
      <w:r w:rsidR="00DF363E" w:rsidRPr="00BA639D">
        <w:rPr>
          <w:b w:val="0"/>
          <w:bCs w:val="0"/>
          <w:sz w:val="23"/>
          <w:szCs w:val="23"/>
        </w:rPr>
        <w:t>.</w:t>
      </w:r>
    </w:p>
    <w:p w14:paraId="485A43E6" w14:textId="77777777" w:rsidR="008A14A3" w:rsidRPr="00BA639D" w:rsidRDefault="008A14A3" w:rsidP="00DE7EB9">
      <w:pPr>
        <w:numPr>
          <w:ilvl w:val="0"/>
          <w:numId w:val="1"/>
        </w:numPr>
        <w:tabs>
          <w:tab w:val="clear" w:pos="360"/>
        </w:tabs>
      </w:pPr>
      <w:r w:rsidRPr="00BA639D">
        <w:t>To manage its affairs to secure economic, efficient and effective use of resources and safeguard assets.</w:t>
      </w:r>
    </w:p>
    <w:p w14:paraId="485A43E7" w14:textId="77777777" w:rsidR="008A14A3" w:rsidRDefault="008A14A3" w:rsidP="00DE7EB9">
      <w:pPr>
        <w:numPr>
          <w:ilvl w:val="0"/>
          <w:numId w:val="1"/>
        </w:numPr>
        <w:tabs>
          <w:tab w:val="clear" w:pos="360"/>
        </w:tabs>
      </w:pPr>
      <w:r w:rsidRPr="00BA639D">
        <w:t xml:space="preserve">To </w:t>
      </w:r>
      <w:r w:rsidR="0002536D" w:rsidRPr="00BA639D">
        <w:t>a</w:t>
      </w:r>
      <w:r w:rsidRPr="00BA639D">
        <w:t xml:space="preserve">pprove the </w:t>
      </w:r>
      <w:r w:rsidR="009521B4" w:rsidRPr="00BA639D">
        <w:t>S</w:t>
      </w:r>
      <w:r w:rsidRPr="00BA639D">
        <w:t xml:space="preserve">tatement of </w:t>
      </w:r>
      <w:r w:rsidR="009521B4" w:rsidRPr="00BA639D">
        <w:t>A</w:t>
      </w:r>
      <w:r w:rsidRPr="00BA639D">
        <w:t>ccounts</w:t>
      </w:r>
      <w:r w:rsidR="0002536D" w:rsidRPr="00BA639D">
        <w:tab/>
      </w:r>
      <w:r w:rsidRPr="00BA639D">
        <w:t>.</w:t>
      </w:r>
    </w:p>
    <w:p w14:paraId="398F8083" w14:textId="77777777" w:rsidR="00D3524A" w:rsidRDefault="00D3524A" w:rsidP="00D3524A"/>
    <w:p w14:paraId="34FB5264" w14:textId="77777777" w:rsidR="00D3524A" w:rsidRDefault="00D3524A" w:rsidP="00D3524A"/>
    <w:p w14:paraId="6858A8B9" w14:textId="0356A986" w:rsidR="00D3524A" w:rsidRDefault="00D3524A" w:rsidP="00D3524A">
      <w:r>
        <w:t>The Authority approves the Statement of Accounts for the period 1 April 2022 to 31 March 2023</w:t>
      </w:r>
    </w:p>
    <w:p w14:paraId="051C21F7" w14:textId="77777777" w:rsidR="00D3524A" w:rsidRDefault="00D3524A" w:rsidP="00D3524A"/>
    <w:p w14:paraId="4398E8BD" w14:textId="77777777" w:rsidR="00D3524A" w:rsidRDefault="00D3524A" w:rsidP="00D3524A"/>
    <w:p w14:paraId="2107C5CC" w14:textId="352C3A2F" w:rsidR="00D3524A" w:rsidRDefault="00D3524A" w:rsidP="00D3524A">
      <w:r>
        <w:t>Signed………………….</w:t>
      </w:r>
    </w:p>
    <w:p w14:paraId="3CF3B18B" w14:textId="77777777" w:rsidR="00D3524A" w:rsidRDefault="00D3524A" w:rsidP="00D3524A"/>
    <w:p w14:paraId="4B71B54D" w14:textId="77777777" w:rsidR="00D3524A" w:rsidRDefault="00D3524A" w:rsidP="00D3524A"/>
    <w:p w14:paraId="4AC79B10" w14:textId="0900B86A" w:rsidR="00D3524A" w:rsidRDefault="00D3524A" w:rsidP="00D3524A">
      <w:r>
        <w:t>Name…………………..</w:t>
      </w:r>
    </w:p>
    <w:p w14:paraId="1499A888" w14:textId="77777777" w:rsidR="00D3524A" w:rsidRDefault="00D3524A" w:rsidP="00D3524A"/>
    <w:p w14:paraId="565ECA2F" w14:textId="77777777" w:rsidR="00D3524A" w:rsidRDefault="00D3524A" w:rsidP="00D3524A"/>
    <w:p w14:paraId="73C33581" w14:textId="6A7A2E4E" w:rsidR="00D3524A" w:rsidRDefault="00D3524A" w:rsidP="00D3524A">
      <w:r>
        <w:t>Date…………………..</w:t>
      </w:r>
    </w:p>
    <w:p w14:paraId="6D11A440" w14:textId="77777777" w:rsidR="00D3524A" w:rsidRDefault="00D3524A" w:rsidP="00D3524A"/>
    <w:p w14:paraId="0D8EB191" w14:textId="7EF21FAA" w:rsidR="00D3524A" w:rsidRPr="00D3524A" w:rsidRDefault="00D3524A" w:rsidP="00D3524A">
      <w:pPr>
        <w:rPr>
          <w:b/>
          <w:bCs/>
        </w:rPr>
      </w:pPr>
      <w:r w:rsidRPr="00D3524A">
        <w:rPr>
          <w:b/>
          <w:bCs/>
        </w:rPr>
        <w:t>Chair of Governance Committee</w:t>
      </w:r>
    </w:p>
    <w:p w14:paraId="485A43E8" w14:textId="77777777" w:rsidR="008A14A3" w:rsidRDefault="008A14A3" w:rsidP="006D2EED">
      <w:pPr>
        <w:rPr>
          <w:highlight w:val="yellow"/>
        </w:rPr>
      </w:pPr>
    </w:p>
    <w:p w14:paraId="594FE013" w14:textId="77777777" w:rsidR="00D3524A" w:rsidRDefault="00D3524A" w:rsidP="006D2EED">
      <w:pPr>
        <w:rPr>
          <w:highlight w:val="yellow"/>
        </w:rPr>
      </w:pPr>
    </w:p>
    <w:p w14:paraId="7BD8BAC5" w14:textId="7654FE3C" w:rsidR="00D3524A" w:rsidRPr="00D3524A" w:rsidRDefault="00D3524A" w:rsidP="006D2EED">
      <w:pPr>
        <w:rPr>
          <w:b/>
          <w:bCs/>
          <w:sz w:val="28"/>
          <w:szCs w:val="28"/>
        </w:rPr>
      </w:pPr>
      <w:r w:rsidRPr="00D3524A">
        <w:rPr>
          <w:b/>
          <w:bCs/>
          <w:sz w:val="28"/>
          <w:szCs w:val="28"/>
        </w:rPr>
        <w:t>TO BE SIGNED ON COMPLETION OF AUDIT</w:t>
      </w:r>
    </w:p>
    <w:p w14:paraId="485A43E9" w14:textId="61A2546A" w:rsidR="008A14A3" w:rsidRPr="004D5CA8" w:rsidRDefault="008A14A3" w:rsidP="00D34473">
      <w:pPr>
        <w:jc w:val="center"/>
        <w:rPr>
          <w:highlight w:val="yellow"/>
        </w:rPr>
      </w:pPr>
    </w:p>
    <w:p w14:paraId="485A43EA" w14:textId="09F928CB" w:rsidR="008A14A3" w:rsidRPr="004D5CA8" w:rsidRDefault="008A14A3" w:rsidP="00D34473">
      <w:pPr>
        <w:jc w:val="center"/>
        <w:rPr>
          <w:highlight w:val="yellow"/>
        </w:rPr>
      </w:pPr>
    </w:p>
    <w:p w14:paraId="485A43EB" w14:textId="3857E4C5" w:rsidR="008A14A3" w:rsidRPr="004D5CA8" w:rsidRDefault="008A14A3" w:rsidP="004562A9">
      <w:pPr>
        <w:rPr>
          <w:highlight w:val="yellow"/>
        </w:rPr>
      </w:pPr>
    </w:p>
    <w:p w14:paraId="485A43EC" w14:textId="77777777" w:rsidR="008A14A3" w:rsidRDefault="008A14A3" w:rsidP="00D34473">
      <w:pPr>
        <w:jc w:val="center"/>
        <w:rPr>
          <w:highlight w:val="yellow"/>
        </w:rPr>
      </w:pPr>
    </w:p>
    <w:p w14:paraId="21532E3C" w14:textId="77777777" w:rsidR="00D3524A" w:rsidRPr="004D5CA8" w:rsidRDefault="00D3524A" w:rsidP="00D34473">
      <w:pPr>
        <w:jc w:val="center"/>
        <w:rPr>
          <w:highlight w:val="yellow"/>
        </w:rPr>
      </w:pPr>
    </w:p>
    <w:p w14:paraId="485A43ED" w14:textId="77777777" w:rsidR="008A14A3" w:rsidRPr="004D5CA8" w:rsidRDefault="008A14A3" w:rsidP="00D34473">
      <w:pPr>
        <w:jc w:val="center"/>
        <w:rPr>
          <w:highlight w:val="yellow"/>
        </w:rPr>
      </w:pPr>
    </w:p>
    <w:p w14:paraId="485A43EE" w14:textId="77777777" w:rsidR="008A14A3" w:rsidRPr="004D5CA8" w:rsidRDefault="008A14A3" w:rsidP="00D34473">
      <w:pPr>
        <w:jc w:val="center"/>
        <w:rPr>
          <w:highlight w:val="yellow"/>
        </w:rPr>
      </w:pPr>
    </w:p>
    <w:p w14:paraId="485A43EF" w14:textId="77777777" w:rsidR="008A14A3" w:rsidRPr="004D5CA8" w:rsidRDefault="008A14A3" w:rsidP="00D34473">
      <w:pPr>
        <w:jc w:val="center"/>
        <w:rPr>
          <w:highlight w:val="yellow"/>
        </w:rPr>
      </w:pPr>
    </w:p>
    <w:p w14:paraId="485A43F0" w14:textId="77777777" w:rsidR="008A14A3" w:rsidRPr="004D5CA8" w:rsidRDefault="008A14A3" w:rsidP="00D34473">
      <w:pPr>
        <w:jc w:val="center"/>
        <w:rPr>
          <w:highlight w:val="yellow"/>
        </w:rPr>
      </w:pPr>
    </w:p>
    <w:p w14:paraId="485A43F1" w14:textId="77777777" w:rsidR="008A14A3" w:rsidRPr="004D5CA8" w:rsidRDefault="008A14A3" w:rsidP="00D34473">
      <w:pPr>
        <w:jc w:val="center"/>
        <w:rPr>
          <w:highlight w:val="yellow"/>
        </w:rPr>
      </w:pPr>
    </w:p>
    <w:p w14:paraId="485A43F2" w14:textId="77777777" w:rsidR="008A14A3" w:rsidRPr="004D5CA8" w:rsidRDefault="008A14A3" w:rsidP="00D34473">
      <w:pPr>
        <w:jc w:val="center"/>
        <w:rPr>
          <w:highlight w:val="yellow"/>
        </w:rPr>
      </w:pPr>
    </w:p>
    <w:p w14:paraId="485A43F3" w14:textId="77777777" w:rsidR="008A14A3" w:rsidRPr="004D5CA8" w:rsidRDefault="008A14A3" w:rsidP="00D34473">
      <w:pPr>
        <w:jc w:val="center"/>
        <w:rPr>
          <w:highlight w:val="yellow"/>
        </w:rPr>
      </w:pPr>
    </w:p>
    <w:p w14:paraId="485A43F4" w14:textId="71802FA1" w:rsidR="008A14A3" w:rsidRPr="004D5CA8" w:rsidRDefault="008A14A3" w:rsidP="00D34473">
      <w:pPr>
        <w:jc w:val="center"/>
        <w:rPr>
          <w:highlight w:val="yellow"/>
        </w:rPr>
      </w:pPr>
    </w:p>
    <w:p w14:paraId="485A43F5" w14:textId="77777777" w:rsidR="008A14A3" w:rsidRPr="004D5CA8" w:rsidRDefault="008A14A3" w:rsidP="00D34473">
      <w:pPr>
        <w:jc w:val="center"/>
        <w:rPr>
          <w:highlight w:val="yellow"/>
        </w:rPr>
      </w:pPr>
    </w:p>
    <w:p w14:paraId="485A43F6" w14:textId="77777777" w:rsidR="008A14A3" w:rsidRPr="004D5CA8" w:rsidRDefault="008A14A3" w:rsidP="00D34473">
      <w:pPr>
        <w:jc w:val="center"/>
        <w:rPr>
          <w:highlight w:val="yellow"/>
        </w:rPr>
      </w:pPr>
    </w:p>
    <w:p w14:paraId="485A43F7" w14:textId="77777777" w:rsidR="002023CB" w:rsidRPr="004D5CA8" w:rsidRDefault="002023CB" w:rsidP="00D34473">
      <w:pPr>
        <w:jc w:val="center"/>
        <w:rPr>
          <w:highlight w:val="yellow"/>
        </w:rPr>
      </w:pPr>
    </w:p>
    <w:p w14:paraId="485A43F8" w14:textId="77777777" w:rsidR="002023CB" w:rsidRPr="004D5CA8" w:rsidRDefault="002023CB" w:rsidP="00D34473">
      <w:pPr>
        <w:jc w:val="center"/>
        <w:rPr>
          <w:highlight w:val="yellow"/>
        </w:rPr>
      </w:pPr>
    </w:p>
    <w:p w14:paraId="485A43F9" w14:textId="77777777" w:rsidR="002023CB" w:rsidRPr="004D5CA8" w:rsidRDefault="002023CB" w:rsidP="00D34473">
      <w:pPr>
        <w:jc w:val="center"/>
        <w:rPr>
          <w:highlight w:val="yellow"/>
        </w:rPr>
      </w:pPr>
    </w:p>
    <w:p w14:paraId="485A43FA" w14:textId="63334961" w:rsidR="002023CB" w:rsidRPr="004D5CA8" w:rsidRDefault="002023CB" w:rsidP="00D34473">
      <w:pPr>
        <w:jc w:val="center"/>
        <w:rPr>
          <w:highlight w:val="yellow"/>
        </w:rPr>
      </w:pPr>
    </w:p>
    <w:p w14:paraId="485A43FB" w14:textId="77777777" w:rsidR="002023CB" w:rsidRPr="004D5CA8" w:rsidRDefault="002023CB" w:rsidP="00D34473">
      <w:pPr>
        <w:jc w:val="center"/>
        <w:rPr>
          <w:highlight w:val="yellow"/>
        </w:rPr>
      </w:pPr>
    </w:p>
    <w:p w14:paraId="485A43FC" w14:textId="77777777" w:rsidR="002023CB" w:rsidRPr="004D5CA8" w:rsidRDefault="002023CB" w:rsidP="00D34473">
      <w:pPr>
        <w:jc w:val="center"/>
        <w:rPr>
          <w:highlight w:val="yellow"/>
        </w:rPr>
      </w:pPr>
    </w:p>
    <w:p w14:paraId="485A43FD" w14:textId="77777777" w:rsidR="002023CB" w:rsidRPr="004D5CA8" w:rsidRDefault="002023CB" w:rsidP="00D34473">
      <w:pPr>
        <w:jc w:val="center"/>
        <w:rPr>
          <w:highlight w:val="yellow"/>
        </w:rPr>
      </w:pPr>
    </w:p>
    <w:p w14:paraId="485A43FE" w14:textId="77777777" w:rsidR="002023CB" w:rsidRPr="004D5CA8" w:rsidRDefault="002023CB" w:rsidP="00D34473">
      <w:pPr>
        <w:jc w:val="center"/>
        <w:rPr>
          <w:highlight w:val="yellow"/>
        </w:rPr>
      </w:pPr>
    </w:p>
    <w:p w14:paraId="485A43FF" w14:textId="77777777" w:rsidR="002023CB" w:rsidRPr="004D5CA8" w:rsidRDefault="002023CB" w:rsidP="00D34473">
      <w:pPr>
        <w:jc w:val="center"/>
        <w:rPr>
          <w:highlight w:val="yellow"/>
        </w:rPr>
      </w:pPr>
    </w:p>
    <w:p w14:paraId="485A4400" w14:textId="77777777" w:rsidR="002023CB" w:rsidRPr="004D5CA8" w:rsidRDefault="002023CB" w:rsidP="00D34473">
      <w:pPr>
        <w:jc w:val="center"/>
        <w:rPr>
          <w:highlight w:val="yellow"/>
        </w:rPr>
      </w:pPr>
    </w:p>
    <w:p w14:paraId="485A4401" w14:textId="77777777" w:rsidR="002023CB" w:rsidRPr="004D5CA8" w:rsidRDefault="002023CB" w:rsidP="00D34473">
      <w:pPr>
        <w:jc w:val="center"/>
        <w:rPr>
          <w:highlight w:val="yellow"/>
        </w:rPr>
      </w:pPr>
    </w:p>
    <w:p w14:paraId="485A4414" w14:textId="62BADF85" w:rsidR="008A14A3" w:rsidRPr="00BA639D" w:rsidRDefault="008A14A3" w:rsidP="007D56CC">
      <w:pPr>
        <w:pStyle w:val="Heading3"/>
        <w:rPr>
          <w:szCs w:val="24"/>
        </w:rPr>
      </w:pPr>
      <w:r w:rsidRPr="00BA639D">
        <w:rPr>
          <w:szCs w:val="24"/>
        </w:rPr>
        <w:t xml:space="preserve">The </w:t>
      </w:r>
      <w:r w:rsidR="00C54E21" w:rsidRPr="00BA639D">
        <w:rPr>
          <w:szCs w:val="24"/>
        </w:rPr>
        <w:t>S151 Officer’s</w:t>
      </w:r>
      <w:r w:rsidRPr="00BA639D">
        <w:rPr>
          <w:szCs w:val="24"/>
        </w:rPr>
        <w:t xml:space="preserve"> Responsibilities</w:t>
      </w:r>
    </w:p>
    <w:p w14:paraId="485A4415" w14:textId="77777777" w:rsidR="008A14A3" w:rsidRPr="00BA639D" w:rsidRDefault="008A14A3" w:rsidP="006D2EED"/>
    <w:p w14:paraId="485A4416" w14:textId="3A0839F7" w:rsidR="008A14A3" w:rsidRPr="00BA639D" w:rsidRDefault="008A14A3" w:rsidP="006D2EED">
      <w:r w:rsidRPr="00BA639D">
        <w:t xml:space="preserve">The </w:t>
      </w:r>
      <w:r w:rsidR="00C54E21" w:rsidRPr="00BA639D">
        <w:t>S151 Officer</w:t>
      </w:r>
      <w:r w:rsidRPr="00BA639D">
        <w:t xml:space="preserve"> is responsible for the preparation of the Authority’s Statement of Accounts</w:t>
      </w:r>
      <w:r w:rsidR="009521B4" w:rsidRPr="00BA639D">
        <w:t xml:space="preserve"> in accordance with proper practices as set out in the CIPFA/LASAAC Code of Practice on Local Authority Accounting in the United Kingdom</w:t>
      </w:r>
      <w:r w:rsidR="00F50920" w:rsidRPr="00BA639D">
        <w:t xml:space="preserve"> 20</w:t>
      </w:r>
      <w:r w:rsidR="00A66674" w:rsidRPr="00BA639D">
        <w:t>2</w:t>
      </w:r>
      <w:r w:rsidR="00BA639D">
        <w:t>2</w:t>
      </w:r>
      <w:r w:rsidR="007A215B" w:rsidRPr="00BA639D">
        <w:t>/</w:t>
      </w:r>
      <w:r w:rsidR="00DB5A6F" w:rsidRPr="00BA639D">
        <w:t>2</w:t>
      </w:r>
      <w:r w:rsidR="00BA639D">
        <w:t>3</w:t>
      </w:r>
      <w:r w:rsidR="007D1AA1" w:rsidRPr="00BA639D">
        <w:t xml:space="preserve"> (the Code)</w:t>
      </w:r>
      <w:r w:rsidRPr="00BA639D">
        <w:t>.</w:t>
      </w:r>
      <w:r w:rsidR="00D95903" w:rsidRPr="00BA639D">
        <w:t xml:space="preserve"> </w:t>
      </w:r>
      <w:r w:rsidRPr="00BA639D">
        <w:t xml:space="preserve">In preparing this Statement of Accounts, the </w:t>
      </w:r>
      <w:r w:rsidR="00C54E21" w:rsidRPr="00BA639D">
        <w:t>S151 Officer</w:t>
      </w:r>
      <w:r w:rsidRPr="00BA639D">
        <w:t xml:space="preserve"> has:</w:t>
      </w:r>
    </w:p>
    <w:p w14:paraId="485A4417" w14:textId="77777777" w:rsidR="00022585" w:rsidRPr="00BA639D" w:rsidRDefault="00022585" w:rsidP="006D2EED"/>
    <w:p w14:paraId="485A4418" w14:textId="77777777" w:rsidR="008A14A3" w:rsidRPr="00BA639D" w:rsidRDefault="008A14A3" w:rsidP="006D2EED">
      <w:pPr>
        <w:numPr>
          <w:ilvl w:val="0"/>
          <w:numId w:val="2"/>
        </w:numPr>
      </w:pPr>
      <w:r w:rsidRPr="00BA639D">
        <w:t>Selected suitable accounting policies and then applied them consistently</w:t>
      </w:r>
      <w:r w:rsidR="00642588" w:rsidRPr="00BA639D">
        <w:t>.</w:t>
      </w:r>
    </w:p>
    <w:p w14:paraId="485A4419" w14:textId="77777777" w:rsidR="008A14A3" w:rsidRPr="00BA639D" w:rsidRDefault="008A14A3" w:rsidP="006D2EED">
      <w:pPr>
        <w:numPr>
          <w:ilvl w:val="0"/>
          <w:numId w:val="2"/>
        </w:numPr>
      </w:pPr>
      <w:r w:rsidRPr="00BA639D">
        <w:t>Made judgements and estimates that were reasonable and prudent</w:t>
      </w:r>
      <w:r w:rsidR="00642588" w:rsidRPr="00BA639D">
        <w:t>.</w:t>
      </w:r>
    </w:p>
    <w:p w14:paraId="485A441A" w14:textId="77777777" w:rsidR="008A14A3" w:rsidRPr="00BA639D" w:rsidRDefault="008A14A3" w:rsidP="006D2EED">
      <w:pPr>
        <w:numPr>
          <w:ilvl w:val="0"/>
          <w:numId w:val="2"/>
        </w:numPr>
      </w:pPr>
      <w:r w:rsidRPr="00BA639D">
        <w:t xml:space="preserve">Complied with the </w:t>
      </w:r>
      <w:r w:rsidR="007E25E5" w:rsidRPr="00BA639D">
        <w:t xml:space="preserve">requirements of the </w:t>
      </w:r>
      <w:r w:rsidR="009521B4" w:rsidRPr="00BA639D">
        <w:t xml:space="preserve">local authority </w:t>
      </w:r>
      <w:r w:rsidRPr="00BA639D">
        <w:t>Code of Practice</w:t>
      </w:r>
      <w:r w:rsidR="00642588" w:rsidRPr="00BA639D">
        <w:t>.</w:t>
      </w:r>
    </w:p>
    <w:p w14:paraId="485A441B" w14:textId="77777777" w:rsidR="008A14A3" w:rsidRPr="00BA639D" w:rsidRDefault="00022585" w:rsidP="006D2EED">
      <w:pPr>
        <w:numPr>
          <w:ilvl w:val="0"/>
          <w:numId w:val="2"/>
        </w:numPr>
      </w:pPr>
      <w:r w:rsidRPr="00BA639D">
        <w:t>Kept financial records and accounts</w:t>
      </w:r>
      <w:r w:rsidR="008A14A3" w:rsidRPr="00BA639D">
        <w:t xml:space="preserve"> which were up to date</w:t>
      </w:r>
      <w:r w:rsidR="00642588" w:rsidRPr="00BA639D">
        <w:t>.</w:t>
      </w:r>
    </w:p>
    <w:p w14:paraId="2E10EED5" w14:textId="77777777" w:rsidR="00F831D4" w:rsidRPr="00BA639D" w:rsidRDefault="008A14A3" w:rsidP="000A7028">
      <w:pPr>
        <w:numPr>
          <w:ilvl w:val="0"/>
          <w:numId w:val="2"/>
        </w:numPr>
      </w:pPr>
      <w:r w:rsidRPr="00BA639D">
        <w:t>Taken reasonable steps for the prevention and detection of fr</w:t>
      </w:r>
      <w:r w:rsidR="00022585" w:rsidRPr="00BA639D">
        <w:t>aud and other irregularities</w:t>
      </w:r>
      <w:r w:rsidR="00642588" w:rsidRPr="00BA639D">
        <w:t>.</w:t>
      </w:r>
    </w:p>
    <w:p w14:paraId="58E5EF90" w14:textId="77777777" w:rsidR="00F831D4" w:rsidRPr="00BA639D" w:rsidRDefault="00F831D4" w:rsidP="00F831D4">
      <w:pPr>
        <w:ind w:left="340"/>
      </w:pPr>
    </w:p>
    <w:p w14:paraId="485A441C" w14:textId="5145E312" w:rsidR="008A14A3" w:rsidRPr="00BA639D" w:rsidRDefault="008A14A3" w:rsidP="00F831D4">
      <w:r w:rsidRPr="00BA639D">
        <w:t>These</w:t>
      </w:r>
      <w:r w:rsidR="005253C3" w:rsidRPr="00BA639D">
        <w:t xml:space="preserve"> </w:t>
      </w:r>
      <w:r w:rsidRPr="00BA639D">
        <w:t xml:space="preserve">accounts were authorised for issue </w:t>
      </w:r>
      <w:r w:rsidR="000A7028" w:rsidRPr="00BA639D">
        <w:t xml:space="preserve">on the </w:t>
      </w:r>
      <w:r w:rsidR="00BA639D">
        <w:t>31 May</w:t>
      </w:r>
      <w:r w:rsidR="000A7028" w:rsidRPr="00BA639D">
        <w:t xml:space="preserve"> </w:t>
      </w:r>
      <w:r w:rsidR="00F831D4" w:rsidRPr="00BA639D">
        <w:t>202</w:t>
      </w:r>
      <w:r w:rsidR="00BA639D">
        <w:t>3</w:t>
      </w:r>
      <w:r w:rsidR="00F831D4" w:rsidRPr="00BA639D">
        <w:t xml:space="preserve"> </w:t>
      </w:r>
      <w:r w:rsidR="000A7028" w:rsidRPr="00BA639D">
        <w:t xml:space="preserve">which </w:t>
      </w:r>
      <w:r w:rsidRPr="00BA639D">
        <w:t>is the date up to which events after the balance sheet date have been considered.</w:t>
      </w:r>
    </w:p>
    <w:p w14:paraId="485A441D" w14:textId="77777777" w:rsidR="008A14A3" w:rsidRPr="004D5CA8" w:rsidRDefault="008A14A3" w:rsidP="00D34473">
      <w:pPr>
        <w:jc w:val="center"/>
        <w:rPr>
          <w:highlight w:val="yellow"/>
        </w:rPr>
      </w:pPr>
    </w:p>
    <w:p w14:paraId="485A441E" w14:textId="62B72F9E" w:rsidR="008A14A3" w:rsidRPr="004D5CA8" w:rsidRDefault="008A18DE" w:rsidP="00D34473">
      <w:pPr>
        <w:jc w:val="center"/>
        <w:rPr>
          <w:highlight w:val="yellow"/>
        </w:rPr>
      </w:pPr>
      <w:r w:rsidRPr="004D5CA8">
        <w:rPr>
          <w:noProof/>
          <w:sz w:val="20"/>
          <w:highlight w:val="yellow"/>
          <w:lang w:eastAsia="en-GB"/>
        </w:rPr>
        <mc:AlternateContent>
          <mc:Choice Requires="wps">
            <w:drawing>
              <wp:anchor distT="0" distB="0" distL="114300" distR="114300" simplePos="0" relativeHeight="251654656" behindDoc="0" locked="0" layoutInCell="1" allowOverlap="1" wp14:anchorId="485A4A0B" wp14:editId="371D76D4">
                <wp:simplePos x="0" y="0"/>
                <wp:positionH relativeFrom="margin">
                  <wp:align>left</wp:align>
                </wp:positionH>
                <wp:positionV relativeFrom="paragraph">
                  <wp:posOffset>167005</wp:posOffset>
                </wp:positionV>
                <wp:extent cx="6153150" cy="3771900"/>
                <wp:effectExtent l="0" t="0" r="19050"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771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7FBEF" id="Rectangle 5" o:spid="_x0000_s1026" style="position:absolute;margin-left:0;margin-top:13.15pt;width:484.5pt;height:297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">
                <w10:wrap anchorx="margin"/>
              </v:rect>
            </w:pict>
          </mc:Fallback>
        </mc:AlternateContent>
      </w:r>
    </w:p>
    <w:p w14:paraId="485A441F" w14:textId="6A553AA1" w:rsidR="008A14A3" w:rsidRPr="004D5CA8" w:rsidRDefault="003E1190" w:rsidP="00D34473">
      <w:pPr>
        <w:jc w:val="center"/>
        <w:rPr>
          <w:highlight w:val="yellow"/>
        </w:rPr>
      </w:pPr>
      <w:r w:rsidRPr="004D5CA8">
        <w:rPr>
          <w:noProof/>
          <w:sz w:val="20"/>
          <w:highlight w:val="yellow"/>
          <w:lang w:eastAsia="en-GB"/>
        </w:rPr>
        <mc:AlternateContent>
          <mc:Choice Requires="wps">
            <w:drawing>
              <wp:anchor distT="0" distB="0" distL="114300" distR="114300" simplePos="0" relativeHeight="251655680" behindDoc="0" locked="0" layoutInCell="1" allowOverlap="1" wp14:anchorId="485A4A09" wp14:editId="38642A53">
                <wp:simplePos x="0" y="0"/>
                <wp:positionH relativeFrom="column">
                  <wp:posOffset>114300</wp:posOffset>
                </wp:positionH>
                <wp:positionV relativeFrom="paragraph">
                  <wp:posOffset>84454</wp:posOffset>
                </wp:positionV>
                <wp:extent cx="5797550" cy="359092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359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A4A6D" w14:textId="382B04FD" w:rsidR="004817B7" w:rsidRDefault="004817B7">
                            <w:r>
                              <w:t xml:space="preserve">The </w:t>
                            </w:r>
                            <w:r w:rsidRPr="00114A42">
                              <w:t xml:space="preserve">Accounts </w:t>
                            </w:r>
                            <w:r>
                              <w:t xml:space="preserve">have been prepared in accordance with the requirements of the </w:t>
                            </w:r>
                            <w:r w:rsidR="007D1AA1">
                              <w:t>C</w:t>
                            </w:r>
                            <w:r>
                              <w:t>ode and give</w:t>
                            </w:r>
                            <w:r w:rsidRPr="00114A42">
                              <w:t xml:space="preserve"> a true and fair view of</w:t>
                            </w:r>
                            <w:r>
                              <w:t xml:space="preserve"> the financial position of the Authority as at 31 March 202</w:t>
                            </w:r>
                            <w:r w:rsidR="00D3524A">
                              <w:t>3</w:t>
                            </w:r>
                            <w:r>
                              <w:t xml:space="preserve"> and its income and expenditure for the year then ended.</w:t>
                            </w:r>
                          </w:p>
                          <w:p w14:paraId="485A4A6E" w14:textId="77777777" w:rsidR="004817B7" w:rsidRDefault="004817B7"/>
                          <w:p w14:paraId="485A4A6F" w14:textId="116B24B0" w:rsidR="004817B7" w:rsidRDefault="004817B7"/>
                          <w:p w14:paraId="485A4A70" w14:textId="77777777" w:rsidR="004817B7" w:rsidRDefault="004817B7"/>
                          <w:p w14:paraId="485A4A72" w14:textId="2C2E5553" w:rsidR="004817B7" w:rsidRDefault="000A7028">
                            <w:r>
                              <w:t>Name…</w:t>
                            </w:r>
                            <w:r w:rsidR="003662C5">
                              <w:t>Jane Fretwell</w:t>
                            </w:r>
                          </w:p>
                          <w:p w14:paraId="5208B14E" w14:textId="3286EEC7" w:rsidR="000A7028" w:rsidRDefault="000A7028"/>
                          <w:p w14:paraId="7D832247" w14:textId="1642B3F0" w:rsidR="000A7028" w:rsidRDefault="004D7221">
                            <w:r>
                              <w:rPr>
                                <w:b/>
                                <w:bCs/>
                                <w:i/>
                                <w:iCs/>
                                <w:noProof/>
                              </w:rPr>
                              <w:drawing>
                                <wp:inline distT="0" distB="0" distL="0" distR="0" wp14:anchorId="17FDB1F7" wp14:editId="7AA117E9">
                                  <wp:extent cx="2139950" cy="1155700"/>
                                  <wp:effectExtent l="0" t="0" r="0" b="6350"/>
                                  <wp:docPr id="148378600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786001" name="Picture 1" descr="A close-up of a signatur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139950" cy="1155700"/>
                                          </a:xfrm>
                                          <a:prstGeom prst="rect">
                                            <a:avLst/>
                                          </a:prstGeom>
                                        </pic:spPr>
                                      </pic:pic>
                                    </a:graphicData>
                                  </a:graphic>
                                </wp:inline>
                              </w:drawing>
                            </w:r>
                          </w:p>
                          <w:p w14:paraId="2FE8475A" w14:textId="4D8019DE" w:rsidR="000A7028" w:rsidRDefault="000A7028"/>
                          <w:p w14:paraId="4590FC65" w14:textId="4CDAF0BF" w:rsidR="000A7028" w:rsidRDefault="000A7028"/>
                          <w:p w14:paraId="0652A868" w14:textId="0E234023" w:rsidR="000A7028" w:rsidRDefault="003662C5">
                            <w:r>
                              <w:t>Date……31/5/2023</w:t>
                            </w:r>
                          </w:p>
                          <w:p w14:paraId="48D7B81A" w14:textId="77777777" w:rsidR="000A7028" w:rsidRDefault="000A7028"/>
                          <w:p w14:paraId="3F343DFB" w14:textId="53CF3D36" w:rsidR="000A7028" w:rsidRDefault="000A7028">
                            <w:r>
                              <w:t>Position…</w:t>
                            </w:r>
                            <w:r w:rsidR="003662C5">
                              <w:t>Head of Resources (S151 Of</w:t>
                            </w:r>
                            <w:r w:rsidR="0082644A">
                              <w:t>fi</w:t>
                            </w:r>
                            <w:r w:rsidR="003662C5">
                              <w:t>cer)</w:t>
                            </w:r>
                          </w:p>
                          <w:p w14:paraId="74950A4A" w14:textId="77777777" w:rsidR="003662C5" w:rsidRDefault="003662C5"/>
                          <w:p w14:paraId="0D81B417" w14:textId="77777777" w:rsidR="003662C5" w:rsidRDefault="003662C5"/>
                          <w:p w14:paraId="258256C0" w14:textId="77777777" w:rsidR="000A7028" w:rsidRDefault="000A7028"/>
                          <w:p w14:paraId="1735D1C3" w14:textId="77777777" w:rsidR="007D1AA1" w:rsidRDefault="007D1AA1"/>
                          <w:p w14:paraId="7388DF7F" w14:textId="6BB33A4D" w:rsidR="008A18DE" w:rsidRDefault="008A18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A4A09" id="_x0000_t202" coordsize="21600,21600" o:spt="202" path="m,l,21600r21600,l21600,xe">
                <v:stroke joinstyle="miter"/>
                <v:path gradientshapeok="t" o:connecttype="rect"/>
              </v:shapetype>
              <v:shape id="Text Box 6" o:spid="_x0000_s1026" type="#_x0000_t202" style="position:absolute;left:0;text-align:left;margin-left:9pt;margin-top:6.65pt;width:456.5pt;height:28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" stroked="f">
                <v:textbox>
                  <w:txbxContent>
                    <w:p w14:paraId="485A4A6D" w14:textId="382B04FD" w:rsidR="004817B7" w:rsidRDefault="004817B7">
                      <w:r>
                        <w:t xml:space="preserve">The </w:t>
                      </w:r>
                      <w:r w:rsidRPr="00114A42">
                        <w:t xml:space="preserve">Accounts </w:t>
                      </w:r>
                      <w:r>
                        <w:t xml:space="preserve">have been prepared in accordance with the requirements of the </w:t>
                      </w:r>
                      <w:r w:rsidR="007D1AA1">
                        <w:t>C</w:t>
                      </w:r>
                      <w:r>
                        <w:t>ode and give</w:t>
                      </w:r>
                      <w:r w:rsidRPr="00114A42">
                        <w:t xml:space="preserve"> a true and fair view of</w:t>
                      </w:r>
                      <w:r>
                        <w:t xml:space="preserve"> the financial position of the Authority as at 31 March 202</w:t>
                      </w:r>
                      <w:r w:rsidR="00D3524A">
                        <w:t>3</w:t>
                      </w:r>
                      <w:r>
                        <w:t xml:space="preserve"> and its income and expenditure for the year then ended.</w:t>
                      </w:r>
                    </w:p>
                    <w:p w14:paraId="485A4A6E" w14:textId="77777777" w:rsidR="004817B7" w:rsidRDefault="004817B7"/>
                    <w:p w14:paraId="485A4A6F" w14:textId="116B24B0" w:rsidR="004817B7" w:rsidRDefault="004817B7"/>
                    <w:p w14:paraId="485A4A70" w14:textId="77777777" w:rsidR="004817B7" w:rsidRDefault="004817B7"/>
                    <w:p w14:paraId="485A4A72" w14:textId="2C2E5553" w:rsidR="004817B7" w:rsidRDefault="000A7028">
                      <w:r>
                        <w:t>Name…</w:t>
                      </w:r>
                      <w:r w:rsidR="003662C5">
                        <w:t>Jane Fretwell</w:t>
                      </w:r>
                    </w:p>
                    <w:p w14:paraId="5208B14E" w14:textId="3286EEC7" w:rsidR="000A7028" w:rsidRDefault="000A7028"/>
                    <w:p w14:paraId="7D832247" w14:textId="1642B3F0" w:rsidR="000A7028" w:rsidRDefault="004D7221">
                      <w:r>
                        <w:rPr>
                          <w:b/>
                          <w:bCs/>
                          <w:i/>
                          <w:iCs/>
                          <w:noProof/>
                        </w:rPr>
                        <w:drawing>
                          <wp:inline distT="0" distB="0" distL="0" distR="0" wp14:anchorId="17FDB1F7" wp14:editId="7AA117E9">
                            <wp:extent cx="2139950" cy="1155700"/>
                            <wp:effectExtent l="0" t="0" r="0" b="6350"/>
                            <wp:docPr id="148378600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786001" name="Picture 1" descr="A close-up of a signatur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139950" cy="1155700"/>
                                    </a:xfrm>
                                    <a:prstGeom prst="rect">
                                      <a:avLst/>
                                    </a:prstGeom>
                                  </pic:spPr>
                                </pic:pic>
                              </a:graphicData>
                            </a:graphic>
                          </wp:inline>
                        </w:drawing>
                      </w:r>
                    </w:p>
                    <w:p w14:paraId="2FE8475A" w14:textId="4D8019DE" w:rsidR="000A7028" w:rsidRDefault="000A7028"/>
                    <w:p w14:paraId="4590FC65" w14:textId="4CDAF0BF" w:rsidR="000A7028" w:rsidRDefault="000A7028"/>
                    <w:p w14:paraId="0652A868" w14:textId="0E234023" w:rsidR="000A7028" w:rsidRDefault="003662C5">
                      <w:r>
                        <w:t>Date……31/5/2023</w:t>
                      </w:r>
                    </w:p>
                    <w:p w14:paraId="48D7B81A" w14:textId="77777777" w:rsidR="000A7028" w:rsidRDefault="000A7028"/>
                    <w:p w14:paraId="3F343DFB" w14:textId="53CF3D36" w:rsidR="000A7028" w:rsidRDefault="000A7028">
                      <w:r>
                        <w:t>Position…</w:t>
                      </w:r>
                      <w:r w:rsidR="003662C5">
                        <w:t>Head of Resources (S151 Of</w:t>
                      </w:r>
                      <w:r w:rsidR="0082644A">
                        <w:t>fi</w:t>
                      </w:r>
                      <w:r w:rsidR="003662C5">
                        <w:t>cer)</w:t>
                      </w:r>
                    </w:p>
                    <w:p w14:paraId="74950A4A" w14:textId="77777777" w:rsidR="003662C5" w:rsidRDefault="003662C5"/>
                    <w:p w14:paraId="0D81B417" w14:textId="77777777" w:rsidR="003662C5" w:rsidRDefault="003662C5"/>
                    <w:p w14:paraId="258256C0" w14:textId="77777777" w:rsidR="000A7028" w:rsidRDefault="000A7028"/>
                    <w:p w14:paraId="1735D1C3" w14:textId="77777777" w:rsidR="007D1AA1" w:rsidRDefault="007D1AA1"/>
                    <w:p w14:paraId="7388DF7F" w14:textId="6BB33A4D" w:rsidR="008A18DE" w:rsidRDefault="008A18DE"/>
                  </w:txbxContent>
                </v:textbox>
              </v:shape>
            </w:pict>
          </mc:Fallback>
        </mc:AlternateContent>
      </w:r>
    </w:p>
    <w:p w14:paraId="485A4420" w14:textId="77777777" w:rsidR="008A14A3" w:rsidRPr="004D5CA8" w:rsidRDefault="008A14A3" w:rsidP="00D34473">
      <w:pPr>
        <w:jc w:val="center"/>
        <w:rPr>
          <w:highlight w:val="yellow"/>
        </w:rPr>
      </w:pPr>
    </w:p>
    <w:p w14:paraId="485A4421" w14:textId="77777777" w:rsidR="008A14A3" w:rsidRPr="004D5CA8" w:rsidRDefault="008A14A3" w:rsidP="00D34473">
      <w:pPr>
        <w:jc w:val="center"/>
        <w:rPr>
          <w:highlight w:val="yellow"/>
        </w:rPr>
      </w:pPr>
    </w:p>
    <w:p w14:paraId="485A4422" w14:textId="77777777" w:rsidR="008A14A3" w:rsidRPr="004D5CA8" w:rsidRDefault="008A14A3" w:rsidP="00D34473">
      <w:pPr>
        <w:jc w:val="center"/>
        <w:rPr>
          <w:highlight w:val="yellow"/>
        </w:rPr>
      </w:pPr>
    </w:p>
    <w:p w14:paraId="485A4423" w14:textId="77777777" w:rsidR="008A14A3" w:rsidRPr="004D5CA8" w:rsidRDefault="008A14A3" w:rsidP="00D34473">
      <w:pPr>
        <w:jc w:val="center"/>
        <w:rPr>
          <w:highlight w:val="yellow"/>
        </w:rPr>
      </w:pPr>
    </w:p>
    <w:p w14:paraId="485A4424" w14:textId="77777777" w:rsidR="008A14A3" w:rsidRPr="004D5CA8" w:rsidRDefault="008A14A3" w:rsidP="00D34473">
      <w:pPr>
        <w:jc w:val="center"/>
        <w:rPr>
          <w:highlight w:val="yellow"/>
        </w:rPr>
      </w:pPr>
    </w:p>
    <w:p w14:paraId="485A4425" w14:textId="77777777" w:rsidR="008A14A3" w:rsidRPr="004D5CA8" w:rsidRDefault="008A14A3" w:rsidP="00D34473">
      <w:pPr>
        <w:jc w:val="center"/>
        <w:rPr>
          <w:highlight w:val="yellow"/>
        </w:rPr>
      </w:pPr>
    </w:p>
    <w:p w14:paraId="485A4426" w14:textId="77777777" w:rsidR="008A14A3" w:rsidRPr="004D5CA8" w:rsidRDefault="008A14A3" w:rsidP="00D34473">
      <w:pPr>
        <w:jc w:val="center"/>
        <w:rPr>
          <w:highlight w:val="yellow"/>
        </w:rPr>
      </w:pPr>
    </w:p>
    <w:p w14:paraId="485A4427" w14:textId="77777777" w:rsidR="008A14A3" w:rsidRPr="004D5CA8" w:rsidRDefault="008A14A3" w:rsidP="00D34473">
      <w:pPr>
        <w:jc w:val="center"/>
        <w:rPr>
          <w:highlight w:val="yellow"/>
        </w:rPr>
      </w:pPr>
    </w:p>
    <w:p w14:paraId="485A4428" w14:textId="77777777" w:rsidR="008A14A3" w:rsidRPr="004D5CA8" w:rsidRDefault="008A14A3" w:rsidP="00D34473">
      <w:pPr>
        <w:jc w:val="center"/>
        <w:rPr>
          <w:highlight w:val="yellow"/>
        </w:rPr>
      </w:pPr>
    </w:p>
    <w:p w14:paraId="485A4429" w14:textId="77777777" w:rsidR="008A14A3" w:rsidRPr="004D5CA8" w:rsidRDefault="008A14A3" w:rsidP="00D34473">
      <w:pPr>
        <w:jc w:val="center"/>
        <w:rPr>
          <w:highlight w:val="yellow"/>
        </w:rPr>
      </w:pPr>
    </w:p>
    <w:p w14:paraId="485A442A" w14:textId="77777777" w:rsidR="008A14A3" w:rsidRPr="004D5CA8" w:rsidRDefault="008A14A3" w:rsidP="00D34473">
      <w:pPr>
        <w:jc w:val="center"/>
        <w:rPr>
          <w:highlight w:val="yellow"/>
        </w:rPr>
      </w:pPr>
    </w:p>
    <w:p w14:paraId="485A442B" w14:textId="77777777" w:rsidR="008A14A3" w:rsidRPr="004D5CA8" w:rsidRDefault="008A14A3" w:rsidP="00D34473">
      <w:pPr>
        <w:jc w:val="center"/>
        <w:rPr>
          <w:highlight w:val="yellow"/>
        </w:rPr>
      </w:pPr>
    </w:p>
    <w:p w14:paraId="485A442C" w14:textId="77777777" w:rsidR="008A14A3" w:rsidRPr="004D5CA8" w:rsidRDefault="008A14A3" w:rsidP="00D34473">
      <w:pPr>
        <w:jc w:val="center"/>
        <w:rPr>
          <w:highlight w:val="yellow"/>
        </w:rPr>
      </w:pPr>
    </w:p>
    <w:p w14:paraId="485A442D" w14:textId="77777777" w:rsidR="008A14A3" w:rsidRPr="004D5CA8" w:rsidRDefault="008A14A3" w:rsidP="00D34473">
      <w:pPr>
        <w:jc w:val="center"/>
        <w:rPr>
          <w:highlight w:val="yellow"/>
        </w:rPr>
      </w:pPr>
    </w:p>
    <w:p w14:paraId="485A442E" w14:textId="77777777" w:rsidR="00D666E8" w:rsidRPr="004D5CA8" w:rsidRDefault="00D666E8" w:rsidP="00936DB6">
      <w:pPr>
        <w:pStyle w:val="TOC1"/>
        <w:jc w:val="center"/>
        <w:rPr>
          <w:highlight w:val="yellow"/>
        </w:rPr>
        <w:sectPr w:rsidR="00D666E8" w:rsidRPr="004D5CA8" w:rsidSect="004F3100">
          <w:pgSz w:w="11906" w:h="16838" w:code="9"/>
          <w:pgMar w:top="1077" w:right="991" w:bottom="720" w:left="1440" w:header="709" w:footer="403" w:gutter="0"/>
          <w:cols w:space="708"/>
          <w:docGrid w:linePitch="360"/>
        </w:sectPr>
      </w:pPr>
    </w:p>
    <w:p w14:paraId="485A442F" w14:textId="77777777" w:rsidR="001E638F" w:rsidRPr="004D5CA8" w:rsidRDefault="001E638F" w:rsidP="001E638F">
      <w:pPr>
        <w:pStyle w:val="TOC1"/>
        <w:rPr>
          <w:rFonts w:cs="Arial"/>
          <w:b w:val="0"/>
          <w:noProof/>
          <w:highlight w:val="yellow"/>
        </w:rPr>
      </w:pPr>
    </w:p>
    <w:p w14:paraId="485A4430" w14:textId="77777777" w:rsidR="001E638F" w:rsidRPr="004D5CA8" w:rsidRDefault="001E638F" w:rsidP="001E638F">
      <w:pPr>
        <w:pStyle w:val="TOC1"/>
        <w:rPr>
          <w:rFonts w:cs="Arial"/>
          <w:b w:val="0"/>
          <w:noProof/>
          <w:highlight w:val="yellow"/>
        </w:rPr>
      </w:pPr>
    </w:p>
    <w:p w14:paraId="485A4431" w14:textId="77777777" w:rsidR="001E638F" w:rsidRPr="004D5CA8" w:rsidRDefault="001E638F" w:rsidP="001E638F">
      <w:pPr>
        <w:pStyle w:val="TOC1"/>
        <w:rPr>
          <w:rFonts w:cs="Arial"/>
          <w:b w:val="0"/>
          <w:noProof/>
          <w:highlight w:val="yellow"/>
        </w:rPr>
      </w:pPr>
    </w:p>
    <w:p w14:paraId="485A4432" w14:textId="77777777" w:rsidR="001E638F" w:rsidRPr="004D5CA8" w:rsidRDefault="001E638F" w:rsidP="001E638F">
      <w:pPr>
        <w:pStyle w:val="TOC1"/>
        <w:rPr>
          <w:rFonts w:cs="Arial"/>
          <w:b w:val="0"/>
          <w:noProof/>
          <w:highlight w:val="yellow"/>
        </w:rPr>
      </w:pPr>
    </w:p>
    <w:p w14:paraId="485A4433" w14:textId="77777777" w:rsidR="001E638F" w:rsidRPr="004D5CA8" w:rsidRDefault="001E638F" w:rsidP="001E638F">
      <w:pPr>
        <w:pStyle w:val="TOC1"/>
        <w:rPr>
          <w:rFonts w:cs="Arial"/>
          <w:b w:val="0"/>
          <w:noProof/>
          <w:highlight w:val="yellow"/>
        </w:rPr>
      </w:pPr>
    </w:p>
    <w:p w14:paraId="485A4434" w14:textId="77777777" w:rsidR="001E638F" w:rsidRPr="004D5CA8" w:rsidRDefault="001E638F" w:rsidP="001E638F">
      <w:pPr>
        <w:pStyle w:val="TOC1"/>
        <w:rPr>
          <w:rFonts w:cs="Arial"/>
          <w:b w:val="0"/>
          <w:noProof/>
          <w:highlight w:val="yellow"/>
        </w:rPr>
      </w:pPr>
    </w:p>
    <w:p w14:paraId="485A4435" w14:textId="77777777" w:rsidR="001E638F" w:rsidRPr="004D5CA8" w:rsidRDefault="001E638F" w:rsidP="001E638F">
      <w:pPr>
        <w:pStyle w:val="TOC1"/>
        <w:rPr>
          <w:rFonts w:cs="Arial"/>
          <w:b w:val="0"/>
          <w:noProof/>
          <w:highlight w:val="yellow"/>
        </w:rPr>
      </w:pPr>
    </w:p>
    <w:p w14:paraId="485A4436" w14:textId="77777777" w:rsidR="001E638F" w:rsidRPr="004D5CA8" w:rsidRDefault="001E638F" w:rsidP="001E638F">
      <w:pPr>
        <w:pStyle w:val="TOC1"/>
        <w:rPr>
          <w:rFonts w:cs="Arial"/>
          <w:b w:val="0"/>
          <w:noProof/>
          <w:highlight w:val="yellow"/>
        </w:rPr>
      </w:pPr>
    </w:p>
    <w:p w14:paraId="485A4437" w14:textId="77777777" w:rsidR="001E638F" w:rsidRPr="004D5CA8" w:rsidRDefault="001E638F" w:rsidP="001E638F">
      <w:pPr>
        <w:pStyle w:val="TOC1"/>
        <w:rPr>
          <w:rFonts w:cs="Arial"/>
          <w:b w:val="0"/>
          <w:noProof/>
          <w:highlight w:val="yellow"/>
        </w:rPr>
      </w:pPr>
    </w:p>
    <w:p w14:paraId="485A4438" w14:textId="77777777" w:rsidR="001E638F" w:rsidRPr="004D5CA8" w:rsidRDefault="001E638F" w:rsidP="001E638F">
      <w:pPr>
        <w:pStyle w:val="TOC1"/>
        <w:rPr>
          <w:rFonts w:cs="Arial"/>
          <w:b w:val="0"/>
          <w:noProof/>
          <w:highlight w:val="yellow"/>
        </w:rPr>
      </w:pPr>
    </w:p>
    <w:p w14:paraId="485A4439" w14:textId="77777777" w:rsidR="001E638F" w:rsidRPr="004D5CA8" w:rsidRDefault="001E638F" w:rsidP="001E638F">
      <w:pPr>
        <w:pStyle w:val="TOC1"/>
        <w:rPr>
          <w:rFonts w:cs="Arial"/>
          <w:b w:val="0"/>
          <w:noProof/>
          <w:highlight w:val="yellow"/>
        </w:rPr>
      </w:pPr>
    </w:p>
    <w:p w14:paraId="5632F8DE" w14:textId="77777777" w:rsidR="00553405" w:rsidRPr="004D5CA8" w:rsidRDefault="00553405" w:rsidP="00553405">
      <w:pPr>
        <w:pStyle w:val="TOC1"/>
        <w:ind w:left="1440" w:firstLine="720"/>
        <w:rPr>
          <w:rFonts w:cs="Arial"/>
          <w:b w:val="0"/>
          <w:highlight w:val="yellow"/>
        </w:rPr>
      </w:pPr>
      <w:r w:rsidRPr="004D5CA8">
        <w:rPr>
          <w:rFonts w:cs="Arial"/>
          <w:b w:val="0"/>
          <w:noProof/>
          <w:highlight w:val="yellow"/>
          <w:lang w:eastAsia="en-GB"/>
        </w:rPr>
        <w:lastRenderedPageBreak/>
        <w:drawing>
          <wp:inline distT="0" distB="0" distL="0" distR="0" wp14:anchorId="74DF6F4C" wp14:editId="3ABDB093">
            <wp:extent cx="2589530" cy="548640"/>
            <wp:effectExtent l="0" t="0" r="1270" b="3810"/>
            <wp:docPr id="49" name="Picture 3" descr="GT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 lar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gray">
                    <a:xfrm>
                      <a:off x="0" y="0"/>
                      <a:ext cx="2589530" cy="548640"/>
                    </a:xfrm>
                    <a:prstGeom prst="rect">
                      <a:avLst/>
                    </a:prstGeom>
                    <a:noFill/>
                    <a:ln>
                      <a:noFill/>
                    </a:ln>
                  </pic:spPr>
                </pic:pic>
              </a:graphicData>
            </a:graphic>
          </wp:inline>
        </w:drawing>
      </w:r>
    </w:p>
    <w:p w14:paraId="7C823403" w14:textId="77777777" w:rsidR="00553405" w:rsidRPr="00400441" w:rsidRDefault="00553405" w:rsidP="00553405">
      <w:pPr>
        <w:keepNext/>
        <w:spacing w:before="240" w:after="120" w:line="320" w:lineRule="exact"/>
        <w:outlineLvl w:val="1"/>
        <w:rPr>
          <w:rFonts w:cs="Arial"/>
          <w:color w:val="4F2D7F"/>
          <w:kern w:val="32"/>
          <w:sz w:val="26"/>
          <w:szCs w:val="19"/>
        </w:rPr>
      </w:pPr>
      <w:r w:rsidRPr="00400441">
        <w:rPr>
          <w:rFonts w:cs="Arial"/>
          <w:color w:val="4F2D7F"/>
          <w:kern w:val="32"/>
          <w:sz w:val="26"/>
          <w:szCs w:val="19"/>
        </w:rPr>
        <w:t>Independent auditor's report to the members of Lake District National Park Authority</w:t>
      </w:r>
    </w:p>
    <w:p w14:paraId="2A124F5A" w14:textId="77777777" w:rsidR="00553405" w:rsidRPr="00400441" w:rsidRDefault="00553405" w:rsidP="00553405">
      <w:pPr>
        <w:keepNext/>
        <w:spacing w:before="240" w:after="120" w:line="240" w:lineRule="atLeast"/>
        <w:outlineLvl w:val="2"/>
        <w:rPr>
          <w:rFonts w:cs="Arial"/>
          <w:b/>
          <w:bCs/>
          <w:color w:val="4F2D7F"/>
          <w:kern w:val="32"/>
          <w:sz w:val="24"/>
          <w:szCs w:val="24"/>
        </w:rPr>
      </w:pPr>
      <w:r w:rsidRPr="00400441">
        <w:rPr>
          <w:rFonts w:cs="Arial"/>
          <w:b/>
          <w:bCs/>
          <w:color w:val="4F2D7F"/>
          <w:kern w:val="32"/>
          <w:sz w:val="24"/>
          <w:szCs w:val="24"/>
        </w:rPr>
        <w:t>Report on the Audit of the Financial Statements</w:t>
      </w:r>
    </w:p>
    <w:p w14:paraId="34EBDA1D" w14:textId="6A0A113C" w:rsidR="00553405" w:rsidRPr="00400441" w:rsidRDefault="00400441" w:rsidP="00553405">
      <w:pPr>
        <w:spacing w:after="120" w:line="240" w:lineRule="atLeast"/>
        <w:rPr>
          <w:sz w:val="18"/>
          <w:szCs w:val="18"/>
        </w:rPr>
      </w:pPr>
      <w:r w:rsidRPr="00400441">
        <w:rPr>
          <w:rFonts w:eastAsia="+mn-ea" w:cs="Arial"/>
          <w:b/>
          <w:bCs/>
          <w:color w:val="4F2D7F"/>
          <w:kern w:val="32"/>
          <w:sz w:val="18"/>
          <w:szCs w:val="18"/>
          <w:lang w:eastAsia="en-GB"/>
        </w:rPr>
        <w:t xml:space="preserve"> TO FOLLOW ON COMPLETION OF AUDIT</w:t>
      </w:r>
    </w:p>
    <w:p w14:paraId="4E51664B" w14:textId="41FB9E9F" w:rsidR="00553405" w:rsidRPr="004D5CA8" w:rsidRDefault="00553405" w:rsidP="00553405">
      <w:pPr>
        <w:spacing w:after="120" w:line="240" w:lineRule="atLeast"/>
        <w:rPr>
          <w:rFonts w:ascii="Bodoni MT Black" w:hAnsi="Bodoni MT Black"/>
          <w:sz w:val="28"/>
          <w:szCs w:val="28"/>
          <w:highlight w:val="yellow"/>
        </w:rPr>
      </w:pPr>
    </w:p>
    <w:p w14:paraId="23CE1966" w14:textId="77777777" w:rsidR="00553405" w:rsidRPr="004D5CA8" w:rsidRDefault="00553405" w:rsidP="00553405">
      <w:pPr>
        <w:spacing w:after="120" w:line="240" w:lineRule="atLeast"/>
        <w:rPr>
          <w:sz w:val="18"/>
          <w:szCs w:val="18"/>
          <w:highlight w:val="yellow"/>
        </w:rPr>
      </w:pPr>
    </w:p>
    <w:p w14:paraId="1313ACF8" w14:textId="390E3FCB" w:rsidR="00553405" w:rsidRPr="004D5CA8" w:rsidRDefault="00553405" w:rsidP="00553405">
      <w:pPr>
        <w:rPr>
          <w:sz w:val="18"/>
          <w:szCs w:val="18"/>
          <w:highlight w:val="yellow"/>
        </w:rPr>
      </w:pPr>
    </w:p>
    <w:p w14:paraId="72B21F97" w14:textId="3672E3AF" w:rsidR="009B1A72" w:rsidRPr="004D5CA8" w:rsidRDefault="009B1A72" w:rsidP="00553405">
      <w:pPr>
        <w:rPr>
          <w:sz w:val="18"/>
          <w:szCs w:val="18"/>
          <w:highlight w:val="yellow"/>
        </w:rPr>
      </w:pPr>
    </w:p>
    <w:p w14:paraId="709585EA" w14:textId="333F5DF1" w:rsidR="009B1A72" w:rsidRPr="004D5CA8" w:rsidRDefault="009B1A72" w:rsidP="00553405">
      <w:pPr>
        <w:rPr>
          <w:sz w:val="18"/>
          <w:szCs w:val="18"/>
          <w:highlight w:val="yellow"/>
        </w:rPr>
      </w:pPr>
    </w:p>
    <w:p w14:paraId="2103AAD0" w14:textId="24BCB33F" w:rsidR="009B1A72" w:rsidRDefault="009B1A72" w:rsidP="00553405">
      <w:pPr>
        <w:rPr>
          <w:sz w:val="18"/>
          <w:szCs w:val="18"/>
          <w:highlight w:val="yellow"/>
        </w:rPr>
      </w:pPr>
    </w:p>
    <w:p w14:paraId="106CC7A3" w14:textId="77777777" w:rsidR="00400441" w:rsidRDefault="00400441" w:rsidP="00553405">
      <w:pPr>
        <w:rPr>
          <w:sz w:val="18"/>
          <w:szCs w:val="18"/>
          <w:highlight w:val="yellow"/>
        </w:rPr>
      </w:pPr>
    </w:p>
    <w:p w14:paraId="2B68EC6D" w14:textId="77777777" w:rsidR="00400441" w:rsidRDefault="00400441" w:rsidP="00553405">
      <w:pPr>
        <w:rPr>
          <w:sz w:val="18"/>
          <w:szCs w:val="18"/>
          <w:highlight w:val="yellow"/>
        </w:rPr>
      </w:pPr>
    </w:p>
    <w:p w14:paraId="6746B0C4" w14:textId="77777777" w:rsidR="00400441" w:rsidRDefault="00400441" w:rsidP="00553405">
      <w:pPr>
        <w:rPr>
          <w:sz w:val="18"/>
          <w:szCs w:val="18"/>
          <w:highlight w:val="yellow"/>
        </w:rPr>
      </w:pPr>
    </w:p>
    <w:p w14:paraId="56C97FF5" w14:textId="77777777" w:rsidR="00400441" w:rsidRDefault="00400441" w:rsidP="00553405">
      <w:pPr>
        <w:rPr>
          <w:sz w:val="18"/>
          <w:szCs w:val="18"/>
          <w:highlight w:val="yellow"/>
        </w:rPr>
      </w:pPr>
    </w:p>
    <w:p w14:paraId="00552DD5" w14:textId="77777777" w:rsidR="00400441" w:rsidRDefault="00400441" w:rsidP="00553405">
      <w:pPr>
        <w:rPr>
          <w:sz w:val="18"/>
          <w:szCs w:val="18"/>
          <w:highlight w:val="yellow"/>
        </w:rPr>
      </w:pPr>
    </w:p>
    <w:p w14:paraId="53660D6B" w14:textId="77777777" w:rsidR="00400441" w:rsidRDefault="00400441" w:rsidP="00553405">
      <w:pPr>
        <w:rPr>
          <w:sz w:val="18"/>
          <w:szCs w:val="18"/>
          <w:highlight w:val="yellow"/>
        </w:rPr>
      </w:pPr>
    </w:p>
    <w:p w14:paraId="4635CC68" w14:textId="77777777" w:rsidR="00400441" w:rsidRDefault="00400441" w:rsidP="00553405">
      <w:pPr>
        <w:rPr>
          <w:sz w:val="18"/>
          <w:szCs w:val="18"/>
          <w:highlight w:val="yellow"/>
        </w:rPr>
      </w:pPr>
    </w:p>
    <w:p w14:paraId="39395F85" w14:textId="77777777" w:rsidR="00400441" w:rsidRDefault="00400441" w:rsidP="00553405">
      <w:pPr>
        <w:rPr>
          <w:sz w:val="18"/>
          <w:szCs w:val="18"/>
          <w:highlight w:val="yellow"/>
        </w:rPr>
      </w:pPr>
    </w:p>
    <w:p w14:paraId="7D501568" w14:textId="77777777" w:rsidR="00400441" w:rsidRDefault="00400441" w:rsidP="00553405">
      <w:pPr>
        <w:rPr>
          <w:sz w:val="18"/>
          <w:szCs w:val="18"/>
          <w:highlight w:val="yellow"/>
        </w:rPr>
      </w:pPr>
    </w:p>
    <w:p w14:paraId="61E8E9B9" w14:textId="77777777" w:rsidR="00400441" w:rsidRDefault="00400441" w:rsidP="00553405">
      <w:pPr>
        <w:rPr>
          <w:sz w:val="18"/>
          <w:szCs w:val="18"/>
          <w:highlight w:val="yellow"/>
        </w:rPr>
      </w:pPr>
    </w:p>
    <w:p w14:paraId="2AC6C76B" w14:textId="77777777" w:rsidR="00400441" w:rsidRDefault="00400441" w:rsidP="00553405">
      <w:pPr>
        <w:rPr>
          <w:sz w:val="18"/>
          <w:szCs w:val="18"/>
          <w:highlight w:val="yellow"/>
        </w:rPr>
      </w:pPr>
    </w:p>
    <w:p w14:paraId="0D521AC0" w14:textId="77777777" w:rsidR="00400441" w:rsidRDefault="00400441" w:rsidP="00553405">
      <w:pPr>
        <w:rPr>
          <w:sz w:val="18"/>
          <w:szCs w:val="18"/>
          <w:highlight w:val="yellow"/>
        </w:rPr>
      </w:pPr>
    </w:p>
    <w:p w14:paraId="1B43308B" w14:textId="77777777" w:rsidR="00400441" w:rsidRDefault="00400441" w:rsidP="00553405">
      <w:pPr>
        <w:rPr>
          <w:sz w:val="18"/>
          <w:szCs w:val="18"/>
          <w:highlight w:val="yellow"/>
        </w:rPr>
      </w:pPr>
    </w:p>
    <w:p w14:paraId="46A2CEB3" w14:textId="77777777" w:rsidR="00400441" w:rsidRDefault="00400441" w:rsidP="00553405">
      <w:pPr>
        <w:rPr>
          <w:sz w:val="18"/>
          <w:szCs w:val="18"/>
          <w:highlight w:val="yellow"/>
        </w:rPr>
      </w:pPr>
    </w:p>
    <w:p w14:paraId="387BF421" w14:textId="77777777" w:rsidR="00400441" w:rsidRDefault="00400441" w:rsidP="00553405">
      <w:pPr>
        <w:rPr>
          <w:sz w:val="18"/>
          <w:szCs w:val="18"/>
          <w:highlight w:val="yellow"/>
        </w:rPr>
      </w:pPr>
    </w:p>
    <w:p w14:paraId="7AC38623" w14:textId="77777777" w:rsidR="00400441" w:rsidRDefault="00400441" w:rsidP="00553405">
      <w:pPr>
        <w:rPr>
          <w:sz w:val="18"/>
          <w:szCs w:val="18"/>
          <w:highlight w:val="yellow"/>
        </w:rPr>
      </w:pPr>
    </w:p>
    <w:p w14:paraId="5B491E35" w14:textId="77777777" w:rsidR="00400441" w:rsidRDefault="00400441" w:rsidP="00553405">
      <w:pPr>
        <w:rPr>
          <w:sz w:val="18"/>
          <w:szCs w:val="18"/>
          <w:highlight w:val="yellow"/>
        </w:rPr>
      </w:pPr>
    </w:p>
    <w:p w14:paraId="115D16BF" w14:textId="77777777" w:rsidR="00400441" w:rsidRDefault="00400441" w:rsidP="00553405">
      <w:pPr>
        <w:rPr>
          <w:sz w:val="18"/>
          <w:szCs w:val="18"/>
          <w:highlight w:val="yellow"/>
        </w:rPr>
      </w:pPr>
    </w:p>
    <w:p w14:paraId="63490215" w14:textId="77777777" w:rsidR="00400441" w:rsidRDefault="00400441" w:rsidP="00553405">
      <w:pPr>
        <w:rPr>
          <w:sz w:val="18"/>
          <w:szCs w:val="18"/>
          <w:highlight w:val="yellow"/>
        </w:rPr>
      </w:pPr>
    </w:p>
    <w:p w14:paraId="2994D6C2" w14:textId="77777777" w:rsidR="00400441" w:rsidRDefault="00400441" w:rsidP="00553405">
      <w:pPr>
        <w:rPr>
          <w:sz w:val="18"/>
          <w:szCs w:val="18"/>
          <w:highlight w:val="yellow"/>
        </w:rPr>
      </w:pPr>
    </w:p>
    <w:p w14:paraId="60EB93FE" w14:textId="77777777" w:rsidR="00400441" w:rsidRDefault="00400441" w:rsidP="00553405">
      <w:pPr>
        <w:rPr>
          <w:sz w:val="18"/>
          <w:szCs w:val="18"/>
          <w:highlight w:val="yellow"/>
        </w:rPr>
      </w:pPr>
    </w:p>
    <w:p w14:paraId="3E170835" w14:textId="77777777" w:rsidR="00400441" w:rsidRDefault="00400441" w:rsidP="00553405">
      <w:pPr>
        <w:rPr>
          <w:sz w:val="18"/>
          <w:szCs w:val="18"/>
          <w:highlight w:val="yellow"/>
        </w:rPr>
      </w:pPr>
    </w:p>
    <w:p w14:paraId="3E05D0B0" w14:textId="77777777" w:rsidR="00400441" w:rsidRDefault="00400441" w:rsidP="00553405">
      <w:pPr>
        <w:rPr>
          <w:sz w:val="18"/>
          <w:szCs w:val="18"/>
          <w:highlight w:val="yellow"/>
        </w:rPr>
      </w:pPr>
    </w:p>
    <w:p w14:paraId="77E9A9FF" w14:textId="77777777" w:rsidR="00400441" w:rsidRDefault="00400441" w:rsidP="00553405">
      <w:pPr>
        <w:rPr>
          <w:sz w:val="18"/>
          <w:szCs w:val="18"/>
          <w:highlight w:val="yellow"/>
        </w:rPr>
      </w:pPr>
    </w:p>
    <w:p w14:paraId="55263153" w14:textId="77777777" w:rsidR="00400441" w:rsidRDefault="00400441" w:rsidP="00553405">
      <w:pPr>
        <w:rPr>
          <w:sz w:val="18"/>
          <w:szCs w:val="18"/>
          <w:highlight w:val="yellow"/>
        </w:rPr>
      </w:pPr>
    </w:p>
    <w:p w14:paraId="52D1A3E1" w14:textId="77777777" w:rsidR="00400441" w:rsidRDefault="00400441" w:rsidP="00553405">
      <w:pPr>
        <w:rPr>
          <w:sz w:val="18"/>
          <w:szCs w:val="18"/>
          <w:highlight w:val="yellow"/>
        </w:rPr>
      </w:pPr>
    </w:p>
    <w:p w14:paraId="51691A90" w14:textId="77777777" w:rsidR="00400441" w:rsidRDefault="00400441" w:rsidP="00553405">
      <w:pPr>
        <w:rPr>
          <w:sz w:val="18"/>
          <w:szCs w:val="18"/>
          <w:highlight w:val="yellow"/>
        </w:rPr>
      </w:pPr>
    </w:p>
    <w:p w14:paraId="7AF97CD9" w14:textId="77777777" w:rsidR="00400441" w:rsidRDefault="00400441" w:rsidP="00553405">
      <w:pPr>
        <w:rPr>
          <w:sz w:val="18"/>
          <w:szCs w:val="18"/>
          <w:highlight w:val="yellow"/>
        </w:rPr>
      </w:pPr>
    </w:p>
    <w:p w14:paraId="7D7F06B4" w14:textId="77777777" w:rsidR="00400441" w:rsidRDefault="00400441" w:rsidP="00553405">
      <w:pPr>
        <w:rPr>
          <w:sz w:val="18"/>
          <w:szCs w:val="18"/>
          <w:highlight w:val="yellow"/>
        </w:rPr>
      </w:pPr>
    </w:p>
    <w:p w14:paraId="2EDA85CC" w14:textId="77777777" w:rsidR="00400441" w:rsidRDefault="00400441" w:rsidP="00553405">
      <w:pPr>
        <w:rPr>
          <w:sz w:val="18"/>
          <w:szCs w:val="18"/>
          <w:highlight w:val="yellow"/>
        </w:rPr>
      </w:pPr>
    </w:p>
    <w:p w14:paraId="4118D06E" w14:textId="77777777" w:rsidR="00400441" w:rsidRDefault="00400441" w:rsidP="00553405">
      <w:pPr>
        <w:rPr>
          <w:sz w:val="18"/>
          <w:szCs w:val="18"/>
          <w:highlight w:val="yellow"/>
        </w:rPr>
      </w:pPr>
    </w:p>
    <w:p w14:paraId="6B40B4E1" w14:textId="77777777" w:rsidR="00400441" w:rsidRDefault="00400441" w:rsidP="00553405">
      <w:pPr>
        <w:rPr>
          <w:sz w:val="18"/>
          <w:szCs w:val="18"/>
          <w:highlight w:val="yellow"/>
        </w:rPr>
      </w:pPr>
    </w:p>
    <w:p w14:paraId="2D616833" w14:textId="77777777" w:rsidR="00400441" w:rsidRDefault="00400441" w:rsidP="00553405">
      <w:pPr>
        <w:rPr>
          <w:sz w:val="18"/>
          <w:szCs w:val="18"/>
          <w:highlight w:val="yellow"/>
        </w:rPr>
      </w:pPr>
    </w:p>
    <w:p w14:paraId="1F5DF781" w14:textId="77777777" w:rsidR="00400441" w:rsidRDefault="00400441" w:rsidP="00553405">
      <w:pPr>
        <w:rPr>
          <w:sz w:val="18"/>
          <w:szCs w:val="18"/>
          <w:highlight w:val="yellow"/>
        </w:rPr>
      </w:pPr>
    </w:p>
    <w:p w14:paraId="0244F8CE" w14:textId="77777777" w:rsidR="00400441" w:rsidRDefault="00400441" w:rsidP="00553405">
      <w:pPr>
        <w:rPr>
          <w:sz w:val="18"/>
          <w:szCs w:val="18"/>
          <w:highlight w:val="yellow"/>
        </w:rPr>
      </w:pPr>
    </w:p>
    <w:p w14:paraId="2BDA9C1E" w14:textId="77777777" w:rsidR="00400441" w:rsidRDefault="00400441" w:rsidP="00553405">
      <w:pPr>
        <w:rPr>
          <w:sz w:val="18"/>
          <w:szCs w:val="18"/>
          <w:highlight w:val="yellow"/>
        </w:rPr>
      </w:pPr>
    </w:p>
    <w:p w14:paraId="3B92F59E" w14:textId="77777777" w:rsidR="00400441" w:rsidRPr="004D5CA8" w:rsidRDefault="00400441" w:rsidP="00553405">
      <w:pPr>
        <w:rPr>
          <w:sz w:val="18"/>
          <w:szCs w:val="18"/>
          <w:highlight w:val="yellow"/>
        </w:rPr>
      </w:pPr>
    </w:p>
    <w:p w14:paraId="76354EE0" w14:textId="743F7666" w:rsidR="009B1A72" w:rsidRPr="004D5CA8" w:rsidRDefault="009B1A72" w:rsidP="00553405">
      <w:pPr>
        <w:rPr>
          <w:sz w:val="18"/>
          <w:szCs w:val="18"/>
          <w:highlight w:val="yellow"/>
        </w:rPr>
      </w:pPr>
    </w:p>
    <w:p w14:paraId="41AE2E13" w14:textId="522A7507" w:rsidR="003334A3" w:rsidRPr="004D5CA8" w:rsidRDefault="003334A3" w:rsidP="00553405">
      <w:pPr>
        <w:rPr>
          <w:sz w:val="18"/>
          <w:szCs w:val="18"/>
          <w:highlight w:val="yellow"/>
        </w:rPr>
      </w:pPr>
    </w:p>
    <w:p w14:paraId="41D87D7C" w14:textId="77777777" w:rsidR="003334A3" w:rsidRPr="004D5CA8" w:rsidRDefault="003334A3" w:rsidP="00553405">
      <w:pPr>
        <w:rPr>
          <w:sz w:val="18"/>
          <w:szCs w:val="18"/>
          <w:highlight w:val="yellow"/>
        </w:rPr>
      </w:pPr>
    </w:p>
    <w:p w14:paraId="405A5211" w14:textId="640B3C9A" w:rsidR="009B1A72" w:rsidRDefault="009B1A72" w:rsidP="00553405">
      <w:pPr>
        <w:rPr>
          <w:sz w:val="18"/>
          <w:szCs w:val="18"/>
          <w:highlight w:val="yellow"/>
        </w:rPr>
      </w:pPr>
    </w:p>
    <w:p w14:paraId="6C835CEC" w14:textId="77777777" w:rsidR="00400441" w:rsidRDefault="00400441" w:rsidP="00553405">
      <w:pPr>
        <w:rPr>
          <w:sz w:val="18"/>
          <w:szCs w:val="18"/>
          <w:highlight w:val="yellow"/>
        </w:rPr>
      </w:pPr>
    </w:p>
    <w:p w14:paraId="76A3875A" w14:textId="77777777" w:rsidR="00400441" w:rsidRDefault="00400441" w:rsidP="00553405">
      <w:pPr>
        <w:rPr>
          <w:sz w:val="18"/>
          <w:szCs w:val="18"/>
          <w:highlight w:val="yellow"/>
        </w:rPr>
      </w:pPr>
    </w:p>
    <w:p w14:paraId="7B7FFD4C" w14:textId="77777777" w:rsidR="00400441" w:rsidRDefault="00400441" w:rsidP="00553405">
      <w:pPr>
        <w:rPr>
          <w:sz w:val="18"/>
          <w:szCs w:val="18"/>
          <w:highlight w:val="yellow"/>
        </w:rPr>
      </w:pPr>
    </w:p>
    <w:p w14:paraId="48A7A8D4" w14:textId="77777777" w:rsidR="00400441" w:rsidRDefault="00400441" w:rsidP="00553405">
      <w:pPr>
        <w:rPr>
          <w:sz w:val="18"/>
          <w:szCs w:val="18"/>
          <w:highlight w:val="yellow"/>
        </w:rPr>
      </w:pPr>
    </w:p>
    <w:p w14:paraId="44DDED18" w14:textId="77777777" w:rsidR="00400441" w:rsidRPr="004D5CA8" w:rsidRDefault="00400441" w:rsidP="00553405">
      <w:pPr>
        <w:rPr>
          <w:sz w:val="18"/>
          <w:szCs w:val="18"/>
          <w:highlight w:val="yellow"/>
        </w:rPr>
      </w:pPr>
    </w:p>
    <w:p w14:paraId="1E20C567" w14:textId="6A41B1A5" w:rsidR="009B1A72" w:rsidRPr="004D5CA8" w:rsidRDefault="009B1A72" w:rsidP="00553405">
      <w:pPr>
        <w:rPr>
          <w:sz w:val="18"/>
          <w:szCs w:val="18"/>
          <w:highlight w:val="yellow"/>
        </w:rPr>
      </w:pPr>
    </w:p>
    <w:p w14:paraId="7548EDBD" w14:textId="09D573F5" w:rsidR="009B1A72" w:rsidRPr="004D5CA8" w:rsidRDefault="009B1A72" w:rsidP="00553405">
      <w:pPr>
        <w:rPr>
          <w:sz w:val="18"/>
          <w:szCs w:val="18"/>
          <w:highlight w:val="yellow"/>
        </w:rPr>
      </w:pPr>
    </w:p>
    <w:p w14:paraId="5CCE4110" w14:textId="77777777" w:rsidR="009B1A72" w:rsidRPr="004D5CA8" w:rsidRDefault="009B1A72" w:rsidP="00553405">
      <w:pPr>
        <w:rPr>
          <w:rFonts w:cs="Arial"/>
          <w:highlight w:val="yellow"/>
        </w:rPr>
      </w:pPr>
    </w:p>
    <w:p w14:paraId="2B2AC222" w14:textId="77777777" w:rsidR="00400441" w:rsidRPr="009313CF" w:rsidRDefault="00400441" w:rsidP="00400441">
      <w:pPr>
        <w:jc w:val="center"/>
        <w:textAlignment w:val="baseline"/>
        <w:rPr>
          <w:rFonts w:ascii="Segoe UI" w:hAnsi="Segoe UI" w:cs="Segoe UI"/>
          <w:sz w:val="18"/>
          <w:szCs w:val="18"/>
          <w:lang w:eastAsia="en-GB"/>
        </w:rPr>
      </w:pPr>
      <w:r w:rsidRPr="009313CF">
        <w:rPr>
          <w:rFonts w:cs="Arial"/>
          <w:b/>
          <w:bCs/>
          <w:sz w:val="28"/>
          <w:szCs w:val="28"/>
          <w:lang w:eastAsia="en-GB"/>
        </w:rPr>
        <w:lastRenderedPageBreak/>
        <w:t>STATEMENT OF SIGNIFICANT ACCOUNTING POLICIES</w:t>
      </w:r>
      <w:r w:rsidRPr="009313CF">
        <w:rPr>
          <w:rFonts w:cs="Arial"/>
          <w:sz w:val="28"/>
          <w:szCs w:val="28"/>
          <w:lang w:eastAsia="en-GB"/>
        </w:rPr>
        <w:t> </w:t>
      </w:r>
    </w:p>
    <w:p w14:paraId="22664D52" w14:textId="77777777" w:rsidR="00400441" w:rsidRPr="009313CF" w:rsidRDefault="00400441" w:rsidP="00400441">
      <w:pPr>
        <w:textAlignment w:val="baseline"/>
        <w:rPr>
          <w:rFonts w:ascii="Segoe UI" w:hAnsi="Segoe UI" w:cs="Segoe UI"/>
          <w:sz w:val="18"/>
          <w:szCs w:val="18"/>
          <w:lang w:eastAsia="en-GB"/>
        </w:rPr>
      </w:pPr>
      <w:r w:rsidRPr="009313CF">
        <w:rPr>
          <w:rFonts w:cs="Arial"/>
          <w:sz w:val="28"/>
          <w:szCs w:val="28"/>
          <w:lang w:eastAsia="en-GB"/>
        </w:rPr>
        <w:t> </w:t>
      </w:r>
    </w:p>
    <w:p w14:paraId="49B11AC1" w14:textId="77777777" w:rsidR="00400441" w:rsidRPr="002B1644" w:rsidRDefault="00400441" w:rsidP="00400441">
      <w:pPr>
        <w:textAlignment w:val="baseline"/>
        <w:rPr>
          <w:rFonts w:ascii="Segoe UI" w:hAnsi="Segoe UI" w:cs="Segoe UI"/>
          <w:lang w:eastAsia="en-GB"/>
        </w:rPr>
      </w:pPr>
      <w:r w:rsidRPr="002B1644">
        <w:rPr>
          <w:rFonts w:cs="Arial"/>
          <w:b/>
          <w:bCs/>
          <w:lang w:eastAsia="en-GB"/>
        </w:rPr>
        <w:t>Introduction and General Principles</w:t>
      </w:r>
      <w:r w:rsidRPr="002B1644">
        <w:rPr>
          <w:rFonts w:cs="Arial"/>
          <w:lang w:eastAsia="en-GB"/>
        </w:rPr>
        <w:t> </w:t>
      </w:r>
    </w:p>
    <w:p w14:paraId="2A5C4165" w14:textId="77777777" w:rsidR="00400441" w:rsidRPr="002B1644" w:rsidRDefault="00400441" w:rsidP="00400441">
      <w:pPr>
        <w:ind w:left="720"/>
        <w:textAlignment w:val="baseline"/>
        <w:rPr>
          <w:rFonts w:ascii="Segoe UI" w:hAnsi="Segoe UI" w:cs="Segoe UI"/>
          <w:lang w:eastAsia="en-GB"/>
        </w:rPr>
      </w:pPr>
      <w:r w:rsidRPr="002B1644">
        <w:rPr>
          <w:rFonts w:cs="Arial"/>
          <w:lang w:eastAsia="en-GB"/>
        </w:rPr>
        <w:t> </w:t>
      </w:r>
    </w:p>
    <w:p w14:paraId="30458D05" w14:textId="77777777" w:rsidR="00400441" w:rsidRPr="002B1644" w:rsidRDefault="00400441" w:rsidP="00400441">
      <w:pPr>
        <w:textAlignment w:val="baseline"/>
        <w:rPr>
          <w:rFonts w:ascii="Segoe UI" w:hAnsi="Segoe UI" w:cs="Segoe UI"/>
          <w:lang w:eastAsia="en-GB"/>
        </w:rPr>
      </w:pPr>
      <w:r w:rsidRPr="002B1644">
        <w:rPr>
          <w:rFonts w:cs="Arial"/>
          <w:lang w:eastAsia="en-GB"/>
        </w:rPr>
        <w:t xml:space="preserve">The Statement of Accounts summarises the Authority’s transactions for the 2022/23 financial year and its position at the year-end of 31 March 2023. The Authority is required to prepare an annual Statement of Accounts by the Accounts and Audit (England) Regulations 2015, which those regulations require to be prepared in accordance with proper accounting practices. These practices primarily comprise the </w:t>
      </w:r>
      <w:r w:rsidRPr="002B1644">
        <w:rPr>
          <w:rFonts w:cs="Arial"/>
          <w:i/>
          <w:iCs/>
          <w:lang w:eastAsia="en-GB"/>
        </w:rPr>
        <w:t>Code of Practice on Local Authority Accounting in the United Kingdom 2022/23 and the Service Reporting Code of Practice 2022/23, supported by International Financial Reporting Standards (IFRS)</w:t>
      </w:r>
      <w:r w:rsidRPr="002B1644">
        <w:rPr>
          <w:rFonts w:cs="Arial"/>
          <w:lang w:eastAsia="en-GB"/>
        </w:rPr>
        <w:t>.  </w:t>
      </w:r>
    </w:p>
    <w:p w14:paraId="773FBDAC"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635C6CEA" w14:textId="77777777" w:rsidR="00400441" w:rsidRPr="002B1644" w:rsidRDefault="00400441" w:rsidP="00400441">
      <w:pPr>
        <w:textAlignment w:val="baseline"/>
        <w:rPr>
          <w:rFonts w:ascii="Segoe UI" w:hAnsi="Segoe UI" w:cs="Segoe UI"/>
          <w:lang w:eastAsia="en-GB"/>
        </w:rPr>
      </w:pPr>
      <w:r w:rsidRPr="002B1644">
        <w:rPr>
          <w:rFonts w:cs="Arial"/>
          <w:b/>
          <w:bCs/>
          <w:lang w:eastAsia="en-GB"/>
        </w:rPr>
        <w:t>Accruals of Income and Expenditure</w:t>
      </w:r>
      <w:r w:rsidRPr="002B1644">
        <w:rPr>
          <w:rFonts w:cs="Arial"/>
          <w:lang w:eastAsia="en-GB"/>
        </w:rPr>
        <w:t> </w:t>
      </w:r>
    </w:p>
    <w:p w14:paraId="6BCB298B"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6C059FD9" w14:textId="77777777" w:rsidR="00400441" w:rsidRPr="002B1644" w:rsidRDefault="00400441" w:rsidP="00400441">
      <w:pPr>
        <w:textAlignment w:val="baseline"/>
        <w:rPr>
          <w:rFonts w:ascii="Segoe UI" w:hAnsi="Segoe UI" w:cs="Segoe UI"/>
          <w:lang w:eastAsia="en-GB"/>
        </w:rPr>
      </w:pPr>
      <w:r w:rsidRPr="002B1644">
        <w:rPr>
          <w:rFonts w:cs="Arial"/>
          <w:lang w:eastAsia="en-GB"/>
        </w:rPr>
        <w:t>Income and expenditure is accounted for in the year in which resources are consumed or when entitlement arises. The principles applied are as follows:  </w:t>
      </w:r>
    </w:p>
    <w:p w14:paraId="2ED22678" w14:textId="77777777" w:rsidR="00400441" w:rsidRPr="002B1644" w:rsidRDefault="00400441" w:rsidP="00400441">
      <w:pPr>
        <w:ind w:left="555" w:hanging="555"/>
        <w:textAlignment w:val="baseline"/>
        <w:rPr>
          <w:rFonts w:ascii="Segoe UI" w:hAnsi="Segoe UI" w:cs="Segoe UI"/>
          <w:lang w:eastAsia="en-GB"/>
        </w:rPr>
      </w:pPr>
      <w:r w:rsidRPr="002B1644">
        <w:rPr>
          <w:rFonts w:cs="Arial"/>
          <w:lang w:eastAsia="en-GB"/>
        </w:rPr>
        <w:t> </w:t>
      </w:r>
    </w:p>
    <w:p w14:paraId="4F1A8CF4" w14:textId="77777777" w:rsidR="00400441" w:rsidRPr="002B1644" w:rsidRDefault="00400441" w:rsidP="00317745">
      <w:pPr>
        <w:numPr>
          <w:ilvl w:val="0"/>
          <w:numId w:val="40"/>
        </w:numPr>
        <w:tabs>
          <w:tab w:val="clear" w:pos="720"/>
          <w:tab w:val="num" w:pos="567"/>
        </w:tabs>
        <w:ind w:left="567" w:hanging="567"/>
        <w:textAlignment w:val="baseline"/>
        <w:rPr>
          <w:rFonts w:cs="Arial"/>
          <w:u w:val="single"/>
          <w:lang w:eastAsia="en-GB"/>
        </w:rPr>
      </w:pPr>
      <w:r w:rsidRPr="002B1644">
        <w:rPr>
          <w:rFonts w:cs="Arial"/>
          <w:lang w:eastAsia="en-GB"/>
        </w:rPr>
        <w:t>Revenue from the sale of goods is recognised when the Authority transfers the significant risks and rewards of ownership to the purchaser and it is probable that economic benefits or service potential associated with the transaction will flow to the Authority.</w:t>
      </w:r>
    </w:p>
    <w:p w14:paraId="489E51CB" w14:textId="77777777" w:rsidR="00400441" w:rsidRPr="002B1644" w:rsidRDefault="00400441" w:rsidP="00317745">
      <w:pPr>
        <w:numPr>
          <w:ilvl w:val="0"/>
          <w:numId w:val="40"/>
        </w:numPr>
        <w:tabs>
          <w:tab w:val="clear" w:pos="720"/>
          <w:tab w:val="num" w:pos="567"/>
        </w:tabs>
        <w:ind w:left="567" w:hanging="567"/>
        <w:textAlignment w:val="baseline"/>
        <w:rPr>
          <w:rFonts w:cs="Arial"/>
          <w:u w:val="single"/>
          <w:lang w:eastAsia="en-GB"/>
        </w:rPr>
      </w:pPr>
      <w:r w:rsidRPr="002B1644">
        <w:rPr>
          <w:rFonts w:cs="Arial"/>
          <w:lang w:eastAsia="en-GB"/>
        </w:rPr>
        <w:t>Revenue from the provision of services is recognised when the Authority can measure reliably the percentage of completion of the transaction and it is probable that economic benefits or service potential associated with the transaction will flow to the Authority.</w:t>
      </w:r>
      <w:r w:rsidRPr="002B1644">
        <w:rPr>
          <w:rFonts w:cs="Arial"/>
          <w:u w:val="single"/>
          <w:lang w:eastAsia="en-GB"/>
        </w:rPr>
        <w:t> </w:t>
      </w:r>
    </w:p>
    <w:p w14:paraId="7CB4BAD3" w14:textId="77777777" w:rsidR="00400441" w:rsidRPr="002B1644" w:rsidRDefault="00400441" w:rsidP="00317745">
      <w:pPr>
        <w:numPr>
          <w:ilvl w:val="0"/>
          <w:numId w:val="41"/>
        </w:numPr>
        <w:tabs>
          <w:tab w:val="clear" w:pos="720"/>
          <w:tab w:val="num" w:pos="567"/>
        </w:tabs>
        <w:ind w:left="567" w:hanging="567"/>
        <w:textAlignment w:val="baseline"/>
        <w:rPr>
          <w:rFonts w:cs="Arial"/>
          <w:u w:val="single"/>
          <w:lang w:eastAsia="en-GB"/>
        </w:rPr>
      </w:pPr>
      <w:r w:rsidRPr="002B1644">
        <w:rPr>
          <w:rFonts w:cs="Arial"/>
          <w:lang w:eastAsia="en-GB"/>
        </w:rPr>
        <w:t>Supplies are recorded as expenditure when they are consumed – where there is a gap between the date supplies are received and their consumption; they are carried as inventories on the Balance Sheet.</w:t>
      </w:r>
    </w:p>
    <w:p w14:paraId="3C7027F0" w14:textId="77777777" w:rsidR="00400441" w:rsidRPr="002B1644" w:rsidRDefault="00400441" w:rsidP="00317745">
      <w:pPr>
        <w:numPr>
          <w:ilvl w:val="0"/>
          <w:numId w:val="41"/>
        </w:numPr>
        <w:tabs>
          <w:tab w:val="clear" w:pos="720"/>
          <w:tab w:val="num" w:pos="567"/>
        </w:tabs>
        <w:ind w:left="567" w:hanging="567"/>
        <w:textAlignment w:val="baseline"/>
        <w:rPr>
          <w:rFonts w:cs="Arial"/>
          <w:u w:val="single"/>
          <w:lang w:eastAsia="en-GB"/>
        </w:rPr>
      </w:pPr>
      <w:r w:rsidRPr="002B1644">
        <w:rPr>
          <w:rFonts w:cs="Arial"/>
          <w:lang w:eastAsia="en-GB"/>
        </w:rPr>
        <w:t>Expenses in relation to services received (including services provided by employees) are recorded as expenditure when the services are received rather than when payments are made.</w:t>
      </w:r>
    </w:p>
    <w:p w14:paraId="35B9029F" w14:textId="77777777" w:rsidR="00400441" w:rsidRPr="002B1644" w:rsidRDefault="00400441" w:rsidP="00317745">
      <w:pPr>
        <w:numPr>
          <w:ilvl w:val="0"/>
          <w:numId w:val="41"/>
        </w:numPr>
        <w:tabs>
          <w:tab w:val="clear" w:pos="720"/>
          <w:tab w:val="num" w:pos="567"/>
        </w:tabs>
        <w:ind w:left="567" w:hanging="567"/>
        <w:textAlignment w:val="baseline"/>
        <w:rPr>
          <w:rFonts w:cs="Arial"/>
          <w:u w:val="single"/>
          <w:lang w:eastAsia="en-GB"/>
        </w:rPr>
      </w:pPr>
      <w:r w:rsidRPr="002B1644">
        <w:rPr>
          <w:rFonts w:cs="Arial"/>
          <w:lang w:eastAsia="en-GB"/>
        </w:rPr>
        <w:t>Interest receivable on investments and payable on borrowings is accounted for respectively as income and expenditure on the basis of the effective interest rate for the relevant financial instrument rather than the cash flows fixed or determined by the contract.</w:t>
      </w:r>
    </w:p>
    <w:p w14:paraId="15A65ED6" w14:textId="77777777" w:rsidR="00400441" w:rsidRPr="002B1644" w:rsidRDefault="00400441" w:rsidP="00317745">
      <w:pPr>
        <w:numPr>
          <w:ilvl w:val="0"/>
          <w:numId w:val="41"/>
        </w:numPr>
        <w:tabs>
          <w:tab w:val="clear" w:pos="720"/>
          <w:tab w:val="num" w:pos="567"/>
        </w:tabs>
        <w:ind w:left="567" w:hanging="567"/>
        <w:textAlignment w:val="baseline"/>
        <w:rPr>
          <w:rFonts w:cs="Arial"/>
          <w:u w:val="single"/>
          <w:lang w:eastAsia="en-GB"/>
        </w:rPr>
      </w:pPr>
      <w:r w:rsidRPr="002B1644">
        <w:rPr>
          <w:rFonts w:cs="Arial"/>
          <w:lang w:eastAsia="en-GB"/>
        </w:rPr>
        <w:t>Where revenue and expenditure have been recognised, but cash has not been received or paid, a debtor or creditor for the relevant amount is recorded in the Balance Sheet. Where debts may not be settled, the balance of debtors is written down and a charge made to revenue for the income that might not be collected.</w:t>
      </w:r>
    </w:p>
    <w:p w14:paraId="2A90FFC0" w14:textId="77777777" w:rsidR="00400441" w:rsidRPr="002B1644" w:rsidRDefault="00400441" w:rsidP="00317745">
      <w:pPr>
        <w:numPr>
          <w:ilvl w:val="0"/>
          <w:numId w:val="41"/>
        </w:numPr>
        <w:tabs>
          <w:tab w:val="clear" w:pos="720"/>
          <w:tab w:val="num" w:pos="567"/>
        </w:tabs>
        <w:ind w:left="567" w:hanging="567"/>
        <w:textAlignment w:val="baseline"/>
        <w:rPr>
          <w:rFonts w:cs="Arial"/>
          <w:u w:val="single"/>
          <w:lang w:eastAsia="en-GB"/>
        </w:rPr>
      </w:pPr>
      <w:r w:rsidRPr="002B1644">
        <w:rPr>
          <w:rFonts w:cs="Arial"/>
          <w:lang w:eastAsia="en-GB"/>
        </w:rPr>
        <w:t>Where the Authority is acting as an agent for another party income and expenditure are recognised only to the extent that commission is receivable by the Authority for the agency services provided or the Authority incurs expenses directly on its own behalf in providing the services.</w:t>
      </w:r>
    </w:p>
    <w:p w14:paraId="17B03195" w14:textId="77777777" w:rsidR="00400441" w:rsidRPr="002B1644" w:rsidRDefault="00400441" w:rsidP="00317745">
      <w:pPr>
        <w:numPr>
          <w:ilvl w:val="0"/>
          <w:numId w:val="42"/>
        </w:numPr>
        <w:tabs>
          <w:tab w:val="clear" w:pos="720"/>
          <w:tab w:val="num" w:pos="567"/>
        </w:tabs>
        <w:ind w:left="567" w:hanging="567"/>
        <w:textAlignment w:val="baseline"/>
        <w:rPr>
          <w:rFonts w:cs="Arial"/>
          <w:u w:val="single"/>
          <w:lang w:eastAsia="en-GB"/>
        </w:rPr>
      </w:pPr>
      <w:r w:rsidRPr="002B1644">
        <w:rPr>
          <w:rFonts w:cs="Arial"/>
          <w:lang w:eastAsia="en-GB"/>
        </w:rPr>
        <w:t>Government Grants are recorded as Income when they are received provided there is reasonable assurance that the conditions of receipt are complied with or at a later date should the conditions be met at that later date. Grants and contributions used to finance the acquisition of a non-current asset are initially credited to Capital Receipts in Advance and then recognised in the Comprehensive Income and Expenditure Statement when any conditions are met. These grants are reversed out of the General Reserve to the Capital Grants Unapplied Account until the capital expenditure is incurred, in which case they are transferred to the Capital Adjustment Account through the Movement in Reserves Statement. Where grants are received but conditions are not met, these are accrued forward to the following financial year.</w:t>
      </w:r>
    </w:p>
    <w:p w14:paraId="5D6AE9E2" w14:textId="77777777" w:rsidR="00400441" w:rsidRPr="002B1644" w:rsidRDefault="00400441" w:rsidP="00317745">
      <w:pPr>
        <w:numPr>
          <w:ilvl w:val="0"/>
          <w:numId w:val="42"/>
        </w:numPr>
        <w:tabs>
          <w:tab w:val="clear" w:pos="720"/>
          <w:tab w:val="num" w:pos="567"/>
        </w:tabs>
        <w:ind w:left="567" w:hanging="567"/>
        <w:textAlignment w:val="baseline"/>
        <w:rPr>
          <w:rFonts w:cs="Arial"/>
          <w:u w:val="single"/>
          <w:lang w:eastAsia="en-GB"/>
        </w:rPr>
      </w:pPr>
      <w:r w:rsidRPr="002B1644">
        <w:rPr>
          <w:rFonts w:cs="Arial"/>
          <w:lang w:eastAsia="en-GB"/>
        </w:rPr>
        <w:t>In relation to the Local Government Pension scheme the liability that the Authority has for meeting the future cost of retirement benefits arising from service provided by employees up to the Balance Sheet date net of the contributions paid into the fund and the investment income generated.  </w:t>
      </w:r>
    </w:p>
    <w:p w14:paraId="699B6B40" w14:textId="77777777" w:rsidR="00400441" w:rsidRPr="002B1644" w:rsidRDefault="00400441" w:rsidP="00317745">
      <w:pPr>
        <w:numPr>
          <w:ilvl w:val="0"/>
          <w:numId w:val="42"/>
        </w:numPr>
        <w:tabs>
          <w:tab w:val="clear" w:pos="720"/>
          <w:tab w:val="num" w:pos="567"/>
        </w:tabs>
        <w:ind w:left="567" w:hanging="567"/>
        <w:textAlignment w:val="baseline"/>
        <w:rPr>
          <w:rFonts w:cs="Arial"/>
          <w:u w:val="single"/>
          <w:lang w:eastAsia="en-GB"/>
        </w:rPr>
      </w:pPr>
      <w:r w:rsidRPr="002B1644">
        <w:rPr>
          <w:rFonts w:cs="Arial"/>
          <w:lang w:eastAsia="en-GB"/>
        </w:rPr>
        <w:lastRenderedPageBreak/>
        <w:t>Changes in fair values of Investment Properties are recognised in the Financing and Investment Income and Expenditure line in the Comprehensive Income and Expenditure Statement   </w:t>
      </w:r>
    </w:p>
    <w:p w14:paraId="0A6E6286" w14:textId="77777777" w:rsidR="00400441" w:rsidRPr="002B1644" w:rsidRDefault="00400441" w:rsidP="00317745">
      <w:pPr>
        <w:numPr>
          <w:ilvl w:val="0"/>
          <w:numId w:val="42"/>
        </w:numPr>
        <w:tabs>
          <w:tab w:val="clear" w:pos="720"/>
          <w:tab w:val="num" w:pos="567"/>
        </w:tabs>
        <w:ind w:left="567" w:hanging="567"/>
        <w:textAlignment w:val="baseline"/>
        <w:rPr>
          <w:rFonts w:cs="Arial"/>
          <w:u w:val="single"/>
          <w:lang w:eastAsia="en-GB"/>
        </w:rPr>
      </w:pPr>
      <w:r w:rsidRPr="002B1644">
        <w:rPr>
          <w:rFonts w:cs="Arial"/>
          <w:lang w:eastAsia="en-GB"/>
        </w:rPr>
        <w:t>The Statutory basis of accounting for the Authority differs from that reported in the Comprehensive Income &amp; Expenditure Account as required under IFRS. Details are provided in the following table:</w:t>
      </w:r>
    </w:p>
    <w:p w14:paraId="47C67437"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23652B0A" w14:textId="77777777" w:rsidR="00400441" w:rsidRPr="002B1644" w:rsidRDefault="00400441" w:rsidP="00400441">
      <w:pPr>
        <w:textAlignment w:val="baseline"/>
        <w:rPr>
          <w:rFonts w:ascii="Segoe UI" w:hAnsi="Segoe UI" w:cs="Segoe UI"/>
          <w:lang w:eastAsia="en-GB"/>
        </w:rPr>
      </w:pPr>
      <w:r w:rsidRPr="002B1644">
        <w:rPr>
          <w:rFonts w:cs="Arial"/>
          <w:lang w:eastAsia="en-GB"/>
        </w:rPr>
        <w:t>The differences between the Statutory Basis of Accounting and the IFRS Accounting base are as follows:  </w:t>
      </w:r>
    </w:p>
    <w:p w14:paraId="7B30D5ED"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tbl>
      <w:tblPr>
        <w:tblW w:w="10185"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0"/>
        <w:gridCol w:w="2238"/>
        <w:gridCol w:w="2298"/>
        <w:gridCol w:w="3089"/>
      </w:tblGrid>
      <w:tr w:rsidR="00400441" w:rsidRPr="002B1644" w14:paraId="1E8EAD5C" w14:textId="77777777" w:rsidTr="00814E0C">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auto"/>
            <w:hideMark/>
          </w:tcPr>
          <w:p w14:paraId="1B8BE740" w14:textId="77777777" w:rsidR="00400441" w:rsidRPr="002B1644" w:rsidRDefault="00400441" w:rsidP="00814E0C">
            <w:pPr>
              <w:textAlignment w:val="baseline"/>
              <w:rPr>
                <w:rFonts w:ascii="Times New Roman" w:hAnsi="Times New Roman"/>
                <w:sz w:val="20"/>
                <w:szCs w:val="20"/>
                <w:lang w:eastAsia="en-GB"/>
              </w:rPr>
            </w:pPr>
            <w:r w:rsidRPr="002B1644">
              <w:rPr>
                <w:rFonts w:cs="Arial"/>
                <w:b/>
                <w:bCs/>
                <w:sz w:val="20"/>
                <w:szCs w:val="20"/>
                <w:lang w:eastAsia="en-GB"/>
              </w:rPr>
              <w:t>Income or Expense</w:t>
            </w:r>
            <w:r w:rsidRPr="002B1644">
              <w:rPr>
                <w:rFonts w:cs="Arial"/>
                <w:sz w:val="20"/>
                <w:szCs w:val="20"/>
                <w:lang w:eastAsia="en-GB"/>
              </w:rPr>
              <w:t> </w:t>
            </w:r>
          </w:p>
        </w:tc>
        <w:tc>
          <w:tcPr>
            <w:tcW w:w="2238" w:type="dxa"/>
            <w:tcBorders>
              <w:top w:val="single" w:sz="6" w:space="0" w:color="auto"/>
              <w:left w:val="single" w:sz="6" w:space="0" w:color="auto"/>
              <w:bottom w:val="single" w:sz="6" w:space="0" w:color="auto"/>
              <w:right w:val="single" w:sz="6" w:space="0" w:color="auto"/>
            </w:tcBorders>
            <w:shd w:val="clear" w:color="auto" w:fill="auto"/>
            <w:hideMark/>
          </w:tcPr>
          <w:p w14:paraId="6133495B" w14:textId="77777777" w:rsidR="00400441" w:rsidRPr="002B1644" w:rsidRDefault="00400441" w:rsidP="00814E0C">
            <w:pPr>
              <w:textAlignment w:val="baseline"/>
              <w:rPr>
                <w:rFonts w:ascii="Times New Roman" w:hAnsi="Times New Roman"/>
                <w:sz w:val="20"/>
                <w:szCs w:val="20"/>
                <w:lang w:eastAsia="en-GB"/>
              </w:rPr>
            </w:pPr>
            <w:r w:rsidRPr="002B1644">
              <w:rPr>
                <w:rFonts w:cs="Arial"/>
                <w:b/>
                <w:bCs/>
                <w:sz w:val="20"/>
                <w:szCs w:val="20"/>
                <w:lang w:eastAsia="en-GB"/>
              </w:rPr>
              <w:t>Basis of Statutory Charge to General Fund</w:t>
            </w:r>
            <w:r w:rsidRPr="002B1644">
              <w:rPr>
                <w:rFonts w:cs="Arial"/>
                <w:sz w:val="20"/>
                <w:szCs w:val="20"/>
                <w:lang w:eastAsia="en-GB"/>
              </w:rPr>
              <w:t> </w:t>
            </w:r>
          </w:p>
        </w:tc>
        <w:tc>
          <w:tcPr>
            <w:tcW w:w="2298" w:type="dxa"/>
            <w:tcBorders>
              <w:top w:val="single" w:sz="6" w:space="0" w:color="auto"/>
              <w:left w:val="single" w:sz="6" w:space="0" w:color="auto"/>
              <w:bottom w:val="single" w:sz="6" w:space="0" w:color="auto"/>
              <w:right w:val="single" w:sz="6" w:space="0" w:color="auto"/>
            </w:tcBorders>
            <w:shd w:val="clear" w:color="auto" w:fill="auto"/>
            <w:hideMark/>
          </w:tcPr>
          <w:p w14:paraId="0792105D" w14:textId="77777777" w:rsidR="00400441" w:rsidRPr="002B1644" w:rsidRDefault="00400441" w:rsidP="00814E0C">
            <w:pPr>
              <w:textAlignment w:val="baseline"/>
              <w:rPr>
                <w:rFonts w:ascii="Times New Roman" w:hAnsi="Times New Roman"/>
                <w:sz w:val="20"/>
                <w:szCs w:val="20"/>
                <w:lang w:eastAsia="en-GB"/>
              </w:rPr>
            </w:pPr>
            <w:r w:rsidRPr="002B1644">
              <w:rPr>
                <w:rFonts w:cs="Arial"/>
                <w:b/>
                <w:bCs/>
                <w:sz w:val="20"/>
                <w:szCs w:val="20"/>
                <w:lang w:eastAsia="en-GB"/>
              </w:rPr>
              <w:t>Basis of Accounting Charge or Credit</w:t>
            </w:r>
            <w:r w:rsidRPr="002B1644">
              <w:rPr>
                <w:rFonts w:cs="Arial"/>
                <w:sz w:val="20"/>
                <w:szCs w:val="20"/>
                <w:lang w:eastAsia="en-GB"/>
              </w:rPr>
              <w:t> </w:t>
            </w:r>
          </w:p>
        </w:tc>
        <w:tc>
          <w:tcPr>
            <w:tcW w:w="3089" w:type="dxa"/>
            <w:tcBorders>
              <w:top w:val="single" w:sz="6" w:space="0" w:color="auto"/>
              <w:left w:val="single" w:sz="6" w:space="0" w:color="auto"/>
              <w:bottom w:val="single" w:sz="6" w:space="0" w:color="auto"/>
              <w:right w:val="single" w:sz="6" w:space="0" w:color="auto"/>
            </w:tcBorders>
            <w:shd w:val="clear" w:color="auto" w:fill="auto"/>
            <w:hideMark/>
          </w:tcPr>
          <w:p w14:paraId="098A6D45" w14:textId="77777777" w:rsidR="00400441" w:rsidRPr="002B1644" w:rsidRDefault="00400441" w:rsidP="00814E0C">
            <w:pPr>
              <w:textAlignment w:val="baseline"/>
              <w:rPr>
                <w:rFonts w:ascii="Times New Roman" w:hAnsi="Times New Roman"/>
                <w:sz w:val="20"/>
                <w:szCs w:val="20"/>
                <w:lang w:eastAsia="en-GB"/>
              </w:rPr>
            </w:pPr>
            <w:r w:rsidRPr="002B1644">
              <w:rPr>
                <w:rFonts w:cs="Arial"/>
                <w:b/>
                <w:bCs/>
                <w:sz w:val="20"/>
                <w:szCs w:val="20"/>
                <w:lang w:eastAsia="en-GB"/>
              </w:rPr>
              <w:t>Other Funds utilised to represent enhancement from Statutory Outturn to Accounting Outturn</w:t>
            </w:r>
            <w:r w:rsidRPr="002B1644">
              <w:rPr>
                <w:rFonts w:cs="Arial"/>
                <w:sz w:val="20"/>
                <w:szCs w:val="20"/>
                <w:lang w:eastAsia="en-GB"/>
              </w:rPr>
              <w:t> </w:t>
            </w:r>
          </w:p>
        </w:tc>
      </w:tr>
      <w:tr w:rsidR="00400441" w:rsidRPr="002B1644" w14:paraId="6751AD6E" w14:textId="77777777" w:rsidTr="00814E0C">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auto"/>
            <w:hideMark/>
          </w:tcPr>
          <w:p w14:paraId="629D6C39"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Consumption or usage of Long-Term Assets </w:t>
            </w:r>
          </w:p>
        </w:tc>
        <w:tc>
          <w:tcPr>
            <w:tcW w:w="2238" w:type="dxa"/>
            <w:tcBorders>
              <w:top w:val="single" w:sz="6" w:space="0" w:color="auto"/>
              <w:left w:val="single" w:sz="6" w:space="0" w:color="auto"/>
              <w:bottom w:val="single" w:sz="6" w:space="0" w:color="auto"/>
              <w:right w:val="single" w:sz="6" w:space="0" w:color="auto"/>
            </w:tcBorders>
            <w:shd w:val="clear" w:color="auto" w:fill="auto"/>
            <w:hideMark/>
          </w:tcPr>
          <w:p w14:paraId="4C4DC3B0"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Contribution to the reduction in borrowing requirement in excess of minimum required. </w:t>
            </w:r>
          </w:p>
        </w:tc>
        <w:tc>
          <w:tcPr>
            <w:tcW w:w="2298" w:type="dxa"/>
            <w:tcBorders>
              <w:top w:val="single" w:sz="6" w:space="0" w:color="auto"/>
              <w:left w:val="single" w:sz="6" w:space="0" w:color="auto"/>
              <w:bottom w:val="single" w:sz="6" w:space="0" w:color="auto"/>
              <w:right w:val="single" w:sz="6" w:space="0" w:color="auto"/>
            </w:tcBorders>
            <w:shd w:val="clear" w:color="auto" w:fill="auto"/>
            <w:hideMark/>
          </w:tcPr>
          <w:p w14:paraId="5E590FE0"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Full accrual principle determined by Depreciation, Amortisation &amp; Impairment </w:t>
            </w:r>
          </w:p>
        </w:tc>
        <w:tc>
          <w:tcPr>
            <w:tcW w:w="3089" w:type="dxa"/>
            <w:tcBorders>
              <w:top w:val="single" w:sz="6" w:space="0" w:color="auto"/>
              <w:left w:val="single" w:sz="6" w:space="0" w:color="auto"/>
              <w:bottom w:val="single" w:sz="6" w:space="0" w:color="auto"/>
              <w:right w:val="single" w:sz="6" w:space="0" w:color="auto"/>
            </w:tcBorders>
            <w:shd w:val="clear" w:color="auto" w:fill="auto"/>
            <w:hideMark/>
          </w:tcPr>
          <w:p w14:paraId="19C2F585"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Capital Adjustment Account with small portion to Revaluation Reserve in relation to Current Cost Element of Depreciation </w:t>
            </w:r>
          </w:p>
        </w:tc>
      </w:tr>
      <w:tr w:rsidR="00400441" w:rsidRPr="002B1644" w14:paraId="512FDBA7" w14:textId="77777777" w:rsidTr="00814E0C">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auto"/>
            <w:hideMark/>
          </w:tcPr>
          <w:p w14:paraId="4377450E"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Grant receipts relating to Long Term Assets </w:t>
            </w:r>
          </w:p>
        </w:tc>
        <w:tc>
          <w:tcPr>
            <w:tcW w:w="2238" w:type="dxa"/>
            <w:tcBorders>
              <w:top w:val="single" w:sz="6" w:space="0" w:color="auto"/>
              <w:left w:val="single" w:sz="6" w:space="0" w:color="auto"/>
              <w:bottom w:val="single" w:sz="6" w:space="0" w:color="auto"/>
              <w:right w:val="single" w:sz="6" w:space="0" w:color="auto"/>
            </w:tcBorders>
            <w:shd w:val="clear" w:color="auto" w:fill="auto"/>
            <w:hideMark/>
          </w:tcPr>
          <w:p w14:paraId="51A0F9BC"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None </w:t>
            </w:r>
          </w:p>
        </w:tc>
        <w:tc>
          <w:tcPr>
            <w:tcW w:w="2298" w:type="dxa"/>
            <w:tcBorders>
              <w:top w:val="single" w:sz="6" w:space="0" w:color="auto"/>
              <w:left w:val="single" w:sz="6" w:space="0" w:color="auto"/>
              <w:bottom w:val="single" w:sz="6" w:space="0" w:color="auto"/>
              <w:right w:val="single" w:sz="6" w:space="0" w:color="auto"/>
            </w:tcBorders>
            <w:shd w:val="clear" w:color="auto" w:fill="auto"/>
            <w:hideMark/>
          </w:tcPr>
          <w:p w14:paraId="27997E5C"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All Grants received in year providing no conditions are attached and/or conditional grants from prior years that were applied in year. </w:t>
            </w:r>
          </w:p>
        </w:tc>
        <w:tc>
          <w:tcPr>
            <w:tcW w:w="3089" w:type="dxa"/>
            <w:tcBorders>
              <w:top w:val="single" w:sz="6" w:space="0" w:color="auto"/>
              <w:left w:val="single" w:sz="6" w:space="0" w:color="auto"/>
              <w:bottom w:val="single" w:sz="6" w:space="0" w:color="auto"/>
              <w:right w:val="single" w:sz="6" w:space="0" w:color="auto"/>
            </w:tcBorders>
            <w:shd w:val="clear" w:color="auto" w:fill="auto"/>
            <w:hideMark/>
          </w:tcPr>
          <w:p w14:paraId="469159D3"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Unapplied Capital Grants Reserve </w:t>
            </w:r>
          </w:p>
        </w:tc>
      </w:tr>
      <w:tr w:rsidR="00400441" w:rsidRPr="002B1644" w14:paraId="3EA91FF9" w14:textId="77777777" w:rsidTr="00814E0C">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auto"/>
            <w:hideMark/>
          </w:tcPr>
          <w:p w14:paraId="340A7401"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Disposal Receipts or entitlements relating to Long Term Assets </w:t>
            </w:r>
          </w:p>
        </w:tc>
        <w:tc>
          <w:tcPr>
            <w:tcW w:w="2238" w:type="dxa"/>
            <w:tcBorders>
              <w:top w:val="single" w:sz="6" w:space="0" w:color="auto"/>
              <w:left w:val="single" w:sz="6" w:space="0" w:color="auto"/>
              <w:bottom w:val="single" w:sz="6" w:space="0" w:color="auto"/>
              <w:right w:val="single" w:sz="6" w:space="0" w:color="auto"/>
            </w:tcBorders>
            <w:shd w:val="clear" w:color="auto" w:fill="auto"/>
            <w:hideMark/>
          </w:tcPr>
          <w:p w14:paraId="10111824"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None </w:t>
            </w:r>
          </w:p>
        </w:tc>
        <w:tc>
          <w:tcPr>
            <w:tcW w:w="2298" w:type="dxa"/>
            <w:tcBorders>
              <w:top w:val="single" w:sz="6" w:space="0" w:color="auto"/>
              <w:left w:val="single" w:sz="6" w:space="0" w:color="auto"/>
              <w:bottom w:val="single" w:sz="6" w:space="0" w:color="auto"/>
              <w:right w:val="single" w:sz="6" w:space="0" w:color="auto"/>
            </w:tcBorders>
            <w:shd w:val="clear" w:color="auto" w:fill="auto"/>
            <w:hideMark/>
          </w:tcPr>
          <w:p w14:paraId="7AD7E561"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Net Profit or Loss </w:t>
            </w:r>
          </w:p>
        </w:tc>
        <w:tc>
          <w:tcPr>
            <w:tcW w:w="3089" w:type="dxa"/>
            <w:tcBorders>
              <w:top w:val="single" w:sz="6" w:space="0" w:color="auto"/>
              <w:left w:val="single" w:sz="6" w:space="0" w:color="auto"/>
              <w:bottom w:val="single" w:sz="6" w:space="0" w:color="auto"/>
              <w:right w:val="single" w:sz="6" w:space="0" w:color="auto"/>
            </w:tcBorders>
            <w:shd w:val="clear" w:color="auto" w:fill="auto"/>
            <w:hideMark/>
          </w:tcPr>
          <w:p w14:paraId="4787C54E"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Capital Receipts Reserve (deferred if cash not received) minus Capital Adjustment Account (or Revaluation Reserve) in relation to holding value of asset at time of sale.   </w:t>
            </w:r>
          </w:p>
        </w:tc>
      </w:tr>
      <w:tr w:rsidR="00400441" w:rsidRPr="002B1644" w14:paraId="7D4C4D91" w14:textId="77777777" w:rsidTr="00814E0C">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auto"/>
            <w:hideMark/>
          </w:tcPr>
          <w:p w14:paraId="793C56BD"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Financing of new Capital Investment </w:t>
            </w:r>
          </w:p>
        </w:tc>
        <w:tc>
          <w:tcPr>
            <w:tcW w:w="2238" w:type="dxa"/>
            <w:tcBorders>
              <w:top w:val="single" w:sz="6" w:space="0" w:color="auto"/>
              <w:left w:val="single" w:sz="6" w:space="0" w:color="auto"/>
              <w:bottom w:val="single" w:sz="6" w:space="0" w:color="auto"/>
              <w:right w:val="single" w:sz="6" w:space="0" w:color="auto"/>
            </w:tcBorders>
            <w:shd w:val="clear" w:color="auto" w:fill="auto"/>
            <w:hideMark/>
          </w:tcPr>
          <w:p w14:paraId="1AD89536"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Contributions made where otherwise not funded by Capital Receipts or designated Capital Grants </w:t>
            </w:r>
          </w:p>
        </w:tc>
        <w:tc>
          <w:tcPr>
            <w:tcW w:w="2298" w:type="dxa"/>
            <w:tcBorders>
              <w:top w:val="single" w:sz="6" w:space="0" w:color="auto"/>
              <w:left w:val="single" w:sz="6" w:space="0" w:color="auto"/>
              <w:bottom w:val="single" w:sz="6" w:space="0" w:color="auto"/>
              <w:right w:val="single" w:sz="6" w:space="0" w:color="auto"/>
            </w:tcBorders>
            <w:shd w:val="clear" w:color="auto" w:fill="auto"/>
            <w:hideMark/>
          </w:tcPr>
          <w:p w14:paraId="01E0F889"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None </w:t>
            </w:r>
          </w:p>
        </w:tc>
        <w:tc>
          <w:tcPr>
            <w:tcW w:w="3089" w:type="dxa"/>
            <w:tcBorders>
              <w:top w:val="single" w:sz="6" w:space="0" w:color="auto"/>
              <w:left w:val="single" w:sz="6" w:space="0" w:color="auto"/>
              <w:bottom w:val="single" w:sz="6" w:space="0" w:color="auto"/>
              <w:right w:val="single" w:sz="6" w:space="0" w:color="auto"/>
            </w:tcBorders>
            <w:shd w:val="clear" w:color="auto" w:fill="auto"/>
            <w:hideMark/>
          </w:tcPr>
          <w:p w14:paraId="2EAB50ED"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Capital Adjustment Account </w:t>
            </w:r>
          </w:p>
        </w:tc>
      </w:tr>
      <w:tr w:rsidR="00400441" w:rsidRPr="002B1644" w14:paraId="5EDE14FC" w14:textId="77777777" w:rsidTr="00814E0C">
        <w:trPr>
          <w:trHeight w:val="1125"/>
        </w:trPr>
        <w:tc>
          <w:tcPr>
            <w:tcW w:w="2560" w:type="dxa"/>
            <w:tcBorders>
              <w:top w:val="single" w:sz="6" w:space="0" w:color="auto"/>
              <w:left w:val="single" w:sz="6" w:space="0" w:color="auto"/>
              <w:bottom w:val="single" w:sz="6" w:space="0" w:color="auto"/>
              <w:right w:val="single" w:sz="6" w:space="0" w:color="auto"/>
            </w:tcBorders>
            <w:shd w:val="clear" w:color="auto" w:fill="auto"/>
            <w:hideMark/>
          </w:tcPr>
          <w:p w14:paraId="7348B0BA"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Upward Valuation of Assets </w:t>
            </w:r>
          </w:p>
        </w:tc>
        <w:tc>
          <w:tcPr>
            <w:tcW w:w="2238" w:type="dxa"/>
            <w:tcBorders>
              <w:top w:val="single" w:sz="6" w:space="0" w:color="auto"/>
              <w:left w:val="single" w:sz="6" w:space="0" w:color="auto"/>
              <w:bottom w:val="single" w:sz="6" w:space="0" w:color="auto"/>
              <w:right w:val="single" w:sz="6" w:space="0" w:color="auto"/>
            </w:tcBorders>
            <w:shd w:val="clear" w:color="auto" w:fill="auto"/>
            <w:hideMark/>
          </w:tcPr>
          <w:p w14:paraId="46B0D5EB"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None </w:t>
            </w:r>
          </w:p>
        </w:tc>
        <w:tc>
          <w:tcPr>
            <w:tcW w:w="2298" w:type="dxa"/>
            <w:tcBorders>
              <w:top w:val="single" w:sz="6" w:space="0" w:color="auto"/>
              <w:left w:val="single" w:sz="6" w:space="0" w:color="auto"/>
              <w:bottom w:val="single" w:sz="6" w:space="0" w:color="auto"/>
              <w:right w:val="single" w:sz="6" w:space="0" w:color="auto"/>
            </w:tcBorders>
            <w:shd w:val="clear" w:color="auto" w:fill="auto"/>
            <w:hideMark/>
          </w:tcPr>
          <w:p w14:paraId="090B6613"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Credited </w:t>
            </w:r>
          </w:p>
        </w:tc>
        <w:tc>
          <w:tcPr>
            <w:tcW w:w="3089" w:type="dxa"/>
            <w:tcBorders>
              <w:top w:val="single" w:sz="6" w:space="0" w:color="auto"/>
              <w:left w:val="single" w:sz="6" w:space="0" w:color="auto"/>
              <w:bottom w:val="single" w:sz="6" w:space="0" w:color="auto"/>
              <w:right w:val="single" w:sz="6" w:space="0" w:color="auto"/>
            </w:tcBorders>
            <w:shd w:val="clear" w:color="auto" w:fill="auto"/>
            <w:hideMark/>
          </w:tcPr>
          <w:p w14:paraId="1557A83E"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Revaluation Reserve or, for Investment Properties (or where reinstating past Impairment), Capital Adjustment Account  </w:t>
            </w:r>
          </w:p>
        </w:tc>
      </w:tr>
      <w:tr w:rsidR="00400441" w:rsidRPr="002B1644" w14:paraId="6133C84B" w14:textId="77777777" w:rsidTr="00814E0C">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auto"/>
            <w:hideMark/>
          </w:tcPr>
          <w:p w14:paraId="08D7E5CF"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Pension Scheme Costs </w:t>
            </w:r>
          </w:p>
        </w:tc>
        <w:tc>
          <w:tcPr>
            <w:tcW w:w="2238" w:type="dxa"/>
            <w:tcBorders>
              <w:top w:val="single" w:sz="6" w:space="0" w:color="auto"/>
              <w:left w:val="single" w:sz="6" w:space="0" w:color="auto"/>
              <w:bottom w:val="single" w:sz="6" w:space="0" w:color="auto"/>
              <w:right w:val="single" w:sz="6" w:space="0" w:color="auto"/>
            </w:tcBorders>
            <w:shd w:val="clear" w:color="auto" w:fill="auto"/>
            <w:hideMark/>
          </w:tcPr>
          <w:p w14:paraId="5D97FD01"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Direct amounts paid in relation to the scheme </w:t>
            </w:r>
          </w:p>
        </w:tc>
        <w:tc>
          <w:tcPr>
            <w:tcW w:w="2298" w:type="dxa"/>
            <w:tcBorders>
              <w:top w:val="single" w:sz="6" w:space="0" w:color="auto"/>
              <w:left w:val="single" w:sz="6" w:space="0" w:color="auto"/>
              <w:bottom w:val="single" w:sz="6" w:space="0" w:color="auto"/>
              <w:right w:val="single" w:sz="6" w:space="0" w:color="auto"/>
            </w:tcBorders>
            <w:shd w:val="clear" w:color="auto" w:fill="auto"/>
            <w:hideMark/>
          </w:tcPr>
          <w:p w14:paraId="2AD20228"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Full accrual principles including actuarial valuation </w:t>
            </w:r>
          </w:p>
        </w:tc>
        <w:tc>
          <w:tcPr>
            <w:tcW w:w="3089" w:type="dxa"/>
            <w:tcBorders>
              <w:top w:val="single" w:sz="6" w:space="0" w:color="auto"/>
              <w:left w:val="single" w:sz="6" w:space="0" w:color="auto"/>
              <w:bottom w:val="single" w:sz="6" w:space="0" w:color="auto"/>
              <w:right w:val="single" w:sz="6" w:space="0" w:color="auto"/>
            </w:tcBorders>
            <w:shd w:val="clear" w:color="auto" w:fill="auto"/>
            <w:hideMark/>
          </w:tcPr>
          <w:p w14:paraId="55A9767F"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Pension Reserve </w:t>
            </w:r>
          </w:p>
        </w:tc>
      </w:tr>
      <w:tr w:rsidR="00400441" w:rsidRPr="002B1644" w14:paraId="35834A11" w14:textId="77777777" w:rsidTr="00814E0C">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auto"/>
            <w:hideMark/>
          </w:tcPr>
          <w:p w14:paraId="1A97BD24"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Staff Costs </w:t>
            </w:r>
          </w:p>
        </w:tc>
        <w:tc>
          <w:tcPr>
            <w:tcW w:w="2238" w:type="dxa"/>
            <w:tcBorders>
              <w:top w:val="single" w:sz="6" w:space="0" w:color="auto"/>
              <w:left w:val="single" w:sz="6" w:space="0" w:color="auto"/>
              <w:bottom w:val="single" w:sz="6" w:space="0" w:color="auto"/>
              <w:right w:val="single" w:sz="6" w:space="0" w:color="auto"/>
            </w:tcBorders>
            <w:shd w:val="clear" w:color="auto" w:fill="auto"/>
            <w:hideMark/>
          </w:tcPr>
          <w:p w14:paraId="4A3FC407"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Direct amounts paid </w:t>
            </w:r>
          </w:p>
        </w:tc>
        <w:tc>
          <w:tcPr>
            <w:tcW w:w="2298" w:type="dxa"/>
            <w:tcBorders>
              <w:top w:val="single" w:sz="6" w:space="0" w:color="auto"/>
              <w:left w:val="single" w:sz="6" w:space="0" w:color="auto"/>
              <w:bottom w:val="single" w:sz="6" w:space="0" w:color="auto"/>
              <w:right w:val="single" w:sz="6" w:space="0" w:color="auto"/>
            </w:tcBorders>
            <w:shd w:val="clear" w:color="auto" w:fill="auto"/>
            <w:hideMark/>
          </w:tcPr>
          <w:p w14:paraId="0B5011FE"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Accrual made for leave entitlement deferred forwards </w:t>
            </w:r>
          </w:p>
        </w:tc>
        <w:tc>
          <w:tcPr>
            <w:tcW w:w="3089" w:type="dxa"/>
            <w:tcBorders>
              <w:top w:val="single" w:sz="6" w:space="0" w:color="auto"/>
              <w:left w:val="single" w:sz="6" w:space="0" w:color="auto"/>
              <w:bottom w:val="single" w:sz="6" w:space="0" w:color="auto"/>
              <w:right w:val="single" w:sz="6" w:space="0" w:color="auto"/>
            </w:tcBorders>
            <w:shd w:val="clear" w:color="auto" w:fill="auto"/>
            <w:hideMark/>
          </w:tcPr>
          <w:p w14:paraId="19CF01C3"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Accumulated Absences Adjustment Account </w:t>
            </w:r>
          </w:p>
        </w:tc>
      </w:tr>
      <w:tr w:rsidR="00400441" w:rsidRPr="002B1644" w14:paraId="0BCAEE10" w14:textId="77777777" w:rsidTr="00814E0C">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auto"/>
            <w:hideMark/>
          </w:tcPr>
          <w:p w14:paraId="08BD38CF"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‘Revenue Expenditure Financed by Capital Under Statute’ (capex in respect of an asset owned by a third party)   </w:t>
            </w:r>
          </w:p>
        </w:tc>
        <w:tc>
          <w:tcPr>
            <w:tcW w:w="2238" w:type="dxa"/>
            <w:tcBorders>
              <w:top w:val="single" w:sz="6" w:space="0" w:color="auto"/>
              <w:left w:val="single" w:sz="6" w:space="0" w:color="auto"/>
              <w:bottom w:val="single" w:sz="6" w:space="0" w:color="auto"/>
              <w:right w:val="single" w:sz="6" w:space="0" w:color="auto"/>
            </w:tcBorders>
            <w:shd w:val="clear" w:color="auto" w:fill="auto"/>
            <w:hideMark/>
          </w:tcPr>
          <w:p w14:paraId="5E390D60"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None </w:t>
            </w:r>
          </w:p>
        </w:tc>
        <w:tc>
          <w:tcPr>
            <w:tcW w:w="2298" w:type="dxa"/>
            <w:tcBorders>
              <w:top w:val="single" w:sz="6" w:space="0" w:color="auto"/>
              <w:left w:val="single" w:sz="6" w:space="0" w:color="auto"/>
              <w:bottom w:val="single" w:sz="6" w:space="0" w:color="auto"/>
              <w:right w:val="single" w:sz="6" w:space="0" w:color="auto"/>
            </w:tcBorders>
            <w:shd w:val="clear" w:color="auto" w:fill="auto"/>
            <w:hideMark/>
          </w:tcPr>
          <w:p w14:paraId="4DC31436"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Full accrual principles </w:t>
            </w:r>
          </w:p>
        </w:tc>
        <w:tc>
          <w:tcPr>
            <w:tcW w:w="3089" w:type="dxa"/>
            <w:tcBorders>
              <w:top w:val="single" w:sz="6" w:space="0" w:color="auto"/>
              <w:left w:val="single" w:sz="6" w:space="0" w:color="auto"/>
              <w:bottom w:val="single" w:sz="6" w:space="0" w:color="auto"/>
              <w:right w:val="single" w:sz="6" w:space="0" w:color="auto"/>
            </w:tcBorders>
            <w:shd w:val="clear" w:color="auto" w:fill="auto"/>
            <w:hideMark/>
          </w:tcPr>
          <w:p w14:paraId="4FEB2A84"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Capital Adjustment Account </w:t>
            </w:r>
          </w:p>
        </w:tc>
      </w:tr>
      <w:tr w:rsidR="00400441" w:rsidRPr="002B1644" w14:paraId="68A0326A" w14:textId="77777777" w:rsidTr="00814E0C">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auto"/>
            <w:hideMark/>
          </w:tcPr>
          <w:p w14:paraId="031B82B4"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Minimum Statutory Provision for Capital Debt Repayment </w:t>
            </w:r>
          </w:p>
        </w:tc>
        <w:tc>
          <w:tcPr>
            <w:tcW w:w="2238" w:type="dxa"/>
            <w:tcBorders>
              <w:top w:val="single" w:sz="6" w:space="0" w:color="auto"/>
              <w:left w:val="single" w:sz="6" w:space="0" w:color="auto"/>
              <w:bottom w:val="single" w:sz="6" w:space="0" w:color="auto"/>
              <w:right w:val="single" w:sz="6" w:space="0" w:color="auto"/>
            </w:tcBorders>
            <w:shd w:val="clear" w:color="auto" w:fill="auto"/>
            <w:hideMark/>
          </w:tcPr>
          <w:p w14:paraId="5171F148"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Charge as required under statute </w:t>
            </w:r>
          </w:p>
        </w:tc>
        <w:tc>
          <w:tcPr>
            <w:tcW w:w="2298" w:type="dxa"/>
            <w:tcBorders>
              <w:top w:val="single" w:sz="6" w:space="0" w:color="auto"/>
              <w:left w:val="single" w:sz="6" w:space="0" w:color="auto"/>
              <w:bottom w:val="single" w:sz="6" w:space="0" w:color="auto"/>
              <w:right w:val="single" w:sz="6" w:space="0" w:color="auto"/>
            </w:tcBorders>
            <w:shd w:val="clear" w:color="auto" w:fill="auto"/>
            <w:hideMark/>
          </w:tcPr>
          <w:p w14:paraId="1B423259"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None </w:t>
            </w:r>
          </w:p>
        </w:tc>
        <w:tc>
          <w:tcPr>
            <w:tcW w:w="3089" w:type="dxa"/>
            <w:tcBorders>
              <w:top w:val="single" w:sz="6" w:space="0" w:color="auto"/>
              <w:left w:val="single" w:sz="6" w:space="0" w:color="auto"/>
              <w:bottom w:val="single" w:sz="6" w:space="0" w:color="auto"/>
              <w:right w:val="single" w:sz="6" w:space="0" w:color="auto"/>
            </w:tcBorders>
            <w:shd w:val="clear" w:color="auto" w:fill="auto"/>
            <w:hideMark/>
          </w:tcPr>
          <w:p w14:paraId="55924CFC" w14:textId="77777777" w:rsidR="00400441" w:rsidRPr="002B1644" w:rsidRDefault="00400441" w:rsidP="00814E0C">
            <w:pPr>
              <w:textAlignment w:val="baseline"/>
              <w:rPr>
                <w:rFonts w:ascii="Times New Roman" w:hAnsi="Times New Roman"/>
                <w:sz w:val="20"/>
                <w:szCs w:val="20"/>
                <w:lang w:eastAsia="en-GB"/>
              </w:rPr>
            </w:pPr>
            <w:r w:rsidRPr="002B1644">
              <w:rPr>
                <w:rFonts w:cs="Arial"/>
                <w:sz w:val="20"/>
                <w:szCs w:val="20"/>
                <w:lang w:eastAsia="en-GB"/>
              </w:rPr>
              <w:t>Capital Adjustment Account </w:t>
            </w:r>
          </w:p>
        </w:tc>
      </w:tr>
    </w:tbl>
    <w:p w14:paraId="7BF81233" w14:textId="77777777" w:rsidR="00400441" w:rsidRPr="002B1644" w:rsidRDefault="00400441" w:rsidP="00400441">
      <w:pPr>
        <w:textAlignment w:val="baseline"/>
        <w:rPr>
          <w:rFonts w:cs="Arial"/>
          <w:b/>
          <w:bCs/>
          <w:lang w:eastAsia="en-GB"/>
        </w:rPr>
      </w:pPr>
    </w:p>
    <w:p w14:paraId="64BB08A9" w14:textId="3280382E" w:rsidR="00400441" w:rsidRPr="002B1644" w:rsidRDefault="00400441" w:rsidP="00400441">
      <w:pPr>
        <w:textAlignment w:val="baseline"/>
        <w:rPr>
          <w:rFonts w:ascii="Segoe UI" w:hAnsi="Segoe UI" w:cs="Segoe UI"/>
          <w:lang w:eastAsia="en-GB"/>
        </w:rPr>
      </w:pPr>
      <w:r w:rsidRPr="002B1644">
        <w:rPr>
          <w:rFonts w:cs="Arial"/>
          <w:b/>
          <w:bCs/>
          <w:lang w:eastAsia="en-GB"/>
        </w:rPr>
        <w:t>Cash and Cash Equivalents</w:t>
      </w:r>
      <w:r w:rsidRPr="002B1644">
        <w:rPr>
          <w:rFonts w:cs="Arial"/>
          <w:lang w:eastAsia="en-GB"/>
        </w:rPr>
        <w:t> </w:t>
      </w:r>
    </w:p>
    <w:p w14:paraId="76483AC5" w14:textId="77777777" w:rsidR="00400441" w:rsidRPr="002B1644" w:rsidRDefault="00400441" w:rsidP="00400441">
      <w:pPr>
        <w:ind w:left="720"/>
        <w:textAlignment w:val="baseline"/>
        <w:rPr>
          <w:rFonts w:ascii="Segoe UI" w:hAnsi="Segoe UI" w:cs="Segoe UI"/>
          <w:lang w:eastAsia="en-GB"/>
        </w:rPr>
      </w:pPr>
      <w:r w:rsidRPr="002B1644">
        <w:rPr>
          <w:rFonts w:cs="Arial"/>
          <w:lang w:eastAsia="en-GB"/>
        </w:rPr>
        <w:t> </w:t>
      </w:r>
    </w:p>
    <w:p w14:paraId="4C038FAD" w14:textId="77777777" w:rsidR="00400441" w:rsidRPr="002B1644" w:rsidRDefault="00400441" w:rsidP="00400441">
      <w:pPr>
        <w:ind w:right="-15"/>
        <w:textAlignment w:val="baseline"/>
        <w:rPr>
          <w:rFonts w:ascii="Segoe UI" w:hAnsi="Segoe UI" w:cs="Segoe UI"/>
          <w:lang w:eastAsia="en-GB"/>
        </w:rPr>
      </w:pPr>
      <w:r w:rsidRPr="002B1644">
        <w:rPr>
          <w:rFonts w:cs="Arial"/>
          <w:lang w:eastAsia="en-GB"/>
        </w:rPr>
        <w:t xml:space="preserve">Cash is defined as cash in hand, deposits held with financial institutions repayable without penalty on notice of not more than 24 hours and bank overdrafts. Cash equivalents are short-term, highly liquid investments, with original maturities of three months or less, that are readily </w:t>
      </w:r>
      <w:r w:rsidRPr="002B1644">
        <w:rPr>
          <w:rFonts w:cs="Arial"/>
          <w:lang w:eastAsia="en-GB"/>
        </w:rPr>
        <w:lastRenderedPageBreak/>
        <w:t>convertible to known amounts of cash and which are subject to an insignificant risk of changes in value. In the Cash Flow Statement, cash and cash equivalents are shown net of bank overdrafts that are repayable on demand and form an integral part of the Authority’s cash management. </w:t>
      </w:r>
    </w:p>
    <w:p w14:paraId="5F90715E" w14:textId="29448674" w:rsidR="002B1644" w:rsidRDefault="00400441" w:rsidP="00400441">
      <w:pPr>
        <w:ind w:right="-15"/>
        <w:textAlignment w:val="baseline"/>
        <w:rPr>
          <w:rFonts w:cs="Arial"/>
          <w:b/>
          <w:bCs/>
          <w:lang w:eastAsia="en-GB"/>
        </w:rPr>
      </w:pPr>
      <w:r w:rsidRPr="002B1644">
        <w:rPr>
          <w:rFonts w:cs="Arial"/>
          <w:lang w:eastAsia="en-GB"/>
        </w:rPr>
        <w:t> </w:t>
      </w:r>
    </w:p>
    <w:p w14:paraId="3AFC5B3B" w14:textId="0643513E" w:rsidR="00400441" w:rsidRPr="002B1644" w:rsidRDefault="00400441" w:rsidP="00400441">
      <w:pPr>
        <w:ind w:right="-15"/>
        <w:textAlignment w:val="baseline"/>
        <w:rPr>
          <w:rFonts w:ascii="Segoe UI" w:hAnsi="Segoe UI" w:cs="Segoe UI"/>
          <w:lang w:eastAsia="en-GB"/>
        </w:rPr>
      </w:pPr>
      <w:r w:rsidRPr="002B1644">
        <w:rPr>
          <w:rFonts w:cs="Arial"/>
          <w:b/>
          <w:bCs/>
          <w:lang w:eastAsia="en-GB"/>
        </w:rPr>
        <w:t>Reserves</w:t>
      </w:r>
      <w:r w:rsidRPr="002B1644">
        <w:rPr>
          <w:rFonts w:cs="Arial"/>
          <w:lang w:eastAsia="en-GB"/>
        </w:rPr>
        <w:t> </w:t>
      </w:r>
    </w:p>
    <w:p w14:paraId="7E44AE70"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2BE4EDE2" w14:textId="77777777" w:rsidR="00400441" w:rsidRPr="002B1644" w:rsidRDefault="00400441" w:rsidP="00400441">
      <w:pPr>
        <w:textAlignment w:val="baseline"/>
        <w:rPr>
          <w:rFonts w:ascii="Segoe UI" w:hAnsi="Segoe UI" w:cs="Segoe UI"/>
          <w:lang w:eastAsia="en-GB"/>
        </w:rPr>
      </w:pPr>
      <w:r w:rsidRPr="002B1644">
        <w:rPr>
          <w:rFonts w:cs="Arial"/>
          <w:lang w:eastAsia="en-GB"/>
        </w:rPr>
        <w:t>The Authority’s Reserves represent the accumulation of surpluses (and deficits) upon the Comprehensive Income &amp; Expenditure account overall years up to and including the Balance Sheet date. These also equal the Total Value of the Authority’s assets less its’ liabilities.  </w:t>
      </w:r>
    </w:p>
    <w:p w14:paraId="0886BFDC"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347B1CB6" w14:textId="77777777" w:rsidR="00400441" w:rsidRPr="002B1644" w:rsidRDefault="00400441" w:rsidP="00400441">
      <w:pPr>
        <w:textAlignment w:val="baseline"/>
        <w:rPr>
          <w:rFonts w:ascii="Segoe UI" w:hAnsi="Segoe UI" w:cs="Segoe UI"/>
          <w:lang w:eastAsia="en-GB"/>
        </w:rPr>
      </w:pPr>
      <w:r w:rsidRPr="002B1644">
        <w:rPr>
          <w:rFonts w:cs="Arial"/>
          <w:lang w:eastAsia="en-GB"/>
        </w:rPr>
        <w:t>Reserves are classified into Useable (when currently available for application) and Un-useable (when there is no current liquidity). </w:t>
      </w:r>
    </w:p>
    <w:p w14:paraId="72093806"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66B72A13" w14:textId="77777777" w:rsidR="00400441" w:rsidRPr="002B1644" w:rsidRDefault="00400441" w:rsidP="00400441">
      <w:pPr>
        <w:textAlignment w:val="baseline"/>
        <w:rPr>
          <w:rFonts w:ascii="Segoe UI" w:hAnsi="Segoe UI" w:cs="Segoe UI"/>
          <w:lang w:eastAsia="en-GB"/>
        </w:rPr>
      </w:pPr>
      <w:r w:rsidRPr="002B1644">
        <w:rPr>
          <w:rFonts w:cs="Arial"/>
          <w:lang w:eastAsia="en-GB"/>
        </w:rPr>
        <w:t>The Notes to the Accounts upon the Reserves explain fully the purpose of each Reserve and the uses to which they are applied. </w:t>
      </w:r>
    </w:p>
    <w:p w14:paraId="7AB5537D" w14:textId="44E6D1A1" w:rsidR="002B1644" w:rsidRDefault="00400441" w:rsidP="00400441">
      <w:pPr>
        <w:ind w:right="-15"/>
        <w:textAlignment w:val="baseline"/>
        <w:rPr>
          <w:rFonts w:cs="Arial"/>
          <w:b/>
          <w:bCs/>
          <w:lang w:eastAsia="en-GB"/>
        </w:rPr>
      </w:pPr>
      <w:r w:rsidRPr="002B1644">
        <w:rPr>
          <w:rFonts w:cs="Arial"/>
          <w:lang w:eastAsia="en-GB"/>
        </w:rPr>
        <w:t> </w:t>
      </w:r>
    </w:p>
    <w:p w14:paraId="7D56C972" w14:textId="3856F302" w:rsidR="00400441" w:rsidRPr="002B1644" w:rsidRDefault="00400441" w:rsidP="00400441">
      <w:pPr>
        <w:ind w:right="-15"/>
        <w:textAlignment w:val="baseline"/>
        <w:rPr>
          <w:rFonts w:ascii="Segoe UI" w:hAnsi="Segoe UI" w:cs="Segoe UI"/>
          <w:lang w:eastAsia="en-GB"/>
        </w:rPr>
      </w:pPr>
      <w:r w:rsidRPr="002B1644">
        <w:rPr>
          <w:rFonts w:cs="Arial"/>
          <w:b/>
          <w:bCs/>
          <w:lang w:eastAsia="en-GB"/>
        </w:rPr>
        <w:t>Exceptional Items</w:t>
      </w:r>
      <w:r w:rsidRPr="002B1644">
        <w:rPr>
          <w:rFonts w:cs="Arial"/>
          <w:lang w:eastAsia="en-GB"/>
        </w:rPr>
        <w:t> </w:t>
      </w:r>
    </w:p>
    <w:p w14:paraId="057B1C92" w14:textId="77777777" w:rsidR="00400441" w:rsidRPr="002B1644" w:rsidRDefault="00400441" w:rsidP="00400441">
      <w:pPr>
        <w:ind w:right="-15"/>
        <w:textAlignment w:val="baseline"/>
        <w:rPr>
          <w:rFonts w:ascii="Segoe UI" w:hAnsi="Segoe UI" w:cs="Segoe UI"/>
          <w:lang w:eastAsia="en-GB"/>
        </w:rPr>
      </w:pPr>
      <w:r w:rsidRPr="002B1644">
        <w:rPr>
          <w:rFonts w:cs="Arial"/>
          <w:lang w:eastAsia="en-GB"/>
        </w:rPr>
        <w:t> </w:t>
      </w:r>
    </w:p>
    <w:p w14:paraId="5F03ADC8" w14:textId="77777777" w:rsidR="00400441" w:rsidRPr="002B1644" w:rsidRDefault="00400441" w:rsidP="00400441">
      <w:pPr>
        <w:ind w:right="-15"/>
        <w:textAlignment w:val="baseline"/>
        <w:rPr>
          <w:rFonts w:ascii="Segoe UI" w:hAnsi="Segoe UI" w:cs="Segoe UI"/>
          <w:lang w:eastAsia="en-GB"/>
        </w:rPr>
      </w:pPr>
      <w:r w:rsidRPr="002B1644">
        <w:rPr>
          <w:rFonts w:cs="Arial"/>
          <w:lang w:eastAsia="en-GB"/>
        </w:rPr>
        <w:t>Where items of income and expenditure are material, their natures and amounts are disclosed separately, either on the face of the Comprehensive Income and Expenditure Statement or in notes to the accounts, depending on how significant the items are to an understanding of the Authority’s financial performance. </w:t>
      </w:r>
    </w:p>
    <w:p w14:paraId="4CA2AEEC" w14:textId="77777777" w:rsidR="002B1644" w:rsidRDefault="002B1644" w:rsidP="00400441">
      <w:pPr>
        <w:textAlignment w:val="baseline"/>
        <w:rPr>
          <w:rFonts w:cs="Arial"/>
          <w:b/>
          <w:bCs/>
          <w:lang w:eastAsia="en-GB"/>
        </w:rPr>
      </w:pPr>
    </w:p>
    <w:p w14:paraId="3AA0BFD9" w14:textId="1950D25B" w:rsidR="00400441" w:rsidRPr="002B1644" w:rsidRDefault="00400441" w:rsidP="00400441">
      <w:pPr>
        <w:textAlignment w:val="baseline"/>
        <w:rPr>
          <w:rFonts w:ascii="Segoe UI" w:hAnsi="Segoe UI" w:cs="Segoe UI"/>
          <w:lang w:eastAsia="en-GB"/>
        </w:rPr>
      </w:pPr>
      <w:r w:rsidRPr="002B1644">
        <w:rPr>
          <w:rFonts w:cs="Arial"/>
          <w:b/>
          <w:bCs/>
          <w:lang w:eastAsia="en-GB"/>
        </w:rPr>
        <w:t>Prior Period Adjustments, Changes in Accounting Policies and Errors</w:t>
      </w:r>
      <w:r w:rsidRPr="002B1644">
        <w:rPr>
          <w:rFonts w:cs="Arial"/>
          <w:lang w:eastAsia="en-GB"/>
        </w:rPr>
        <w:t> </w:t>
      </w:r>
    </w:p>
    <w:p w14:paraId="43ECCB7D"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6E474436" w14:textId="77777777" w:rsidR="00400441" w:rsidRPr="002B1644" w:rsidRDefault="00400441" w:rsidP="00400441">
      <w:pPr>
        <w:textAlignment w:val="baseline"/>
        <w:rPr>
          <w:rFonts w:ascii="Segoe UI" w:hAnsi="Segoe UI" w:cs="Segoe UI"/>
          <w:lang w:eastAsia="en-GB"/>
        </w:rPr>
      </w:pPr>
      <w:r w:rsidRPr="002B1644">
        <w:rPr>
          <w:rFonts w:cs="Arial"/>
          <w:lang w:eastAsia="en-GB"/>
        </w:rPr>
        <w:t>Prior period adjustments may arise as a result of a change in accounting policies or to correct a material error. Changes in accounting policies are only made when required by proper accounting practices or the change provides more reliable or relevant information about the effect of transactions or other events and conditions on the Authority’s financial position or financial performance. Where a change is made, it is applied retrospectively (unless stated otherwise) by adjusting opening balances and comparative amounts for the prior period as if the new policy had always been applied. Material errors discovered in prior year period figures are corrected retrospectively by amending opening balances and comparative amounts for the prior period.  </w:t>
      </w:r>
    </w:p>
    <w:p w14:paraId="3F10C899" w14:textId="77777777" w:rsidR="00400441" w:rsidRPr="002B1644" w:rsidRDefault="00400441" w:rsidP="00400441">
      <w:pPr>
        <w:ind w:left="720"/>
        <w:textAlignment w:val="baseline"/>
        <w:rPr>
          <w:rFonts w:ascii="Segoe UI" w:hAnsi="Segoe UI" w:cs="Segoe UI"/>
          <w:lang w:eastAsia="en-GB"/>
        </w:rPr>
      </w:pPr>
      <w:r w:rsidRPr="002B1644">
        <w:rPr>
          <w:rFonts w:cs="Arial"/>
          <w:lang w:eastAsia="en-GB"/>
        </w:rPr>
        <w:t> </w:t>
      </w:r>
    </w:p>
    <w:p w14:paraId="01EC6E87" w14:textId="77777777" w:rsidR="00400441" w:rsidRPr="002B1644" w:rsidRDefault="00400441" w:rsidP="00400441">
      <w:pPr>
        <w:textAlignment w:val="baseline"/>
        <w:rPr>
          <w:rFonts w:ascii="Segoe UI" w:hAnsi="Segoe UI" w:cs="Segoe UI"/>
          <w:lang w:eastAsia="en-GB"/>
        </w:rPr>
      </w:pPr>
      <w:r w:rsidRPr="002B1644">
        <w:rPr>
          <w:rFonts w:cs="Arial"/>
          <w:b/>
          <w:bCs/>
          <w:lang w:eastAsia="en-GB"/>
        </w:rPr>
        <w:t>Accounting Estimates and Judgements</w:t>
      </w:r>
      <w:r w:rsidRPr="002B1644">
        <w:rPr>
          <w:rFonts w:cs="Arial"/>
          <w:lang w:eastAsia="en-GB"/>
        </w:rPr>
        <w:t> </w:t>
      </w:r>
    </w:p>
    <w:p w14:paraId="6658D575"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7901CDFB" w14:textId="77777777" w:rsidR="00400441" w:rsidRPr="002B1644" w:rsidRDefault="00400441" w:rsidP="00400441">
      <w:pPr>
        <w:textAlignment w:val="baseline"/>
        <w:rPr>
          <w:rFonts w:ascii="Segoe UI" w:hAnsi="Segoe UI" w:cs="Segoe UI"/>
          <w:lang w:eastAsia="en-GB"/>
        </w:rPr>
      </w:pPr>
      <w:r w:rsidRPr="002B1644">
        <w:rPr>
          <w:rFonts w:cs="Arial"/>
          <w:lang w:eastAsia="en-GB"/>
        </w:rPr>
        <w:t>The preparation of financial statements requires management to make judgements, estimates and assumptions that affect the application of accounting policies and the reported amounts of assets, liabilities, income and expenses. Information about significant areas of estimation uncertainty and critical judgements in applying accounting policies that have the most significant effect on the amounts recognised in the financial statements are described in the notes. Changes in accounting estimates are applied prospectively, i.e. in the current and future years affected by the change and do not give rise to a prior period adjustment. </w:t>
      </w:r>
    </w:p>
    <w:p w14:paraId="075F4015" w14:textId="450A6265" w:rsidR="00400441" w:rsidRPr="002B1644" w:rsidRDefault="00400441" w:rsidP="00400441">
      <w:pPr>
        <w:textAlignment w:val="baseline"/>
        <w:rPr>
          <w:rFonts w:ascii="Segoe UI" w:hAnsi="Segoe UI" w:cs="Segoe UI"/>
          <w:lang w:eastAsia="en-GB"/>
        </w:rPr>
      </w:pPr>
      <w:r w:rsidRPr="002B1644">
        <w:rPr>
          <w:rFonts w:cs="Arial"/>
          <w:lang w:eastAsia="en-GB"/>
        </w:rPr>
        <w:t> </w:t>
      </w:r>
    </w:p>
    <w:p w14:paraId="6C2A20AC" w14:textId="77777777" w:rsidR="00400441" w:rsidRPr="002B1644" w:rsidRDefault="00400441" w:rsidP="00400441">
      <w:pPr>
        <w:textAlignment w:val="baseline"/>
        <w:rPr>
          <w:rFonts w:ascii="Segoe UI" w:hAnsi="Segoe UI" w:cs="Segoe UI"/>
          <w:lang w:eastAsia="en-GB"/>
        </w:rPr>
      </w:pPr>
      <w:r w:rsidRPr="002B1644">
        <w:rPr>
          <w:rFonts w:cs="Arial"/>
          <w:b/>
          <w:bCs/>
          <w:lang w:eastAsia="en-GB"/>
        </w:rPr>
        <w:t>Employee Benefits Payable During Employment</w:t>
      </w:r>
      <w:r w:rsidRPr="002B1644">
        <w:rPr>
          <w:rFonts w:cs="Arial"/>
          <w:lang w:eastAsia="en-GB"/>
        </w:rPr>
        <w:t> </w:t>
      </w:r>
    </w:p>
    <w:p w14:paraId="2734456C"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1B57F91C" w14:textId="77777777" w:rsidR="00400441" w:rsidRPr="002B1644" w:rsidRDefault="00400441" w:rsidP="00400441">
      <w:pPr>
        <w:textAlignment w:val="baseline"/>
        <w:rPr>
          <w:rFonts w:ascii="Segoe UI" w:hAnsi="Segoe UI" w:cs="Segoe UI"/>
          <w:lang w:eastAsia="en-GB"/>
        </w:rPr>
      </w:pPr>
      <w:r w:rsidRPr="002B1644">
        <w:rPr>
          <w:rFonts w:cs="Arial"/>
          <w:lang w:eastAsia="en-GB"/>
        </w:rPr>
        <w:t>Short term employee benefits include wages and salaries, annual leave and flex-time balances at year end. These liabilities are expected to be settled within 12 months of the reporting date. They are recognised as an expense in the year in which employees work for the Authority and are measured at the amounts the Authority expects to pay when the liabilities are settled. The accrual for the cost of any holiday entitlement earned but not taken before the year end, which can be carried forward, is reversed out of the General Reserve through the Movement in Reserves Statement. </w:t>
      </w:r>
    </w:p>
    <w:p w14:paraId="18FC557B" w14:textId="77777777" w:rsidR="00400441" w:rsidRDefault="00400441" w:rsidP="00400441">
      <w:pPr>
        <w:textAlignment w:val="baseline"/>
        <w:rPr>
          <w:rFonts w:cs="Arial"/>
          <w:lang w:eastAsia="en-GB"/>
        </w:rPr>
      </w:pPr>
      <w:r w:rsidRPr="002B1644">
        <w:rPr>
          <w:rFonts w:cs="Arial"/>
          <w:lang w:eastAsia="en-GB"/>
        </w:rPr>
        <w:t> </w:t>
      </w:r>
    </w:p>
    <w:p w14:paraId="3EB24EE3" w14:textId="77777777" w:rsidR="003662C5" w:rsidRPr="002B1644" w:rsidRDefault="003662C5" w:rsidP="00400441">
      <w:pPr>
        <w:textAlignment w:val="baseline"/>
        <w:rPr>
          <w:rFonts w:ascii="Segoe UI" w:hAnsi="Segoe UI" w:cs="Segoe UI"/>
          <w:lang w:eastAsia="en-GB"/>
        </w:rPr>
      </w:pPr>
    </w:p>
    <w:p w14:paraId="23680CE7" w14:textId="77777777" w:rsidR="00400441" w:rsidRPr="002B1644" w:rsidRDefault="00400441" w:rsidP="00400441">
      <w:pPr>
        <w:textAlignment w:val="baseline"/>
        <w:rPr>
          <w:rFonts w:ascii="Segoe UI" w:hAnsi="Segoe UI" w:cs="Segoe UI"/>
          <w:lang w:eastAsia="en-GB"/>
        </w:rPr>
      </w:pPr>
      <w:r w:rsidRPr="002B1644">
        <w:rPr>
          <w:rFonts w:cs="Arial"/>
          <w:b/>
          <w:bCs/>
          <w:lang w:eastAsia="en-GB"/>
        </w:rPr>
        <w:lastRenderedPageBreak/>
        <w:t>Employee Termination Benefits</w:t>
      </w:r>
      <w:r w:rsidRPr="002B1644">
        <w:rPr>
          <w:rFonts w:cs="Arial"/>
          <w:lang w:eastAsia="en-GB"/>
        </w:rPr>
        <w:t> </w:t>
      </w:r>
    </w:p>
    <w:p w14:paraId="69C3BCC0" w14:textId="77777777" w:rsidR="00400441" w:rsidRPr="002B1644" w:rsidRDefault="00400441" w:rsidP="00400441">
      <w:pPr>
        <w:ind w:left="420"/>
        <w:textAlignment w:val="baseline"/>
        <w:rPr>
          <w:rFonts w:ascii="Segoe UI" w:hAnsi="Segoe UI" w:cs="Segoe UI"/>
          <w:lang w:eastAsia="en-GB"/>
        </w:rPr>
      </w:pPr>
      <w:r w:rsidRPr="002B1644">
        <w:rPr>
          <w:rFonts w:cs="Arial"/>
          <w:lang w:eastAsia="en-GB"/>
        </w:rPr>
        <w:t> </w:t>
      </w:r>
    </w:p>
    <w:p w14:paraId="152D12DB" w14:textId="77777777" w:rsidR="00400441" w:rsidRPr="002B1644" w:rsidRDefault="00400441" w:rsidP="00400441">
      <w:pPr>
        <w:textAlignment w:val="baseline"/>
        <w:rPr>
          <w:rFonts w:ascii="Segoe UI" w:hAnsi="Segoe UI" w:cs="Segoe UI"/>
          <w:lang w:eastAsia="en-GB"/>
        </w:rPr>
      </w:pPr>
      <w:r w:rsidRPr="002B1644">
        <w:rPr>
          <w:rFonts w:cs="Arial"/>
          <w:lang w:eastAsia="en-GB"/>
        </w:rPr>
        <w:t>Termination benefits are amounts payable as a result of a decision by the Authority to terminate an officer’s employment or an officer’s decision to take voluntary redundancy. They are charged on an accruals basis to the relevant service line of the Comprehensive Income and Expenditure Statement at the earlier of when the Authority can no longer withdraw the offer of those benefits or when the Authority recognises costs for a restructuring. Where the termination benefits involve the enhancement of pensions the General Reserve is charged with the amount payable by the Authority to the pension fund.  </w:t>
      </w:r>
    </w:p>
    <w:p w14:paraId="7D390DC2" w14:textId="77777777" w:rsidR="00400441" w:rsidRPr="002B1644" w:rsidRDefault="00400441" w:rsidP="00400441">
      <w:pPr>
        <w:ind w:left="420"/>
        <w:textAlignment w:val="baseline"/>
        <w:rPr>
          <w:rFonts w:ascii="Segoe UI" w:hAnsi="Segoe UI" w:cs="Segoe UI"/>
          <w:lang w:eastAsia="en-GB"/>
        </w:rPr>
      </w:pPr>
      <w:r w:rsidRPr="002B1644">
        <w:rPr>
          <w:rFonts w:cs="Arial"/>
          <w:lang w:eastAsia="en-GB"/>
        </w:rPr>
        <w:t> </w:t>
      </w:r>
    </w:p>
    <w:p w14:paraId="10D1C025" w14:textId="77777777" w:rsidR="00400441" w:rsidRPr="002B1644" w:rsidRDefault="00400441" w:rsidP="00400441">
      <w:pPr>
        <w:textAlignment w:val="baseline"/>
        <w:rPr>
          <w:rFonts w:ascii="Segoe UI" w:hAnsi="Segoe UI" w:cs="Segoe UI"/>
          <w:lang w:eastAsia="en-GB"/>
        </w:rPr>
      </w:pPr>
      <w:r w:rsidRPr="002B1644">
        <w:rPr>
          <w:rFonts w:cs="Arial"/>
          <w:b/>
          <w:bCs/>
          <w:lang w:eastAsia="en-GB"/>
        </w:rPr>
        <w:t>Employee Retirement Benefits</w:t>
      </w:r>
      <w:r w:rsidRPr="002B1644">
        <w:rPr>
          <w:rFonts w:cs="Arial"/>
          <w:lang w:eastAsia="en-GB"/>
        </w:rPr>
        <w:t> </w:t>
      </w:r>
    </w:p>
    <w:p w14:paraId="59C4F7DF" w14:textId="77777777" w:rsidR="00400441" w:rsidRPr="002B1644" w:rsidRDefault="00400441" w:rsidP="00400441">
      <w:pPr>
        <w:ind w:left="420"/>
        <w:textAlignment w:val="baseline"/>
        <w:rPr>
          <w:rFonts w:ascii="Segoe UI" w:hAnsi="Segoe UI" w:cs="Segoe UI"/>
          <w:lang w:eastAsia="en-GB"/>
        </w:rPr>
      </w:pPr>
      <w:r w:rsidRPr="002B1644">
        <w:rPr>
          <w:rFonts w:cs="Arial"/>
          <w:lang w:eastAsia="en-GB"/>
        </w:rPr>
        <w:t> </w:t>
      </w:r>
    </w:p>
    <w:p w14:paraId="74661B32" w14:textId="77777777" w:rsidR="00400441" w:rsidRPr="002B1644" w:rsidRDefault="00400441" w:rsidP="00400441">
      <w:pPr>
        <w:textAlignment w:val="baseline"/>
        <w:rPr>
          <w:rFonts w:ascii="Segoe UI" w:hAnsi="Segoe UI" w:cs="Segoe UI"/>
          <w:lang w:eastAsia="en-GB"/>
        </w:rPr>
      </w:pPr>
      <w:r w:rsidRPr="002B1644">
        <w:rPr>
          <w:rFonts w:cs="Arial"/>
          <w:lang w:eastAsia="en-GB"/>
        </w:rPr>
        <w:t>Many employees of the Authority are members of the Local Government Pension Scheme (LGPS), administered by Cumbria County Council. The scheme is a funded defined benefit scheme meaning that the scheme provides retirement lump sums and pensions, earned as employees work for the Authority. As a defined benefit scheme, this is shown within the Authority’s accounts according to the details set out in the notes to the accounts. </w:t>
      </w:r>
    </w:p>
    <w:p w14:paraId="0C2E50AB" w14:textId="77777777" w:rsidR="00400441" w:rsidRPr="002B1644" w:rsidRDefault="00400441" w:rsidP="00400441">
      <w:pPr>
        <w:ind w:left="420" w:right="-15"/>
        <w:textAlignment w:val="baseline"/>
        <w:rPr>
          <w:rFonts w:ascii="Segoe UI" w:hAnsi="Segoe UI" w:cs="Segoe UI"/>
          <w:lang w:eastAsia="en-GB"/>
        </w:rPr>
      </w:pPr>
      <w:r w:rsidRPr="002B1644">
        <w:rPr>
          <w:rFonts w:cs="Arial"/>
          <w:lang w:eastAsia="en-GB"/>
        </w:rPr>
        <w:t> </w:t>
      </w:r>
    </w:p>
    <w:p w14:paraId="67D95B34" w14:textId="77777777" w:rsidR="00400441" w:rsidRPr="002B1644" w:rsidRDefault="00400441" w:rsidP="00400441">
      <w:pPr>
        <w:textAlignment w:val="baseline"/>
        <w:rPr>
          <w:rFonts w:ascii="Segoe UI" w:hAnsi="Segoe UI" w:cs="Segoe UI"/>
          <w:lang w:eastAsia="en-GB"/>
        </w:rPr>
      </w:pPr>
      <w:r w:rsidRPr="002B1644">
        <w:rPr>
          <w:rFonts w:cs="Arial"/>
          <w:lang w:eastAsia="en-GB"/>
        </w:rPr>
        <w:t>Statutory provisions allow the Authority to charge amounts paid to the pension fund in the year to the General Reserve. This therefore means that within the Movement in Reserves Statement, there are appropriations to and from the Pensions Reserve to remove the notional transactions for retirement benefits and replace them with debits for the amounts paid to the pension fund in the year and any amounts payable but unpaid at the year end. Full details of the LGPS fund are available from its website. </w:t>
      </w:r>
    </w:p>
    <w:p w14:paraId="188CC4BE" w14:textId="77777777" w:rsidR="00400441" w:rsidRPr="002B1644" w:rsidRDefault="00400441" w:rsidP="00400441">
      <w:pPr>
        <w:ind w:right="-15"/>
        <w:textAlignment w:val="baseline"/>
        <w:rPr>
          <w:rFonts w:ascii="Segoe UI" w:hAnsi="Segoe UI" w:cs="Segoe UI"/>
          <w:lang w:eastAsia="en-GB"/>
        </w:rPr>
      </w:pPr>
      <w:r w:rsidRPr="002B1644">
        <w:rPr>
          <w:rFonts w:cs="Arial"/>
          <w:lang w:eastAsia="en-GB"/>
        </w:rPr>
        <w:t> </w:t>
      </w:r>
    </w:p>
    <w:p w14:paraId="6B64613F" w14:textId="77777777" w:rsidR="00400441" w:rsidRPr="002B1644" w:rsidRDefault="00400441" w:rsidP="00400441">
      <w:pPr>
        <w:textAlignment w:val="baseline"/>
        <w:rPr>
          <w:rFonts w:ascii="Segoe UI" w:hAnsi="Segoe UI" w:cs="Segoe UI"/>
          <w:lang w:eastAsia="en-GB"/>
        </w:rPr>
      </w:pPr>
      <w:r w:rsidRPr="002B1644">
        <w:rPr>
          <w:rFonts w:cs="Arial"/>
          <w:b/>
          <w:bCs/>
          <w:lang w:eastAsia="en-GB"/>
        </w:rPr>
        <w:t>Employee Discretionary Benefits</w:t>
      </w:r>
      <w:r w:rsidRPr="002B1644">
        <w:rPr>
          <w:rFonts w:cs="Arial"/>
          <w:lang w:eastAsia="en-GB"/>
        </w:rPr>
        <w:t> </w:t>
      </w:r>
    </w:p>
    <w:p w14:paraId="04F39EE2" w14:textId="77777777" w:rsidR="00400441" w:rsidRPr="002B1644" w:rsidRDefault="00400441" w:rsidP="00400441">
      <w:pPr>
        <w:ind w:left="270" w:right="-15"/>
        <w:textAlignment w:val="baseline"/>
        <w:rPr>
          <w:rFonts w:ascii="Segoe UI" w:hAnsi="Segoe UI" w:cs="Segoe UI"/>
          <w:lang w:eastAsia="en-GB"/>
        </w:rPr>
      </w:pPr>
      <w:r w:rsidRPr="002B1644">
        <w:rPr>
          <w:rFonts w:cs="Arial"/>
          <w:lang w:eastAsia="en-GB"/>
        </w:rPr>
        <w:t> </w:t>
      </w:r>
    </w:p>
    <w:p w14:paraId="1122F449" w14:textId="77777777" w:rsidR="00400441" w:rsidRPr="002B1644" w:rsidRDefault="00400441" w:rsidP="00400441">
      <w:pPr>
        <w:textAlignment w:val="baseline"/>
        <w:rPr>
          <w:rFonts w:ascii="Segoe UI" w:hAnsi="Segoe UI" w:cs="Segoe UI"/>
          <w:lang w:eastAsia="en-GB"/>
        </w:rPr>
      </w:pPr>
      <w:r w:rsidRPr="002B1644">
        <w:rPr>
          <w:rFonts w:cs="Arial"/>
          <w:lang w:eastAsia="en-GB"/>
        </w:rPr>
        <w:t>The Authority also has restricted powers to make discretionary awards of retirement benefits in the event of early retirements. Any liabilities estimated to arise as a result of an award to any member of staff are accrued in the year of decision and accounted for using the same policies as are applied to the LGPS. </w:t>
      </w:r>
    </w:p>
    <w:p w14:paraId="05024022"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426300E3" w14:textId="77777777" w:rsidR="00400441" w:rsidRPr="002B1644" w:rsidRDefault="00400441" w:rsidP="00400441">
      <w:pPr>
        <w:textAlignment w:val="baseline"/>
        <w:rPr>
          <w:rFonts w:ascii="Segoe UI" w:hAnsi="Segoe UI" w:cs="Segoe UI"/>
          <w:lang w:eastAsia="en-GB"/>
        </w:rPr>
      </w:pPr>
      <w:r w:rsidRPr="002B1644">
        <w:rPr>
          <w:rFonts w:cs="Arial"/>
          <w:b/>
          <w:bCs/>
          <w:lang w:eastAsia="en-GB"/>
        </w:rPr>
        <w:t>Events after the Balance Sheet Date</w:t>
      </w:r>
      <w:r w:rsidRPr="002B1644">
        <w:rPr>
          <w:rFonts w:cs="Arial"/>
          <w:lang w:eastAsia="en-GB"/>
        </w:rPr>
        <w:t> </w:t>
      </w:r>
    </w:p>
    <w:p w14:paraId="6B25E891"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2857F64B" w14:textId="77777777" w:rsidR="00400441" w:rsidRDefault="00400441" w:rsidP="00400441">
      <w:pPr>
        <w:textAlignment w:val="baseline"/>
        <w:rPr>
          <w:rFonts w:cs="Arial"/>
          <w:lang w:eastAsia="en-GB"/>
        </w:rPr>
      </w:pPr>
      <w:r w:rsidRPr="002B1644">
        <w:rPr>
          <w:rFonts w:cs="Arial"/>
          <w:lang w:eastAsia="en-GB"/>
        </w:rPr>
        <w:t>Events after the Balance Sheet date are events that might have a bearing upon the financial results of the past year and the financial position presented in the Balance Sheet and that occur between the Balance Sheet date and the date the financial statements are authorised for issue. There are two types of post Balance Sheet event: </w:t>
      </w:r>
    </w:p>
    <w:p w14:paraId="12D88611" w14:textId="77777777" w:rsidR="003662C5" w:rsidRPr="002B1644" w:rsidRDefault="003662C5" w:rsidP="00400441">
      <w:pPr>
        <w:textAlignment w:val="baseline"/>
        <w:rPr>
          <w:rFonts w:ascii="Segoe UI" w:hAnsi="Segoe UI" w:cs="Segoe UI"/>
          <w:lang w:eastAsia="en-GB"/>
        </w:rPr>
      </w:pPr>
    </w:p>
    <w:p w14:paraId="51905936" w14:textId="77777777" w:rsidR="00400441" w:rsidRDefault="00400441" w:rsidP="00317745">
      <w:pPr>
        <w:numPr>
          <w:ilvl w:val="0"/>
          <w:numId w:val="43"/>
        </w:numPr>
        <w:ind w:left="870" w:firstLine="0"/>
        <w:textAlignment w:val="baseline"/>
        <w:rPr>
          <w:rFonts w:cs="Arial"/>
          <w:lang w:eastAsia="en-GB"/>
        </w:rPr>
      </w:pPr>
      <w:r w:rsidRPr="002B1644">
        <w:rPr>
          <w:rFonts w:cs="Arial"/>
          <w:lang w:eastAsia="en-GB"/>
        </w:rPr>
        <w:t>Those that provide evidence of conditions that existed at the Balance Sheet date. Where material, the financial statements and notes are amended to reflect the impact of these events. </w:t>
      </w:r>
    </w:p>
    <w:p w14:paraId="547D2B64" w14:textId="77777777" w:rsidR="003662C5" w:rsidRPr="002B1644" w:rsidRDefault="003662C5" w:rsidP="003662C5">
      <w:pPr>
        <w:ind w:left="870"/>
        <w:textAlignment w:val="baseline"/>
        <w:rPr>
          <w:rFonts w:cs="Arial"/>
          <w:lang w:eastAsia="en-GB"/>
        </w:rPr>
      </w:pPr>
    </w:p>
    <w:p w14:paraId="29BB4EC6" w14:textId="77777777" w:rsidR="00400441" w:rsidRPr="002B1644" w:rsidRDefault="00400441" w:rsidP="00317745">
      <w:pPr>
        <w:numPr>
          <w:ilvl w:val="0"/>
          <w:numId w:val="44"/>
        </w:numPr>
        <w:ind w:left="870" w:firstLine="0"/>
        <w:textAlignment w:val="baseline"/>
        <w:rPr>
          <w:rFonts w:cs="Arial"/>
          <w:lang w:eastAsia="en-GB"/>
        </w:rPr>
      </w:pPr>
      <w:r w:rsidRPr="002B1644">
        <w:rPr>
          <w:rFonts w:cs="Arial"/>
          <w:lang w:eastAsia="en-GB"/>
        </w:rPr>
        <w:t>Those that are indicative of conditions that arose after the Balance Sheet date. The financial statements and notes are not amended to reflect these events but additional explanatory notes may be added where the effect is material. </w:t>
      </w:r>
    </w:p>
    <w:p w14:paraId="11C9D9D3"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07B6299B" w14:textId="77777777" w:rsidR="00400441" w:rsidRPr="002B1644" w:rsidRDefault="00400441" w:rsidP="00400441">
      <w:pPr>
        <w:textAlignment w:val="baseline"/>
        <w:rPr>
          <w:rFonts w:ascii="Segoe UI" w:hAnsi="Segoe UI" w:cs="Segoe UI"/>
          <w:lang w:eastAsia="en-GB"/>
        </w:rPr>
      </w:pPr>
      <w:r w:rsidRPr="002B1644">
        <w:rPr>
          <w:rFonts w:cs="Arial"/>
          <w:lang w:eastAsia="en-GB"/>
        </w:rPr>
        <w:t>Events taking place after the date of authorisation for issue are not reflected in the financial statements. </w:t>
      </w:r>
    </w:p>
    <w:p w14:paraId="7266CA64" w14:textId="77777777" w:rsidR="00400441" w:rsidRPr="002B1644" w:rsidRDefault="00400441" w:rsidP="00400441">
      <w:pPr>
        <w:textAlignment w:val="baseline"/>
        <w:rPr>
          <w:rFonts w:ascii="Segoe UI" w:hAnsi="Segoe UI" w:cs="Segoe UI"/>
          <w:lang w:eastAsia="en-GB"/>
        </w:rPr>
      </w:pPr>
    </w:p>
    <w:p w14:paraId="04571E17" w14:textId="6540CCD3" w:rsidR="00400441" w:rsidRPr="002B1644" w:rsidRDefault="00400441" w:rsidP="00400441">
      <w:pPr>
        <w:textAlignment w:val="baseline"/>
        <w:rPr>
          <w:rFonts w:ascii="Segoe UI" w:hAnsi="Segoe UI" w:cs="Segoe UI"/>
          <w:lang w:eastAsia="en-GB"/>
        </w:rPr>
      </w:pPr>
      <w:r w:rsidRPr="002B1644">
        <w:rPr>
          <w:rFonts w:cs="Arial"/>
          <w:lang w:eastAsia="en-GB"/>
        </w:rPr>
        <w:t> </w:t>
      </w:r>
      <w:r w:rsidRPr="002B1644">
        <w:rPr>
          <w:rFonts w:cs="Arial"/>
          <w:b/>
          <w:bCs/>
          <w:lang w:eastAsia="en-GB"/>
        </w:rPr>
        <w:t>Financial Instruments</w:t>
      </w:r>
      <w:r w:rsidRPr="002B1644">
        <w:rPr>
          <w:rFonts w:cs="Arial"/>
          <w:lang w:eastAsia="en-GB"/>
        </w:rPr>
        <w:t> </w:t>
      </w:r>
    </w:p>
    <w:p w14:paraId="1D2A0AA3"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70E6BE1E" w14:textId="77777777" w:rsidR="00400441" w:rsidRPr="002B1644" w:rsidRDefault="00400441" w:rsidP="00400441">
      <w:pPr>
        <w:textAlignment w:val="baseline"/>
        <w:rPr>
          <w:rFonts w:ascii="Segoe UI" w:hAnsi="Segoe UI" w:cs="Segoe UI"/>
          <w:lang w:eastAsia="en-GB"/>
        </w:rPr>
      </w:pPr>
      <w:r w:rsidRPr="002B1644">
        <w:rPr>
          <w:rFonts w:cs="Arial"/>
          <w:lang w:eastAsia="en-GB"/>
        </w:rPr>
        <w:t>Financial instruments held by the Authority are all classed as either financial liabilities or financial assets under the Code. The following items meeting the definition are contained within the Authority’s Balance Sheet. </w:t>
      </w:r>
    </w:p>
    <w:p w14:paraId="5F1879DC" w14:textId="77777777" w:rsidR="00400441" w:rsidRPr="002B1644" w:rsidRDefault="00400441" w:rsidP="00400441">
      <w:pPr>
        <w:ind w:right="675"/>
        <w:textAlignment w:val="baseline"/>
        <w:rPr>
          <w:rFonts w:ascii="Segoe UI" w:hAnsi="Segoe UI" w:cs="Segoe UI"/>
          <w:lang w:eastAsia="en-GB"/>
        </w:rPr>
      </w:pPr>
      <w:r w:rsidRPr="002B1644">
        <w:rPr>
          <w:rFonts w:cs="Arial"/>
          <w:lang w:eastAsia="en-GB"/>
        </w:rPr>
        <w:lastRenderedPageBreak/>
        <w:t> </w:t>
      </w:r>
    </w:p>
    <w:p w14:paraId="4907DB97" w14:textId="77777777" w:rsidR="00400441" w:rsidRPr="002B1644" w:rsidRDefault="00400441" w:rsidP="003B03B9">
      <w:pPr>
        <w:ind w:right="675"/>
        <w:textAlignment w:val="baseline"/>
        <w:rPr>
          <w:rFonts w:ascii="Segoe UI" w:hAnsi="Segoe UI" w:cs="Segoe UI"/>
          <w:lang w:eastAsia="en-GB"/>
        </w:rPr>
      </w:pPr>
      <w:r w:rsidRPr="002B1644">
        <w:rPr>
          <w:rFonts w:cs="Arial"/>
          <w:b/>
          <w:bCs/>
          <w:lang w:eastAsia="en-GB"/>
        </w:rPr>
        <w:t>Financial Liabilities</w:t>
      </w:r>
      <w:r w:rsidRPr="002B1644">
        <w:rPr>
          <w:rFonts w:cs="Arial"/>
          <w:lang w:eastAsia="en-GB"/>
        </w:rPr>
        <w:t> </w:t>
      </w:r>
    </w:p>
    <w:p w14:paraId="4D80148F" w14:textId="77777777" w:rsidR="00400441" w:rsidRPr="002B1644" w:rsidRDefault="00400441" w:rsidP="00400441">
      <w:pPr>
        <w:ind w:left="284" w:right="675"/>
        <w:textAlignment w:val="baseline"/>
        <w:rPr>
          <w:rFonts w:ascii="Segoe UI" w:hAnsi="Segoe UI" w:cs="Segoe UI"/>
          <w:lang w:eastAsia="en-GB"/>
        </w:rPr>
      </w:pPr>
      <w:r w:rsidRPr="002B1644">
        <w:rPr>
          <w:rFonts w:cs="Arial"/>
          <w:lang w:eastAsia="en-GB"/>
        </w:rPr>
        <w:t> </w:t>
      </w:r>
    </w:p>
    <w:p w14:paraId="45A19095" w14:textId="77777777" w:rsidR="00400441" w:rsidRPr="002B1644" w:rsidRDefault="00400441" w:rsidP="003B03B9">
      <w:pPr>
        <w:ind w:right="675"/>
        <w:textAlignment w:val="baseline"/>
        <w:rPr>
          <w:rFonts w:ascii="Segoe UI" w:hAnsi="Segoe UI" w:cs="Segoe UI"/>
          <w:lang w:eastAsia="en-GB"/>
        </w:rPr>
      </w:pPr>
      <w:r w:rsidRPr="002B1644">
        <w:rPr>
          <w:rFonts w:cs="Arial"/>
          <w:lang w:eastAsia="en-GB"/>
        </w:rPr>
        <w:t xml:space="preserve">Financial liabilities are recognised on the Balance Sheet when the Authority becomes a party to the contractual provisions of a financial instrument and are initially measured at fair value and carried at their amortised cost. As the Authority is currently debt free it only has one type of financial liability and these relate to </w:t>
      </w:r>
      <w:r w:rsidRPr="002B1644">
        <w:rPr>
          <w:rFonts w:cs="Arial"/>
        </w:rPr>
        <w:t>creditors.</w:t>
      </w:r>
    </w:p>
    <w:p w14:paraId="62348DC7" w14:textId="77777777" w:rsidR="00400441" w:rsidRPr="002B1644" w:rsidRDefault="00400441" w:rsidP="003B03B9">
      <w:pPr>
        <w:ind w:right="675"/>
        <w:textAlignment w:val="baseline"/>
        <w:rPr>
          <w:rFonts w:ascii="Segoe UI" w:hAnsi="Segoe UI" w:cs="Segoe UI"/>
          <w:lang w:eastAsia="en-GB"/>
        </w:rPr>
      </w:pPr>
      <w:r w:rsidRPr="002B1644">
        <w:rPr>
          <w:rFonts w:cs="Arial"/>
          <w:lang w:eastAsia="en-GB"/>
        </w:rPr>
        <w:t> </w:t>
      </w:r>
    </w:p>
    <w:p w14:paraId="152FE97B" w14:textId="77777777" w:rsidR="00400441" w:rsidRPr="002B1644" w:rsidRDefault="00400441" w:rsidP="003B03B9">
      <w:pPr>
        <w:textAlignment w:val="baseline"/>
        <w:rPr>
          <w:rFonts w:ascii="Segoe UI" w:hAnsi="Segoe UI" w:cs="Segoe UI"/>
          <w:lang w:eastAsia="en-GB"/>
        </w:rPr>
      </w:pPr>
      <w:r w:rsidRPr="002B1644">
        <w:rPr>
          <w:rFonts w:cs="Arial"/>
          <w:lang w:eastAsia="en-GB"/>
        </w:rPr>
        <w:t>Creditors are recognised when a contractual arrangement is entered into between the Authority and a supplier to provide goods and services for an agreed price. The value of the creditors recognised in the Balance Sheet represents the current value of the outstanding liabilities of the Authority at 31 March as a proxy for amortised cost.  </w:t>
      </w:r>
    </w:p>
    <w:p w14:paraId="6A1CD385" w14:textId="77777777" w:rsidR="00400441" w:rsidRPr="002B1644" w:rsidRDefault="00400441" w:rsidP="003B03B9">
      <w:pPr>
        <w:textAlignment w:val="baseline"/>
        <w:rPr>
          <w:rFonts w:ascii="Segoe UI" w:hAnsi="Segoe UI" w:cs="Segoe UI"/>
          <w:lang w:eastAsia="en-GB"/>
        </w:rPr>
      </w:pPr>
      <w:r w:rsidRPr="002B1644">
        <w:rPr>
          <w:rFonts w:cs="Arial"/>
          <w:lang w:eastAsia="en-GB"/>
        </w:rPr>
        <w:t> </w:t>
      </w:r>
    </w:p>
    <w:p w14:paraId="6EEB8C3A" w14:textId="77777777" w:rsidR="00400441" w:rsidRPr="002B1644" w:rsidRDefault="00400441" w:rsidP="003B03B9">
      <w:pPr>
        <w:ind w:right="675"/>
        <w:textAlignment w:val="baseline"/>
        <w:rPr>
          <w:rFonts w:ascii="Segoe UI" w:hAnsi="Segoe UI" w:cs="Segoe UI"/>
          <w:lang w:eastAsia="en-GB"/>
        </w:rPr>
      </w:pPr>
      <w:r w:rsidRPr="002B1644">
        <w:rPr>
          <w:rFonts w:cs="Arial"/>
          <w:b/>
          <w:bCs/>
          <w:lang w:eastAsia="en-GB"/>
        </w:rPr>
        <w:t>Financial Assets</w:t>
      </w:r>
      <w:r w:rsidRPr="002B1644">
        <w:rPr>
          <w:rFonts w:cs="Arial"/>
          <w:lang w:eastAsia="en-GB"/>
        </w:rPr>
        <w:t> </w:t>
      </w:r>
    </w:p>
    <w:p w14:paraId="5D6F7106" w14:textId="77777777" w:rsidR="00400441" w:rsidRPr="002B1644" w:rsidRDefault="00400441" w:rsidP="003B03B9">
      <w:pPr>
        <w:ind w:right="675"/>
        <w:textAlignment w:val="baseline"/>
        <w:rPr>
          <w:rFonts w:ascii="Segoe UI" w:hAnsi="Segoe UI" w:cs="Segoe UI"/>
          <w:lang w:eastAsia="en-GB"/>
        </w:rPr>
      </w:pPr>
      <w:r w:rsidRPr="002B1644">
        <w:rPr>
          <w:rFonts w:cs="Arial"/>
          <w:lang w:eastAsia="en-GB"/>
        </w:rPr>
        <w:t> </w:t>
      </w:r>
    </w:p>
    <w:p w14:paraId="174FD903" w14:textId="77777777" w:rsidR="00400441" w:rsidRPr="002B1644" w:rsidRDefault="00400441" w:rsidP="003B03B9">
      <w:pPr>
        <w:textAlignment w:val="baseline"/>
        <w:rPr>
          <w:rFonts w:ascii="Segoe UI" w:hAnsi="Segoe UI" w:cs="Segoe UI"/>
          <w:lang w:eastAsia="en-GB"/>
        </w:rPr>
      </w:pPr>
      <w:r w:rsidRPr="002B1644">
        <w:rPr>
          <w:rFonts w:cs="Arial"/>
          <w:lang w:eastAsia="en-GB"/>
        </w:rPr>
        <w:t>Financial assets are classified based on a classification and measurement approach that reflects the business model for holding the financial assets and their cashflow characteristics. The authority holds two main types, those accounted for at Amortised Cost and those at Fair Value. </w:t>
      </w:r>
    </w:p>
    <w:p w14:paraId="6D44F5CB" w14:textId="77777777" w:rsidR="00400441" w:rsidRPr="002B1644" w:rsidRDefault="00400441" w:rsidP="00400441">
      <w:pPr>
        <w:ind w:left="284"/>
        <w:textAlignment w:val="baseline"/>
        <w:rPr>
          <w:rFonts w:ascii="Segoe UI" w:hAnsi="Segoe UI" w:cs="Segoe UI"/>
          <w:lang w:eastAsia="en-GB"/>
        </w:rPr>
      </w:pPr>
      <w:r w:rsidRPr="002B1644">
        <w:rPr>
          <w:rFonts w:cs="Arial"/>
          <w:lang w:eastAsia="en-GB"/>
        </w:rPr>
        <w:t> </w:t>
      </w:r>
    </w:p>
    <w:p w14:paraId="0996654F" w14:textId="77777777" w:rsidR="00400441" w:rsidRPr="002B1644" w:rsidRDefault="00400441" w:rsidP="003B03B9">
      <w:pPr>
        <w:textAlignment w:val="baseline"/>
        <w:rPr>
          <w:rFonts w:cs="Arial"/>
        </w:rPr>
      </w:pPr>
      <w:r w:rsidRPr="002B1644">
        <w:rPr>
          <w:rFonts w:cs="Arial"/>
          <w:b/>
          <w:bCs/>
        </w:rPr>
        <w:t>Amortised Cost</w:t>
      </w:r>
      <w:r w:rsidRPr="002B1644">
        <w:rPr>
          <w:rFonts w:cs="Arial"/>
        </w:rPr>
        <w:t> </w:t>
      </w:r>
    </w:p>
    <w:p w14:paraId="69B94537" w14:textId="77777777" w:rsidR="00400441" w:rsidRPr="002B1644" w:rsidRDefault="00400441" w:rsidP="003B03B9">
      <w:pPr>
        <w:tabs>
          <w:tab w:val="num" w:pos="720"/>
        </w:tabs>
        <w:textAlignment w:val="baseline"/>
        <w:rPr>
          <w:rFonts w:ascii="Segoe UI" w:hAnsi="Segoe UI" w:cs="Segoe UI"/>
          <w:lang w:eastAsia="en-GB"/>
        </w:rPr>
      </w:pPr>
      <w:r w:rsidRPr="002B1644">
        <w:rPr>
          <w:rFonts w:cs="Arial"/>
          <w:lang w:eastAsia="en-GB"/>
        </w:rPr>
        <w:t> </w:t>
      </w:r>
    </w:p>
    <w:p w14:paraId="03A12DB2" w14:textId="77777777" w:rsidR="00400441" w:rsidRPr="002B1644" w:rsidRDefault="00400441" w:rsidP="003B03B9">
      <w:pPr>
        <w:tabs>
          <w:tab w:val="num" w:pos="720"/>
        </w:tabs>
        <w:textAlignment w:val="baseline"/>
        <w:rPr>
          <w:rFonts w:ascii="Segoe UI" w:hAnsi="Segoe UI" w:cs="Segoe UI"/>
          <w:lang w:eastAsia="en-GB"/>
        </w:rPr>
      </w:pPr>
      <w:r w:rsidRPr="002B1644">
        <w:rPr>
          <w:rFonts w:cs="Arial"/>
          <w:lang w:eastAsia="en-GB"/>
        </w:rPr>
        <w:t>Where the Authority’s business model is to hold financial assets to collect contractual cash flows, it classifies these financial assets as measured at amortised cost. These assets are recognised on the Balance Sheet when the Authority becomes a party to the contractual provisions of a financial instrument and are initially measured at fair value. They are subsequently measured at their amortised cost. The Authority has two types of assets that meet this class of financial asset, being trade receivables and cash and bank deposits.  </w:t>
      </w:r>
    </w:p>
    <w:p w14:paraId="5962A98E" w14:textId="77777777" w:rsidR="00400441" w:rsidRPr="002B1644" w:rsidRDefault="00400441" w:rsidP="003B03B9">
      <w:pPr>
        <w:tabs>
          <w:tab w:val="num" w:pos="720"/>
        </w:tabs>
        <w:textAlignment w:val="baseline"/>
        <w:rPr>
          <w:rFonts w:ascii="Segoe UI" w:hAnsi="Segoe UI" w:cs="Segoe UI"/>
          <w:lang w:eastAsia="en-GB"/>
        </w:rPr>
      </w:pPr>
      <w:r w:rsidRPr="002B1644">
        <w:rPr>
          <w:rFonts w:cs="Arial"/>
          <w:lang w:eastAsia="en-GB"/>
        </w:rPr>
        <w:t> </w:t>
      </w:r>
    </w:p>
    <w:p w14:paraId="390F86A7" w14:textId="77777777" w:rsidR="00400441" w:rsidRPr="002B1644" w:rsidRDefault="00400441" w:rsidP="003B03B9">
      <w:pPr>
        <w:tabs>
          <w:tab w:val="num" w:pos="720"/>
        </w:tabs>
        <w:textAlignment w:val="baseline"/>
        <w:rPr>
          <w:rFonts w:ascii="Segoe UI" w:hAnsi="Segoe UI" w:cs="Segoe UI"/>
          <w:lang w:eastAsia="en-GB"/>
        </w:rPr>
      </w:pPr>
      <w:r w:rsidRPr="002B1644">
        <w:rPr>
          <w:rFonts w:cs="Arial"/>
          <w:lang w:eastAsia="en-GB"/>
        </w:rPr>
        <w:t>Trade receivables are recognised when a contractual arrangement is entered into between the Authority and a debtor for the provision of goods and services for an agreed sum. The value of debtors in the Balance Sheet represents the current value of the outstanding debts owed to the Authority at 31 March as a proxy for amortised cost. Impairment losses are calculated to reflect the expectation that the future cash flows might not take place because the borrower could default on their obligations. The Authority recognises expected credit losses on its trade receivables using the simplified approach to the lifetime credit loss model. Using this approach, expected lifetime credit losses on individual debts are calculated based on an assessed credit risk. Changes to the impairment loss allowance are charged to the Comprehensive Income and Expenditure Statement. </w:t>
      </w:r>
    </w:p>
    <w:p w14:paraId="23AD74E2" w14:textId="77777777" w:rsidR="00400441" w:rsidRPr="002B1644" w:rsidRDefault="00400441" w:rsidP="003B03B9">
      <w:pPr>
        <w:tabs>
          <w:tab w:val="num" w:pos="720"/>
        </w:tabs>
        <w:textAlignment w:val="baseline"/>
        <w:rPr>
          <w:rFonts w:ascii="Segoe UI" w:hAnsi="Segoe UI" w:cs="Segoe UI"/>
          <w:lang w:eastAsia="en-GB"/>
        </w:rPr>
      </w:pPr>
      <w:r w:rsidRPr="002B1644">
        <w:rPr>
          <w:rFonts w:cs="Arial"/>
          <w:lang w:eastAsia="en-GB"/>
        </w:rPr>
        <w:t> </w:t>
      </w:r>
    </w:p>
    <w:p w14:paraId="5069CF21" w14:textId="77777777" w:rsidR="00400441" w:rsidRPr="002B1644" w:rsidRDefault="00400441" w:rsidP="003B03B9">
      <w:pPr>
        <w:tabs>
          <w:tab w:val="num" w:pos="720"/>
        </w:tabs>
        <w:textAlignment w:val="baseline"/>
        <w:rPr>
          <w:rFonts w:ascii="Segoe UI" w:hAnsi="Segoe UI" w:cs="Segoe UI"/>
          <w:lang w:eastAsia="en-GB"/>
        </w:rPr>
      </w:pPr>
      <w:r w:rsidRPr="002B1644">
        <w:rPr>
          <w:rFonts w:cs="Arial"/>
          <w:lang w:eastAsia="en-GB"/>
        </w:rPr>
        <w:t>Cash and bank deposits are shown in the Balance Sheet at amortised cost using the effective interest rate of the individual investments. For all the investments that the Authority has made, this means that the amount shown in the Balance Sheet is the amount of principal due to be repaid to the Authority, and the interest credited to the Comprehensive Income and Expenditure Statement, is the amount receivable by the Authority under the terms of the agreement. Expected credit losses are assessed using the credit rating of the financial institution and the related product.  </w:t>
      </w:r>
    </w:p>
    <w:p w14:paraId="063BF457" w14:textId="77777777" w:rsidR="00400441" w:rsidRPr="002B1644" w:rsidRDefault="00400441" w:rsidP="00400441">
      <w:pPr>
        <w:tabs>
          <w:tab w:val="num" w:pos="720"/>
        </w:tabs>
        <w:ind w:left="284" w:right="675"/>
        <w:textAlignment w:val="baseline"/>
        <w:rPr>
          <w:rFonts w:ascii="Segoe UI" w:hAnsi="Segoe UI" w:cs="Segoe UI"/>
          <w:lang w:eastAsia="en-GB"/>
        </w:rPr>
      </w:pPr>
      <w:r w:rsidRPr="002B1644">
        <w:rPr>
          <w:rFonts w:cs="Arial"/>
          <w:lang w:eastAsia="en-GB"/>
        </w:rPr>
        <w:t> </w:t>
      </w:r>
    </w:p>
    <w:p w14:paraId="45196ECB" w14:textId="3BE3589C" w:rsidR="00400441" w:rsidRPr="002B1644" w:rsidRDefault="00400441" w:rsidP="003B03B9">
      <w:pPr>
        <w:textAlignment w:val="baseline"/>
        <w:rPr>
          <w:rFonts w:cs="Arial"/>
          <w:lang w:eastAsia="en-GB"/>
        </w:rPr>
      </w:pPr>
      <w:r w:rsidRPr="002B1644">
        <w:rPr>
          <w:rFonts w:cs="Arial"/>
          <w:b/>
          <w:bCs/>
          <w:lang w:eastAsia="en-GB"/>
        </w:rPr>
        <w:t>Fair Value through Other Comprehensive Income</w:t>
      </w:r>
      <w:r w:rsidRPr="002B1644">
        <w:rPr>
          <w:rFonts w:cs="Arial"/>
          <w:lang w:eastAsia="en-GB"/>
        </w:rPr>
        <w:t> </w:t>
      </w:r>
    </w:p>
    <w:p w14:paraId="7BBC3CA1" w14:textId="77777777" w:rsidR="00400441" w:rsidRPr="002B1644" w:rsidRDefault="00400441" w:rsidP="003B03B9">
      <w:pPr>
        <w:tabs>
          <w:tab w:val="num" w:pos="720"/>
        </w:tabs>
        <w:textAlignment w:val="baseline"/>
        <w:rPr>
          <w:rFonts w:ascii="Segoe UI" w:hAnsi="Segoe UI" w:cs="Segoe UI"/>
          <w:lang w:eastAsia="en-GB"/>
        </w:rPr>
      </w:pPr>
      <w:r w:rsidRPr="002B1644">
        <w:rPr>
          <w:rFonts w:cs="Arial"/>
          <w:lang w:eastAsia="en-GB"/>
        </w:rPr>
        <w:t> </w:t>
      </w:r>
    </w:p>
    <w:p w14:paraId="7F6EF95A" w14:textId="77777777" w:rsidR="00400441" w:rsidRPr="002B1644" w:rsidRDefault="00400441" w:rsidP="003B03B9">
      <w:pPr>
        <w:tabs>
          <w:tab w:val="num" w:pos="720"/>
        </w:tabs>
        <w:textAlignment w:val="baseline"/>
        <w:rPr>
          <w:rFonts w:ascii="Segoe UI" w:hAnsi="Segoe UI" w:cs="Segoe UI"/>
          <w:lang w:eastAsia="en-GB"/>
        </w:rPr>
      </w:pPr>
      <w:r w:rsidRPr="002B1644">
        <w:rPr>
          <w:rFonts w:cs="Arial"/>
          <w:lang w:eastAsia="en-GB"/>
        </w:rPr>
        <w:t>Changes in fair value are accumulated in the Financial Instruments Revaluation Reserve until the asset is derecognised, at which point the net gain or loss is transferred to the General Fund Balance. </w:t>
      </w:r>
    </w:p>
    <w:p w14:paraId="5F60DE1D" w14:textId="77777777" w:rsidR="00400441" w:rsidRDefault="00400441" w:rsidP="00400441">
      <w:pPr>
        <w:textAlignment w:val="baseline"/>
        <w:rPr>
          <w:rFonts w:cs="Arial"/>
          <w:lang w:eastAsia="en-GB"/>
        </w:rPr>
      </w:pPr>
      <w:r w:rsidRPr="002B1644">
        <w:rPr>
          <w:rFonts w:cs="Arial"/>
          <w:lang w:eastAsia="en-GB"/>
        </w:rPr>
        <w:t> </w:t>
      </w:r>
    </w:p>
    <w:p w14:paraId="4A15D032" w14:textId="77777777" w:rsidR="003D6751" w:rsidRDefault="003D6751" w:rsidP="00400441">
      <w:pPr>
        <w:textAlignment w:val="baseline"/>
        <w:rPr>
          <w:rFonts w:cs="Arial"/>
          <w:lang w:eastAsia="en-GB"/>
        </w:rPr>
      </w:pPr>
    </w:p>
    <w:p w14:paraId="6C39DFA5" w14:textId="77777777" w:rsidR="003D6751" w:rsidRPr="002B1644" w:rsidRDefault="003D6751" w:rsidP="00400441">
      <w:pPr>
        <w:textAlignment w:val="baseline"/>
        <w:rPr>
          <w:rFonts w:ascii="Segoe UI" w:hAnsi="Segoe UI" w:cs="Segoe UI"/>
          <w:lang w:eastAsia="en-GB"/>
        </w:rPr>
      </w:pPr>
    </w:p>
    <w:p w14:paraId="2235F872" w14:textId="77777777" w:rsidR="00400441" w:rsidRPr="002B1644" w:rsidRDefault="00400441" w:rsidP="00400441">
      <w:pPr>
        <w:ind w:right="675"/>
        <w:textAlignment w:val="baseline"/>
        <w:rPr>
          <w:rFonts w:ascii="Segoe UI" w:hAnsi="Segoe UI" w:cs="Segoe UI"/>
          <w:lang w:eastAsia="en-GB"/>
        </w:rPr>
      </w:pPr>
      <w:r w:rsidRPr="002B1644">
        <w:rPr>
          <w:rFonts w:cs="Arial"/>
          <w:b/>
          <w:bCs/>
          <w:lang w:eastAsia="en-GB"/>
        </w:rPr>
        <w:lastRenderedPageBreak/>
        <w:t>Government Grants and Contributions </w:t>
      </w:r>
      <w:r w:rsidRPr="002B1644">
        <w:rPr>
          <w:rFonts w:cs="Arial"/>
          <w:lang w:eastAsia="en-GB"/>
        </w:rPr>
        <w:t> </w:t>
      </w:r>
    </w:p>
    <w:p w14:paraId="0B88F533"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20335974" w14:textId="77777777" w:rsidR="00400441" w:rsidRPr="002B1644" w:rsidRDefault="00400441" w:rsidP="00400441">
      <w:pPr>
        <w:textAlignment w:val="baseline"/>
        <w:rPr>
          <w:rFonts w:ascii="Segoe UI" w:hAnsi="Segoe UI" w:cs="Segoe UI"/>
          <w:lang w:eastAsia="en-GB"/>
        </w:rPr>
      </w:pPr>
      <w:r w:rsidRPr="002B1644">
        <w:rPr>
          <w:rFonts w:cs="Arial"/>
          <w:lang w:eastAsia="en-GB"/>
        </w:rPr>
        <w:t>Revenue grants are recognised as income at the date that there is reasonable assurance that the grant conditions will be met and that the grant will be paid by the funding body. Conditions are stipulations that specify that the grant must be returned to the funder if not used as specified. Grants where conditions have not been met are carried in the Balance Sheet as creditors until conditions are satisfied, at which point they are credited to the relevant service line in the Comprehensive Income and Expenditure Statement. Grants and contributions used to finance the acquisition of a non-current asset are initially credited to Capital Receipts in Advance and then recognised in the Comprehensive Income and Expenditure Statement when any conditions are met. These grants are reversed out of the General Reserve to the Capital Grants Unapplied Account until the capital expenditure is incurred, in which case they are transferred to the Capital Adjustment Account through the Movement in Reserves Statement. </w:t>
      </w:r>
    </w:p>
    <w:p w14:paraId="0940A702" w14:textId="3A6D9914" w:rsidR="00400441" w:rsidRPr="002B1644" w:rsidRDefault="00400441" w:rsidP="00400441">
      <w:pPr>
        <w:textAlignment w:val="baseline"/>
        <w:rPr>
          <w:rFonts w:ascii="Segoe UI" w:hAnsi="Segoe UI" w:cs="Segoe UI"/>
          <w:lang w:eastAsia="en-GB"/>
        </w:rPr>
      </w:pPr>
      <w:r w:rsidRPr="002B1644">
        <w:rPr>
          <w:rFonts w:cs="Arial"/>
          <w:lang w:eastAsia="en-GB"/>
        </w:rPr>
        <w:t>  </w:t>
      </w:r>
    </w:p>
    <w:p w14:paraId="1053A1EA" w14:textId="77777777" w:rsidR="00400441" w:rsidRPr="002B1644" w:rsidRDefault="00400441" w:rsidP="00400441">
      <w:pPr>
        <w:textAlignment w:val="baseline"/>
        <w:rPr>
          <w:rFonts w:ascii="Segoe UI" w:hAnsi="Segoe UI" w:cs="Segoe UI"/>
          <w:lang w:eastAsia="en-GB"/>
        </w:rPr>
      </w:pPr>
      <w:r w:rsidRPr="002B1644">
        <w:rPr>
          <w:rFonts w:cs="Arial"/>
          <w:b/>
          <w:bCs/>
          <w:lang w:eastAsia="en-GB"/>
        </w:rPr>
        <w:t>Inventories, Work in Progress and Long-Term Contracts</w:t>
      </w:r>
      <w:r w:rsidRPr="002B1644">
        <w:rPr>
          <w:rFonts w:cs="Arial"/>
          <w:lang w:eastAsia="en-GB"/>
        </w:rPr>
        <w:t> </w:t>
      </w:r>
    </w:p>
    <w:p w14:paraId="73774B99"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429C1243" w14:textId="77777777" w:rsidR="00400441" w:rsidRPr="002B1644" w:rsidRDefault="00400441" w:rsidP="00400441">
      <w:pPr>
        <w:ind w:right="-15"/>
        <w:textAlignment w:val="baseline"/>
        <w:rPr>
          <w:rFonts w:ascii="Segoe UI" w:hAnsi="Segoe UI" w:cs="Segoe UI"/>
          <w:lang w:eastAsia="en-GB"/>
        </w:rPr>
      </w:pPr>
      <w:r w:rsidRPr="002B1644">
        <w:rPr>
          <w:rFonts w:cs="Arial"/>
          <w:lang w:eastAsia="en-GB"/>
        </w:rPr>
        <w:t>Inventories held for resale at the Lake District Visitor Centre and the Information Centres and at the Authority’s depots for repairs and maintenance are reflected in the Balance Sheet at the lower of cost or net realisable value. </w:t>
      </w:r>
    </w:p>
    <w:p w14:paraId="78755A8B"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491F8E44" w14:textId="77777777" w:rsidR="00400441" w:rsidRPr="002B1644" w:rsidRDefault="00400441" w:rsidP="00400441">
      <w:pPr>
        <w:textAlignment w:val="baseline"/>
        <w:rPr>
          <w:rFonts w:ascii="Segoe UI" w:hAnsi="Segoe UI" w:cs="Segoe UI"/>
          <w:lang w:eastAsia="en-GB"/>
        </w:rPr>
      </w:pPr>
      <w:r w:rsidRPr="002B1644">
        <w:rPr>
          <w:rFonts w:cs="Arial"/>
          <w:lang w:eastAsia="en-GB"/>
        </w:rPr>
        <w:t>Work in progress is valued at cost in the Balance Sheet. </w:t>
      </w:r>
    </w:p>
    <w:p w14:paraId="5AA1A5A3" w14:textId="77777777" w:rsidR="00400441" w:rsidRPr="002B1644" w:rsidRDefault="00400441" w:rsidP="00400441">
      <w:pPr>
        <w:ind w:right="-15"/>
        <w:textAlignment w:val="baseline"/>
        <w:rPr>
          <w:rFonts w:ascii="Segoe UI" w:hAnsi="Segoe UI" w:cs="Segoe UI"/>
          <w:lang w:eastAsia="en-GB"/>
        </w:rPr>
      </w:pPr>
      <w:r w:rsidRPr="002B1644">
        <w:rPr>
          <w:rFonts w:cs="Arial"/>
          <w:lang w:eastAsia="en-GB"/>
        </w:rPr>
        <w:t> </w:t>
      </w:r>
    </w:p>
    <w:p w14:paraId="065C3D61" w14:textId="77777777" w:rsidR="00400441" w:rsidRPr="002B1644" w:rsidRDefault="00400441" w:rsidP="00400441">
      <w:pPr>
        <w:ind w:right="-15"/>
        <w:textAlignment w:val="baseline"/>
        <w:rPr>
          <w:rFonts w:ascii="Segoe UI" w:hAnsi="Segoe UI" w:cs="Segoe UI"/>
          <w:lang w:eastAsia="en-GB"/>
        </w:rPr>
      </w:pPr>
      <w:r w:rsidRPr="002B1644">
        <w:rPr>
          <w:rFonts w:cs="Arial"/>
          <w:lang w:eastAsia="en-GB"/>
        </w:rPr>
        <w:t>Long term contracts are accounted for on the basis of charging the Surplus or Deficit on the Provision of Services with the value of works and services received under the contract during the year.  </w:t>
      </w:r>
    </w:p>
    <w:p w14:paraId="1BAB5994"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1798441B" w14:textId="77777777" w:rsidR="00400441" w:rsidRPr="002B1644" w:rsidRDefault="00400441" w:rsidP="00400441">
      <w:pPr>
        <w:textAlignment w:val="baseline"/>
        <w:rPr>
          <w:rFonts w:ascii="Segoe UI" w:hAnsi="Segoe UI" w:cs="Segoe UI"/>
          <w:lang w:eastAsia="en-GB"/>
        </w:rPr>
      </w:pPr>
      <w:r w:rsidRPr="002B1644">
        <w:rPr>
          <w:rFonts w:cs="Arial"/>
          <w:b/>
          <w:bCs/>
          <w:lang w:eastAsia="en-GB"/>
        </w:rPr>
        <w:t>Investment Property</w:t>
      </w:r>
      <w:r w:rsidRPr="002B1644">
        <w:rPr>
          <w:rFonts w:cs="Arial"/>
          <w:lang w:eastAsia="en-GB"/>
        </w:rPr>
        <w:t> </w:t>
      </w:r>
    </w:p>
    <w:p w14:paraId="47798245"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1B876F54" w14:textId="77777777" w:rsidR="00400441" w:rsidRPr="002B1644" w:rsidRDefault="00400441" w:rsidP="00400441">
      <w:pPr>
        <w:textAlignment w:val="baseline"/>
        <w:rPr>
          <w:rFonts w:ascii="Segoe UI" w:hAnsi="Segoe UI" w:cs="Segoe UI"/>
          <w:lang w:eastAsia="en-GB"/>
        </w:rPr>
      </w:pPr>
      <w:r w:rsidRPr="002B1644">
        <w:rPr>
          <w:rFonts w:cs="Arial"/>
          <w:lang w:eastAsia="en-GB"/>
        </w:rPr>
        <w:t>Investment properties are defined as those held solely to earn rentals or for capital appreciation or both. Investment property is measured initially at cost and subsequently at fair value based on the amount at which the asset could be exchanged between knowledgeable parties at arm’s length. As a non-financial asset, investment properties are measured at highest and best use. Properties are revalued annually according to market conditions at year end.  </w:t>
      </w:r>
    </w:p>
    <w:p w14:paraId="35C6B053" w14:textId="77777777" w:rsidR="00400441" w:rsidRPr="002B1644" w:rsidRDefault="00400441" w:rsidP="00400441">
      <w:pPr>
        <w:ind w:left="720"/>
        <w:textAlignment w:val="baseline"/>
        <w:rPr>
          <w:rFonts w:ascii="Segoe UI" w:hAnsi="Segoe UI" w:cs="Segoe UI"/>
          <w:lang w:eastAsia="en-GB"/>
        </w:rPr>
      </w:pPr>
      <w:r w:rsidRPr="002B1644">
        <w:rPr>
          <w:rFonts w:cs="Arial"/>
          <w:lang w:eastAsia="en-GB"/>
        </w:rPr>
        <w:t> </w:t>
      </w:r>
    </w:p>
    <w:p w14:paraId="22672C95" w14:textId="77777777" w:rsidR="00400441" w:rsidRPr="002B1644" w:rsidRDefault="00400441" w:rsidP="00400441">
      <w:pPr>
        <w:textAlignment w:val="baseline"/>
        <w:rPr>
          <w:rFonts w:ascii="Segoe UI" w:hAnsi="Segoe UI" w:cs="Segoe UI"/>
          <w:lang w:eastAsia="en-GB"/>
        </w:rPr>
      </w:pPr>
      <w:r w:rsidRPr="002B1644">
        <w:rPr>
          <w:rFonts w:cs="Arial"/>
          <w:b/>
          <w:bCs/>
          <w:lang w:eastAsia="en-GB"/>
        </w:rPr>
        <w:t>Leases</w:t>
      </w:r>
      <w:r w:rsidRPr="002B1644">
        <w:rPr>
          <w:rFonts w:cs="Arial"/>
          <w:lang w:eastAsia="en-GB"/>
        </w:rPr>
        <w:t> </w:t>
      </w:r>
    </w:p>
    <w:p w14:paraId="6B260E18"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2DF790E0" w14:textId="77777777" w:rsidR="00400441" w:rsidRPr="002B1644" w:rsidRDefault="00400441" w:rsidP="00400441">
      <w:pPr>
        <w:textAlignment w:val="baseline"/>
        <w:rPr>
          <w:rFonts w:ascii="Segoe UI" w:hAnsi="Segoe UI" w:cs="Segoe UI"/>
          <w:lang w:eastAsia="en-GB"/>
        </w:rPr>
      </w:pPr>
      <w:r w:rsidRPr="002B1644">
        <w:rPr>
          <w:rFonts w:cs="Arial"/>
          <w:lang w:eastAsia="en-GB"/>
        </w:rPr>
        <w:t>The Authority accounts for leases as finance leases when substantially all the risks and rewards relating to the leased asset transfer from the lessor to the lessee. Where a lease covers both land and buildings, the land and buildings elements are considered separately for classification. Leases that do not meet the definition of finance leases are accounted for as operating leases. </w:t>
      </w:r>
    </w:p>
    <w:p w14:paraId="2B3F01C2" w14:textId="79FC3BBF" w:rsidR="00400441" w:rsidRPr="002B1644" w:rsidRDefault="00400441" w:rsidP="00400441">
      <w:pPr>
        <w:textAlignment w:val="baseline"/>
        <w:rPr>
          <w:rFonts w:ascii="Segoe UI" w:hAnsi="Segoe UI" w:cs="Segoe UI"/>
          <w:lang w:eastAsia="en-GB"/>
        </w:rPr>
      </w:pPr>
      <w:r w:rsidRPr="002B1644">
        <w:rPr>
          <w:rFonts w:cs="Arial"/>
          <w:lang w:eastAsia="en-GB"/>
        </w:rPr>
        <w:t>  </w:t>
      </w:r>
    </w:p>
    <w:p w14:paraId="2B3338AF" w14:textId="6382EB1E" w:rsidR="00400441" w:rsidRPr="002B1644" w:rsidRDefault="003662C5" w:rsidP="000820C9">
      <w:pPr>
        <w:ind w:left="284"/>
        <w:textAlignment w:val="baseline"/>
        <w:rPr>
          <w:rFonts w:cs="Arial"/>
          <w:lang w:eastAsia="en-GB"/>
        </w:rPr>
      </w:pPr>
      <w:r>
        <w:rPr>
          <w:rFonts w:cs="Arial"/>
          <w:b/>
          <w:bCs/>
          <w:lang w:eastAsia="en-GB"/>
        </w:rPr>
        <w:t xml:space="preserve">1. </w:t>
      </w:r>
      <w:r w:rsidR="00400441" w:rsidRPr="002B1644">
        <w:rPr>
          <w:rFonts w:cs="Arial"/>
          <w:b/>
          <w:bCs/>
          <w:lang w:eastAsia="en-GB"/>
        </w:rPr>
        <w:t>Authority as Lessee</w:t>
      </w:r>
      <w:r w:rsidR="00400441" w:rsidRPr="002B1644">
        <w:rPr>
          <w:rFonts w:cs="Arial"/>
          <w:lang w:eastAsia="en-GB"/>
        </w:rPr>
        <w:t> </w:t>
      </w:r>
    </w:p>
    <w:p w14:paraId="671256CE" w14:textId="77777777" w:rsidR="00400441" w:rsidRPr="002B1644" w:rsidRDefault="00400441" w:rsidP="000820C9">
      <w:pPr>
        <w:ind w:left="284" w:right="-15"/>
        <w:textAlignment w:val="baseline"/>
        <w:rPr>
          <w:rFonts w:ascii="Segoe UI" w:hAnsi="Segoe UI" w:cs="Segoe UI"/>
          <w:lang w:eastAsia="en-GB"/>
        </w:rPr>
      </w:pPr>
      <w:r w:rsidRPr="002B1644">
        <w:rPr>
          <w:rFonts w:cs="Arial"/>
          <w:lang w:eastAsia="en-GB"/>
        </w:rPr>
        <w:t> </w:t>
      </w:r>
    </w:p>
    <w:p w14:paraId="459916BF" w14:textId="77777777" w:rsidR="00400441" w:rsidRPr="002B1644" w:rsidRDefault="00400441" w:rsidP="000820C9">
      <w:pPr>
        <w:ind w:left="284" w:right="-15"/>
        <w:textAlignment w:val="baseline"/>
        <w:rPr>
          <w:rFonts w:ascii="Segoe UI" w:hAnsi="Segoe UI" w:cs="Segoe UI"/>
          <w:lang w:eastAsia="en-GB"/>
        </w:rPr>
      </w:pPr>
      <w:r w:rsidRPr="002B1644">
        <w:rPr>
          <w:rFonts w:cs="Arial"/>
          <w:lang w:eastAsia="en-GB"/>
        </w:rPr>
        <w:t>Lease payments relating to finance leases are apportioned between a charge for the acquisition of the interest in the asset, which is recognised as a liability in the Balance Sheet at the start of the lease and written down as the rent becomes payable, and a finance charge - debited to the Comprehensive Income and Expenditure Statement as the rent becomes payable. Non-current assets recognised under finance leases are accounted for using the policies applied generally to Property, Plant and Equipment assets. </w:t>
      </w:r>
    </w:p>
    <w:p w14:paraId="1D0A652C" w14:textId="77777777" w:rsidR="00400441" w:rsidRPr="002B1644" w:rsidRDefault="00400441" w:rsidP="000820C9">
      <w:pPr>
        <w:ind w:left="284" w:right="-15"/>
        <w:textAlignment w:val="baseline"/>
        <w:rPr>
          <w:rFonts w:ascii="Segoe UI" w:hAnsi="Segoe UI" w:cs="Segoe UI"/>
          <w:lang w:eastAsia="en-GB"/>
        </w:rPr>
      </w:pPr>
      <w:r w:rsidRPr="002B1644">
        <w:rPr>
          <w:rFonts w:cs="Arial"/>
          <w:lang w:eastAsia="en-GB"/>
        </w:rPr>
        <w:t> </w:t>
      </w:r>
    </w:p>
    <w:p w14:paraId="32D7FCE9" w14:textId="77777777" w:rsidR="00400441" w:rsidRPr="002B1644" w:rsidRDefault="00400441" w:rsidP="000820C9">
      <w:pPr>
        <w:ind w:left="284" w:right="-15"/>
        <w:textAlignment w:val="baseline"/>
        <w:rPr>
          <w:rFonts w:ascii="Segoe UI" w:hAnsi="Segoe UI" w:cs="Segoe UI"/>
          <w:lang w:eastAsia="en-GB"/>
        </w:rPr>
      </w:pPr>
      <w:r w:rsidRPr="002B1644">
        <w:rPr>
          <w:rFonts w:cs="Arial"/>
          <w:lang w:eastAsia="en-GB"/>
        </w:rPr>
        <w:t>Lease payments for operating leases are charged to the Comprehensive Income and Expenditure Statement as an expense to the service benefitting from the use of the leased asset. Charges are made on a straight-line basis over the life of the lease. </w:t>
      </w:r>
    </w:p>
    <w:p w14:paraId="230E4BC4" w14:textId="77777777" w:rsidR="00400441" w:rsidRDefault="00400441" w:rsidP="000820C9">
      <w:pPr>
        <w:ind w:left="284" w:right="-15"/>
        <w:textAlignment w:val="baseline"/>
        <w:rPr>
          <w:rFonts w:cs="Arial"/>
          <w:lang w:eastAsia="en-GB"/>
        </w:rPr>
      </w:pPr>
      <w:r w:rsidRPr="002B1644">
        <w:rPr>
          <w:rFonts w:cs="Arial"/>
          <w:lang w:eastAsia="en-GB"/>
        </w:rPr>
        <w:t> </w:t>
      </w:r>
    </w:p>
    <w:p w14:paraId="238A7C3B" w14:textId="77777777" w:rsidR="003D6751" w:rsidRDefault="003D6751" w:rsidP="000820C9">
      <w:pPr>
        <w:ind w:left="284" w:right="-15"/>
        <w:textAlignment w:val="baseline"/>
        <w:rPr>
          <w:rFonts w:cs="Arial"/>
          <w:lang w:eastAsia="en-GB"/>
        </w:rPr>
      </w:pPr>
    </w:p>
    <w:p w14:paraId="4FD459A7" w14:textId="77777777" w:rsidR="003D6751" w:rsidRDefault="003D6751" w:rsidP="000820C9">
      <w:pPr>
        <w:ind w:left="284" w:right="-15"/>
        <w:textAlignment w:val="baseline"/>
        <w:rPr>
          <w:rFonts w:cs="Arial"/>
          <w:lang w:eastAsia="en-GB"/>
        </w:rPr>
      </w:pPr>
    </w:p>
    <w:p w14:paraId="767D5EDD" w14:textId="6CC0E999" w:rsidR="00400441" w:rsidRPr="002B1644" w:rsidRDefault="003662C5" w:rsidP="000820C9">
      <w:pPr>
        <w:ind w:left="284"/>
        <w:textAlignment w:val="baseline"/>
        <w:rPr>
          <w:rFonts w:cs="Arial"/>
          <w:lang w:eastAsia="en-GB"/>
        </w:rPr>
      </w:pPr>
      <w:r>
        <w:rPr>
          <w:rFonts w:cs="Arial"/>
          <w:b/>
          <w:bCs/>
          <w:lang w:eastAsia="en-GB"/>
        </w:rPr>
        <w:lastRenderedPageBreak/>
        <w:t xml:space="preserve">2. </w:t>
      </w:r>
      <w:r w:rsidR="00400441" w:rsidRPr="002B1644">
        <w:rPr>
          <w:rFonts w:cs="Arial"/>
          <w:b/>
          <w:bCs/>
          <w:lang w:eastAsia="en-GB"/>
        </w:rPr>
        <w:t>Authority as Lessor</w:t>
      </w:r>
      <w:r w:rsidR="00400441" w:rsidRPr="002B1644">
        <w:rPr>
          <w:rFonts w:cs="Arial"/>
          <w:lang w:eastAsia="en-GB"/>
        </w:rPr>
        <w:t> </w:t>
      </w:r>
    </w:p>
    <w:p w14:paraId="42AD3B1F" w14:textId="77777777" w:rsidR="00400441" w:rsidRPr="002B1644" w:rsidRDefault="00400441" w:rsidP="000820C9">
      <w:pPr>
        <w:ind w:left="284" w:right="-15"/>
        <w:textAlignment w:val="baseline"/>
        <w:rPr>
          <w:rFonts w:ascii="Segoe UI" w:hAnsi="Segoe UI" w:cs="Segoe UI"/>
          <w:lang w:eastAsia="en-GB"/>
        </w:rPr>
      </w:pPr>
      <w:r w:rsidRPr="002B1644">
        <w:rPr>
          <w:rFonts w:cs="Arial"/>
          <w:lang w:eastAsia="en-GB"/>
        </w:rPr>
        <w:t> </w:t>
      </w:r>
    </w:p>
    <w:p w14:paraId="0AC1F167" w14:textId="77777777" w:rsidR="00400441" w:rsidRPr="002B1644" w:rsidRDefault="00400441" w:rsidP="000820C9">
      <w:pPr>
        <w:ind w:left="284" w:right="-15"/>
        <w:textAlignment w:val="baseline"/>
        <w:rPr>
          <w:rFonts w:ascii="Segoe UI" w:hAnsi="Segoe UI" w:cs="Segoe UI"/>
          <w:lang w:eastAsia="en-GB"/>
        </w:rPr>
      </w:pPr>
      <w:r w:rsidRPr="002B1644">
        <w:rPr>
          <w:rFonts w:cs="Arial"/>
          <w:lang w:eastAsia="en-GB"/>
        </w:rPr>
        <w:t>The Authority acts in the capacity of lessor for the lease of land and property it owns. Lease payments receivable under finance leases are apportioned between a charge for the acquisition of the interest in the property, applied to write down the lease debtor and finance income which is credited to the Comprehensive Income and Expenditure Statement. In addition, for new finance leases, a charge will be made to the General Fund Balance and a credit made to the Capital Receipts Reserve to the value of the non-interest element. </w:t>
      </w:r>
    </w:p>
    <w:p w14:paraId="4D56A76D" w14:textId="77777777" w:rsidR="00400441" w:rsidRPr="002B1644" w:rsidRDefault="00400441" w:rsidP="00400441">
      <w:pPr>
        <w:ind w:left="284" w:right="-15"/>
        <w:textAlignment w:val="baseline"/>
        <w:rPr>
          <w:rFonts w:ascii="Segoe UI" w:hAnsi="Segoe UI" w:cs="Segoe UI"/>
          <w:lang w:eastAsia="en-GB"/>
        </w:rPr>
      </w:pPr>
      <w:r w:rsidRPr="002B1644">
        <w:rPr>
          <w:rFonts w:cs="Arial"/>
          <w:lang w:eastAsia="en-GB"/>
        </w:rPr>
        <w:t> </w:t>
      </w:r>
    </w:p>
    <w:p w14:paraId="1061E47B" w14:textId="77777777" w:rsidR="00400441" w:rsidRPr="002B1644" w:rsidRDefault="00400441" w:rsidP="003B03B9">
      <w:pPr>
        <w:ind w:right="-15"/>
        <w:textAlignment w:val="baseline"/>
        <w:rPr>
          <w:rFonts w:ascii="Segoe UI" w:hAnsi="Segoe UI" w:cs="Segoe UI"/>
          <w:lang w:eastAsia="en-GB"/>
        </w:rPr>
      </w:pPr>
      <w:r w:rsidRPr="002B1644">
        <w:rPr>
          <w:rFonts w:cs="Arial"/>
          <w:lang w:eastAsia="en-GB"/>
        </w:rPr>
        <w:t>Lease payments due under operating leases are accounted for on an accruals basis in the Comprehensive Income and Expenditure Statement as they become due. Where the Authority acts as lessor, land and property leased under operating leases are held as a non-current asset within the Balance Sheet and valued in accordance with the measurement bases set out in the policy on Property, Plant and Equipment. </w:t>
      </w:r>
    </w:p>
    <w:p w14:paraId="1686FB08" w14:textId="77777777" w:rsidR="00400441" w:rsidRPr="002B1644" w:rsidRDefault="00400441" w:rsidP="00400441">
      <w:pPr>
        <w:ind w:left="705" w:right="-15"/>
        <w:textAlignment w:val="baseline"/>
        <w:rPr>
          <w:rFonts w:ascii="Segoe UI" w:hAnsi="Segoe UI" w:cs="Segoe UI"/>
          <w:lang w:eastAsia="en-GB"/>
        </w:rPr>
      </w:pPr>
      <w:r w:rsidRPr="002B1644">
        <w:rPr>
          <w:rFonts w:cs="Arial"/>
          <w:lang w:eastAsia="en-GB"/>
        </w:rPr>
        <w:t> </w:t>
      </w:r>
    </w:p>
    <w:p w14:paraId="53592C29" w14:textId="77777777" w:rsidR="00400441" w:rsidRPr="002B1644" w:rsidRDefault="00400441" w:rsidP="00400441">
      <w:pPr>
        <w:textAlignment w:val="baseline"/>
        <w:rPr>
          <w:rFonts w:ascii="Segoe UI" w:hAnsi="Segoe UI" w:cs="Segoe UI"/>
          <w:lang w:eastAsia="en-GB"/>
        </w:rPr>
      </w:pPr>
      <w:r w:rsidRPr="002B1644">
        <w:rPr>
          <w:rFonts w:cs="Arial"/>
          <w:b/>
          <w:bCs/>
          <w:lang w:eastAsia="en-GB"/>
        </w:rPr>
        <w:t>Overheads and Support Services</w:t>
      </w:r>
      <w:r w:rsidRPr="002B1644">
        <w:rPr>
          <w:rFonts w:cs="Arial"/>
          <w:lang w:eastAsia="en-GB"/>
        </w:rPr>
        <w:t> </w:t>
      </w:r>
    </w:p>
    <w:p w14:paraId="1EFFFAF6" w14:textId="77777777" w:rsidR="00400441" w:rsidRPr="002B1644" w:rsidRDefault="00400441" w:rsidP="00400441">
      <w:pPr>
        <w:ind w:firstLine="720"/>
        <w:textAlignment w:val="baseline"/>
        <w:rPr>
          <w:rFonts w:ascii="Segoe UI" w:hAnsi="Segoe UI" w:cs="Segoe UI"/>
          <w:lang w:eastAsia="en-GB"/>
        </w:rPr>
      </w:pPr>
      <w:r w:rsidRPr="002B1644">
        <w:rPr>
          <w:rFonts w:cs="Arial"/>
          <w:lang w:eastAsia="en-GB"/>
        </w:rPr>
        <w:t> </w:t>
      </w:r>
    </w:p>
    <w:p w14:paraId="5D4B6F94" w14:textId="77777777" w:rsidR="00400441" w:rsidRPr="002B1644" w:rsidRDefault="00400441" w:rsidP="00400441">
      <w:pPr>
        <w:textAlignment w:val="baseline"/>
        <w:rPr>
          <w:rFonts w:ascii="Segoe UI" w:hAnsi="Segoe UI" w:cs="Segoe UI"/>
          <w:lang w:eastAsia="en-GB"/>
        </w:rPr>
      </w:pPr>
      <w:r w:rsidRPr="002B1644">
        <w:rPr>
          <w:rFonts w:cs="Arial"/>
          <w:lang w:eastAsia="en-GB"/>
        </w:rPr>
        <w:t>The costs of overheads and support services are charged to service segments in accordance with the authority’s arrangements for accountability and financial performance. </w:t>
      </w:r>
    </w:p>
    <w:p w14:paraId="32047428" w14:textId="77777777" w:rsidR="00400441" w:rsidRPr="002B1644" w:rsidRDefault="00400441" w:rsidP="00400441">
      <w:pPr>
        <w:ind w:left="675" w:right="-15"/>
        <w:textAlignment w:val="baseline"/>
        <w:rPr>
          <w:rFonts w:ascii="Segoe UI" w:hAnsi="Segoe UI" w:cs="Segoe UI"/>
          <w:lang w:eastAsia="en-GB"/>
        </w:rPr>
      </w:pPr>
      <w:r w:rsidRPr="002B1644">
        <w:rPr>
          <w:rFonts w:cs="Arial"/>
          <w:lang w:eastAsia="en-GB"/>
        </w:rPr>
        <w:t> </w:t>
      </w:r>
    </w:p>
    <w:p w14:paraId="6FE8F1E1" w14:textId="77777777" w:rsidR="00400441" w:rsidRPr="002B1644" w:rsidRDefault="00400441" w:rsidP="00400441">
      <w:pPr>
        <w:textAlignment w:val="baseline"/>
        <w:rPr>
          <w:rFonts w:ascii="Segoe UI" w:hAnsi="Segoe UI" w:cs="Segoe UI"/>
          <w:lang w:eastAsia="en-GB"/>
        </w:rPr>
      </w:pPr>
      <w:r w:rsidRPr="002B1644">
        <w:rPr>
          <w:rFonts w:cs="Arial"/>
          <w:b/>
          <w:bCs/>
          <w:lang w:eastAsia="en-GB"/>
        </w:rPr>
        <w:t>Property, Plant and Equipment</w:t>
      </w:r>
      <w:r w:rsidRPr="002B1644">
        <w:rPr>
          <w:rFonts w:cs="Arial"/>
          <w:lang w:eastAsia="en-GB"/>
        </w:rPr>
        <w:t> </w:t>
      </w:r>
    </w:p>
    <w:p w14:paraId="56942C4A" w14:textId="77777777" w:rsidR="00400441" w:rsidRPr="002B1644" w:rsidRDefault="00400441" w:rsidP="00400441">
      <w:pPr>
        <w:ind w:right="675"/>
        <w:textAlignment w:val="baseline"/>
        <w:rPr>
          <w:rFonts w:ascii="Segoe UI" w:hAnsi="Segoe UI" w:cs="Segoe UI"/>
          <w:lang w:eastAsia="en-GB"/>
        </w:rPr>
      </w:pPr>
      <w:r w:rsidRPr="002B1644">
        <w:rPr>
          <w:rFonts w:cs="Arial"/>
          <w:lang w:eastAsia="en-GB"/>
        </w:rPr>
        <w:t> </w:t>
      </w:r>
    </w:p>
    <w:p w14:paraId="0D73EDED" w14:textId="77777777" w:rsidR="00400441" w:rsidRPr="002B1644" w:rsidRDefault="00400441" w:rsidP="00400441">
      <w:pPr>
        <w:ind w:right="-15"/>
        <w:textAlignment w:val="baseline"/>
        <w:rPr>
          <w:rFonts w:ascii="Segoe UI" w:hAnsi="Segoe UI" w:cs="Segoe UI"/>
          <w:lang w:eastAsia="en-GB"/>
        </w:rPr>
      </w:pPr>
      <w:r w:rsidRPr="002B1644">
        <w:rPr>
          <w:rFonts w:cs="Arial"/>
          <w:lang w:eastAsia="en-GB"/>
        </w:rPr>
        <w:t>Assets that have physical substance and are held for use in the provision of services and are expected to be used during more than one financial year are classified as Property, Plant and Equipment </w:t>
      </w:r>
    </w:p>
    <w:p w14:paraId="337B44D0"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1B0B9D62" w14:textId="7DE4027C" w:rsidR="00400441" w:rsidRPr="003662C5" w:rsidRDefault="003662C5" w:rsidP="003662C5">
      <w:pPr>
        <w:textAlignment w:val="baseline"/>
        <w:rPr>
          <w:rFonts w:ascii="Segoe UI" w:hAnsi="Segoe UI" w:cs="Segoe UI"/>
        </w:rPr>
      </w:pPr>
      <w:r>
        <w:rPr>
          <w:rFonts w:cs="Arial"/>
          <w:b/>
          <w:bCs/>
        </w:rPr>
        <w:t xml:space="preserve">     1. </w:t>
      </w:r>
      <w:r w:rsidR="00400441" w:rsidRPr="003662C5">
        <w:rPr>
          <w:rFonts w:cs="Arial"/>
          <w:b/>
          <w:bCs/>
        </w:rPr>
        <w:t>Recognition and Measurement</w:t>
      </w:r>
      <w:r w:rsidR="00400441" w:rsidRPr="003662C5">
        <w:rPr>
          <w:rFonts w:ascii="Calibri" w:hAnsi="Calibri" w:cs="Calibri"/>
        </w:rPr>
        <w:tab/>
      </w:r>
      <w:r w:rsidR="00400441" w:rsidRPr="003662C5">
        <w:rPr>
          <w:rFonts w:cs="Arial"/>
        </w:rPr>
        <w:t> </w:t>
      </w:r>
    </w:p>
    <w:p w14:paraId="27A16676" w14:textId="77777777" w:rsidR="00400441" w:rsidRPr="002B1644" w:rsidRDefault="00400441" w:rsidP="00400441">
      <w:pPr>
        <w:ind w:left="284" w:right="675"/>
        <w:textAlignment w:val="baseline"/>
        <w:rPr>
          <w:rFonts w:ascii="Segoe UI" w:hAnsi="Segoe UI" w:cs="Segoe UI"/>
          <w:lang w:eastAsia="en-GB"/>
        </w:rPr>
      </w:pPr>
      <w:r w:rsidRPr="002B1644">
        <w:rPr>
          <w:rFonts w:cs="Arial"/>
          <w:lang w:eastAsia="en-GB"/>
        </w:rPr>
        <w:t> </w:t>
      </w:r>
    </w:p>
    <w:p w14:paraId="75E476A2" w14:textId="77777777" w:rsidR="00400441" w:rsidRPr="002B1644" w:rsidRDefault="00400441" w:rsidP="00400441">
      <w:pPr>
        <w:ind w:left="284" w:right="-15"/>
        <w:textAlignment w:val="baseline"/>
        <w:rPr>
          <w:rFonts w:ascii="Segoe UI" w:hAnsi="Segoe UI" w:cs="Segoe UI"/>
          <w:lang w:eastAsia="en-GB"/>
        </w:rPr>
      </w:pPr>
      <w:r w:rsidRPr="002B1644">
        <w:rPr>
          <w:rFonts w:cs="Arial"/>
          <w:lang w:eastAsia="en-GB"/>
        </w:rPr>
        <w:t>All expenditure on the acquisition, creation or enhancement of property, plant and equipment is capitalised on an accruals basis, provided that it is probable that the future economic benefits or service potential associated with the item will flow to the Authority and the cost of the item can be measured reliably. All other expenditure on assets is charged as an expense to revenue as it is incurred. Property, Plant and Equipment assets also include assets held under finance leases, which have been capitalised and included in the Balance Sheet at the lower of fair value of the property and the present value of the minimum lease payments. </w:t>
      </w:r>
    </w:p>
    <w:p w14:paraId="58A826C7" w14:textId="77777777" w:rsidR="00400441" w:rsidRPr="002B1644" w:rsidRDefault="00400441" w:rsidP="00400441">
      <w:pPr>
        <w:ind w:left="284" w:right="675"/>
        <w:textAlignment w:val="baseline"/>
        <w:rPr>
          <w:rFonts w:ascii="Segoe UI" w:hAnsi="Segoe UI" w:cs="Segoe UI"/>
          <w:lang w:eastAsia="en-GB"/>
        </w:rPr>
      </w:pPr>
      <w:r w:rsidRPr="002B1644">
        <w:rPr>
          <w:rFonts w:cs="Arial"/>
          <w:lang w:eastAsia="en-GB"/>
        </w:rPr>
        <w:t> </w:t>
      </w:r>
    </w:p>
    <w:p w14:paraId="45E478EF" w14:textId="77777777" w:rsidR="00400441" w:rsidRPr="002B1644" w:rsidRDefault="00400441" w:rsidP="00400441">
      <w:pPr>
        <w:ind w:left="284" w:right="675"/>
        <w:textAlignment w:val="baseline"/>
        <w:rPr>
          <w:rFonts w:ascii="Segoe UI" w:hAnsi="Segoe UI" w:cs="Segoe UI"/>
          <w:lang w:eastAsia="en-GB"/>
        </w:rPr>
      </w:pPr>
      <w:r w:rsidRPr="002B1644">
        <w:rPr>
          <w:rFonts w:cs="Arial"/>
          <w:lang w:eastAsia="en-GB"/>
        </w:rPr>
        <w:t>The de-minimis level below which expenditure on the acquisition, creation or enhancement of a non-current asset is treated as revenue expenditure has been set at £10,000. </w:t>
      </w:r>
    </w:p>
    <w:p w14:paraId="69003E17" w14:textId="77777777" w:rsidR="00400441" w:rsidRPr="002B1644" w:rsidRDefault="00400441" w:rsidP="00400441">
      <w:pPr>
        <w:ind w:left="284" w:right="-150"/>
        <w:textAlignment w:val="baseline"/>
        <w:rPr>
          <w:rFonts w:ascii="Segoe UI" w:hAnsi="Segoe UI" w:cs="Segoe UI"/>
          <w:lang w:eastAsia="en-GB"/>
        </w:rPr>
      </w:pPr>
      <w:r w:rsidRPr="002B1644">
        <w:rPr>
          <w:rFonts w:cs="Arial"/>
          <w:lang w:eastAsia="en-GB"/>
        </w:rPr>
        <w:t> </w:t>
      </w:r>
    </w:p>
    <w:p w14:paraId="495AED51" w14:textId="77777777" w:rsidR="00400441" w:rsidRPr="002B1644" w:rsidRDefault="00400441" w:rsidP="00400441">
      <w:pPr>
        <w:ind w:left="284" w:right="-150"/>
        <w:textAlignment w:val="baseline"/>
        <w:rPr>
          <w:rFonts w:ascii="Segoe UI" w:hAnsi="Segoe UI" w:cs="Segoe UI"/>
          <w:lang w:eastAsia="en-GB"/>
        </w:rPr>
      </w:pPr>
      <w:r w:rsidRPr="002B1644">
        <w:rPr>
          <w:rFonts w:cs="Arial"/>
          <w:lang w:eastAsia="en-GB"/>
        </w:rPr>
        <w:t>Assets are initially measured at cost, comprising the purchase price and any costs that are directly attributable to bringing the asset into working condition for its intended use. Assets are then carried in the Balance Sheet using an appropriate measurement bases as declared in the fixed asset disclosures. </w:t>
      </w:r>
    </w:p>
    <w:p w14:paraId="404F2B05" w14:textId="77777777" w:rsidR="00400441" w:rsidRPr="002B1644" w:rsidRDefault="00400441" w:rsidP="00400441">
      <w:pPr>
        <w:ind w:left="284" w:right="-15"/>
        <w:textAlignment w:val="baseline"/>
        <w:rPr>
          <w:rFonts w:ascii="Segoe UI" w:hAnsi="Segoe UI" w:cs="Segoe UI"/>
          <w:lang w:eastAsia="en-GB"/>
        </w:rPr>
      </w:pPr>
      <w:r w:rsidRPr="002B1644">
        <w:rPr>
          <w:rFonts w:cs="Arial"/>
          <w:lang w:eastAsia="en-GB"/>
        </w:rPr>
        <w:t> </w:t>
      </w:r>
    </w:p>
    <w:p w14:paraId="38323C8D" w14:textId="77777777" w:rsidR="00400441" w:rsidRPr="002B1644" w:rsidRDefault="00400441" w:rsidP="00400441">
      <w:pPr>
        <w:ind w:left="284" w:right="-15"/>
        <w:textAlignment w:val="baseline"/>
        <w:rPr>
          <w:rFonts w:ascii="Segoe UI" w:hAnsi="Segoe UI" w:cs="Segoe UI"/>
          <w:lang w:eastAsia="en-GB"/>
        </w:rPr>
      </w:pPr>
      <w:r w:rsidRPr="002B1644">
        <w:rPr>
          <w:rFonts w:cs="Arial"/>
          <w:lang w:eastAsia="en-GB"/>
        </w:rPr>
        <w:t>High value assets included in the Balance Sheet at current value are revalued annually to ensure that their carrying amount is not materially different from their current value at year end.  High value assets are those whose values could lead to a serious or material misstatement of the Balance Sheet should their valuations become outdated. All other assets included in the Balance Sheet at current value are revalued sufficiently regularly but as a minimum every five years.  </w:t>
      </w:r>
    </w:p>
    <w:p w14:paraId="7A49CFFA" w14:textId="77777777" w:rsidR="00400441" w:rsidRPr="002B1644" w:rsidRDefault="00400441" w:rsidP="00400441">
      <w:pPr>
        <w:ind w:left="284" w:right="-15"/>
        <w:textAlignment w:val="baseline"/>
        <w:rPr>
          <w:rFonts w:ascii="Segoe UI" w:hAnsi="Segoe UI" w:cs="Segoe UI"/>
          <w:lang w:eastAsia="en-GB"/>
        </w:rPr>
      </w:pPr>
      <w:r w:rsidRPr="002B1644">
        <w:rPr>
          <w:rFonts w:cs="Arial"/>
          <w:lang w:eastAsia="en-GB"/>
        </w:rPr>
        <w:t> </w:t>
      </w:r>
    </w:p>
    <w:p w14:paraId="7CBC9317" w14:textId="77777777" w:rsidR="00400441" w:rsidRPr="002B1644" w:rsidRDefault="00400441" w:rsidP="00400441">
      <w:pPr>
        <w:ind w:left="284" w:right="-15"/>
        <w:textAlignment w:val="baseline"/>
        <w:rPr>
          <w:rFonts w:ascii="Segoe UI" w:hAnsi="Segoe UI" w:cs="Segoe UI"/>
          <w:lang w:eastAsia="en-GB"/>
        </w:rPr>
      </w:pPr>
      <w:r w:rsidRPr="002B1644">
        <w:rPr>
          <w:rFonts w:cs="Arial"/>
          <w:lang w:eastAsia="en-GB"/>
        </w:rPr>
        <w:t>The Revaluation Reserve contains revaluation gains recognised since 1 April 2007 only, the date of its formal implementation. Gains arising before that date have been consolidated into the Capital Adjustment Account.  </w:t>
      </w:r>
    </w:p>
    <w:p w14:paraId="6963E17F" w14:textId="77777777" w:rsidR="00400441" w:rsidRPr="002B1644" w:rsidRDefault="00400441" w:rsidP="00400441">
      <w:pPr>
        <w:ind w:left="284" w:right="-15"/>
        <w:textAlignment w:val="baseline"/>
        <w:rPr>
          <w:rFonts w:ascii="Segoe UI" w:hAnsi="Segoe UI" w:cs="Segoe UI"/>
          <w:lang w:eastAsia="en-GB"/>
        </w:rPr>
      </w:pPr>
      <w:r w:rsidRPr="002B1644">
        <w:rPr>
          <w:rFonts w:cs="Arial"/>
          <w:lang w:eastAsia="en-GB"/>
        </w:rPr>
        <w:t> </w:t>
      </w:r>
    </w:p>
    <w:p w14:paraId="37CEC6FD" w14:textId="39C9C3A3" w:rsidR="00400441" w:rsidRPr="002B1644" w:rsidRDefault="003662C5" w:rsidP="00400441">
      <w:pPr>
        <w:ind w:left="284"/>
        <w:textAlignment w:val="baseline"/>
        <w:rPr>
          <w:rFonts w:cs="Arial"/>
          <w:lang w:eastAsia="en-GB"/>
        </w:rPr>
      </w:pPr>
      <w:r>
        <w:rPr>
          <w:rFonts w:cs="Arial"/>
          <w:b/>
          <w:bCs/>
          <w:lang w:eastAsia="en-GB"/>
        </w:rPr>
        <w:lastRenderedPageBreak/>
        <w:t xml:space="preserve">2. </w:t>
      </w:r>
      <w:r w:rsidR="00400441" w:rsidRPr="002B1644">
        <w:rPr>
          <w:rFonts w:cs="Arial"/>
          <w:b/>
          <w:bCs/>
          <w:lang w:eastAsia="en-GB"/>
        </w:rPr>
        <w:t>Impairment</w:t>
      </w:r>
      <w:r w:rsidR="00400441" w:rsidRPr="002B1644">
        <w:rPr>
          <w:rFonts w:cs="Arial"/>
          <w:lang w:eastAsia="en-GB"/>
        </w:rPr>
        <w:t> </w:t>
      </w:r>
    </w:p>
    <w:p w14:paraId="12B4A96F" w14:textId="77777777" w:rsidR="00400441" w:rsidRPr="002B1644" w:rsidRDefault="00400441" w:rsidP="00400441">
      <w:pPr>
        <w:ind w:left="284" w:right="-150"/>
        <w:textAlignment w:val="baseline"/>
        <w:rPr>
          <w:rFonts w:ascii="Segoe UI" w:hAnsi="Segoe UI" w:cs="Segoe UI"/>
          <w:lang w:eastAsia="en-GB"/>
        </w:rPr>
      </w:pPr>
      <w:r w:rsidRPr="002B1644">
        <w:rPr>
          <w:rFonts w:cs="Arial"/>
          <w:lang w:eastAsia="en-GB"/>
        </w:rPr>
        <w:t> </w:t>
      </w:r>
    </w:p>
    <w:p w14:paraId="37D4D2C7" w14:textId="77777777" w:rsidR="00400441" w:rsidRPr="002B1644" w:rsidRDefault="00400441" w:rsidP="00400441">
      <w:pPr>
        <w:ind w:left="284" w:right="-150"/>
        <w:textAlignment w:val="baseline"/>
        <w:rPr>
          <w:rFonts w:ascii="Segoe UI" w:hAnsi="Segoe UI" w:cs="Segoe UI"/>
          <w:lang w:eastAsia="en-GB"/>
        </w:rPr>
      </w:pPr>
      <w:r w:rsidRPr="002B1644">
        <w:rPr>
          <w:rFonts w:cs="Arial"/>
          <w:lang w:eastAsia="en-GB"/>
        </w:rPr>
        <w:t>Assets are assessed at each year end as to whether there is any indication that an asset may be impaired. Where indications exist and any possible differences are estimated to be material, the recoverable amount of the asset is estimated and where this is less than the carrying amount of the asset, an impairment loss is recognised for the shortfall. This is charged to the revaluation reserve up to the value held for the asset in this reserve. Any further loss is charged to the Comprehensive Income &amp; Expenditure Statement. </w:t>
      </w:r>
    </w:p>
    <w:p w14:paraId="7AA6F2C2" w14:textId="77777777" w:rsidR="00400441" w:rsidRPr="002B1644" w:rsidRDefault="00400441" w:rsidP="00400441">
      <w:pPr>
        <w:ind w:left="284" w:right="-150"/>
        <w:textAlignment w:val="baseline"/>
        <w:rPr>
          <w:rFonts w:ascii="Segoe UI" w:hAnsi="Segoe UI" w:cs="Segoe UI"/>
          <w:lang w:eastAsia="en-GB"/>
        </w:rPr>
      </w:pPr>
      <w:r w:rsidRPr="002B1644">
        <w:rPr>
          <w:rFonts w:cs="Arial"/>
          <w:lang w:eastAsia="en-GB"/>
        </w:rPr>
        <w:t> </w:t>
      </w:r>
    </w:p>
    <w:p w14:paraId="71BBEDD7" w14:textId="4234BE39" w:rsidR="00400441" w:rsidRPr="002B1644" w:rsidRDefault="003662C5" w:rsidP="00400441">
      <w:pPr>
        <w:ind w:left="284" w:right="-150"/>
        <w:textAlignment w:val="baseline"/>
        <w:rPr>
          <w:rFonts w:ascii="Segoe UI" w:hAnsi="Segoe UI" w:cs="Segoe UI"/>
          <w:lang w:eastAsia="en-GB"/>
        </w:rPr>
      </w:pPr>
      <w:r>
        <w:rPr>
          <w:rFonts w:cs="Arial"/>
          <w:b/>
          <w:bCs/>
          <w:lang w:eastAsia="en-GB"/>
        </w:rPr>
        <w:t xml:space="preserve">3. </w:t>
      </w:r>
      <w:r w:rsidR="00400441" w:rsidRPr="002B1644">
        <w:rPr>
          <w:rFonts w:cs="Arial"/>
          <w:b/>
          <w:bCs/>
          <w:lang w:eastAsia="en-GB"/>
        </w:rPr>
        <w:t>Component Accounting</w:t>
      </w:r>
      <w:r w:rsidR="00400441" w:rsidRPr="002B1644">
        <w:rPr>
          <w:rFonts w:cs="Arial"/>
          <w:lang w:eastAsia="en-GB"/>
        </w:rPr>
        <w:t> </w:t>
      </w:r>
    </w:p>
    <w:p w14:paraId="51A04A90" w14:textId="77777777" w:rsidR="00400441" w:rsidRPr="002B1644" w:rsidRDefault="00400441" w:rsidP="00400441">
      <w:pPr>
        <w:ind w:left="284" w:right="-150" w:hanging="735"/>
        <w:textAlignment w:val="baseline"/>
        <w:rPr>
          <w:rFonts w:ascii="Segoe UI" w:hAnsi="Segoe UI" w:cs="Segoe UI"/>
          <w:lang w:eastAsia="en-GB"/>
        </w:rPr>
      </w:pPr>
      <w:r w:rsidRPr="002B1644">
        <w:rPr>
          <w:rFonts w:cs="Arial"/>
          <w:lang w:eastAsia="en-GB"/>
        </w:rPr>
        <w:t> </w:t>
      </w:r>
    </w:p>
    <w:p w14:paraId="0D596117" w14:textId="77777777" w:rsidR="00400441" w:rsidRPr="002B1644" w:rsidRDefault="00400441" w:rsidP="00400441">
      <w:pPr>
        <w:ind w:left="284" w:right="-150"/>
        <w:textAlignment w:val="baseline"/>
        <w:rPr>
          <w:rFonts w:ascii="Segoe UI" w:hAnsi="Segoe UI" w:cs="Segoe UI"/>
          <w:lang w:eastAsia="en-GB"/>
        </w:rPr>
      </w:pPr>
      <w:r w:rsidRPr="002B1644">
        <w:rPr>
          <w:rFonts w:cs="Arial"/>
          <w:lang w:eastAsia="en-GB"/>
        </w:rPr>
        <w:t>Where a component of a non-current asset is replaced or restored, the carrying amount of the old component shall be derecognised and the new component reflected in the carrying amount. Each part (component) of an item of property, plant and equipment that is significant in relation to the total cost of the item is depreciated separately. Componentisation is only applied where the difference between the depreciation on each component and the depreciation on the asset as a whole is considered material, which for this Authority is considered to be assets with a value over £1M.  </w:t>
      </w:r>
    </w:p>
    <w:p w14:paraId="38EE5C9D"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2B63C1C9" w14:textId="7E7F795D" w:rsidR="00400441" w:rsidRPr="002B1644" w:rsidRDefault="003662C5" w:rsidP="003662C5">
      <w:pPr>
        <w:ind w:firstLine="284"/>
        <w:textAlignment w:val="baseline"/>
        <w:rPr>
          <w:rFonts w:ascii="Segoe UI" w:hAnsi="Segoe UI" w:cs="Segoe UI"/>
          <w:lang w:eastAsia="en-GB"/>
        </w:rPr>
      </w:pPr>
      <w:r>
        <w:rPr>
          <w:rFonts w:cs="Arial"/>
          <w:b/>
          <w:bCs/>
          <w:lang w:eastAsia="en-GB"/>
        </w:rPr>
        <w:t xml:space="preserve">4. </w:t>
      </w:r>
      <w:r w:rsidR="00400441" w:rsidRPr="002B1644">
        <w:rPr>
          <w:rFonts w:cs="Arial"/>
          <w:b/>
          <w:bCs/>
          <w:lang w:eastAsia="en-GB"/>
        </w:rPr>
        <w:t>Depreciation</w:t>
      </w:r>
      <w:r w:rsidR="00400441" w:rsidRPr="002B1644">
        <w:rPr>
          <w:rFonts w:cs="Arial"/>
          <w:lang w:eastAsia="en-GB"/>
        </w:rPr>
        <w:t> </w:t>
      </w:r>
    </w:p>
    <w:p w14:paraId="2D0E1230" w14:textId="77777777" w:rsidR="00400441" w:rsidRPr="002B1644" w:rsidRDefault="00400441" w:rsidP="00400441">
      <w:pPr>
        <w:ind w:right="-15"/>
        <w:textAlignment w:val="baseline"/>
        <w:rPr>
          <w:rFonts w:ascii="Segoe UI" w:hAnsi="Segoe UI" w:cs="Segoe UI"/>
          <w:lang w:eastAsia="en-GB"/>
        </w:rPr>
      </w:pPr>
      <w:r w:rsidRPr="002B1644">
        <w:rPr>
          <w:rFonts w:cs="Arial"/>
          <w:lang w:eastAsia="en-GB"/>
        </w:rPr>
        <w:t> </w:t>
      </w:r>
    </w:p>
    <w:p w14:paraId="0FDC90EF" w14:textId="77777777" w:rsidR="00400441" w:rsidRPr="002B1644" w:rsidRDefault="00400441" w:rsidP="003662C5">
      <w:pPr>
        <w:ind w:left="284" w:right="-15"/>
        <w:textAlignment w:val="baseline"/>
        <w:rPr>
          <w:rFonts w:ascii="Segoe UI" w:hAnsi="Segoe UI" w:cs="Segoe UI"/>
          <w:lang w:eastAsia="en-GB"/>
        </w:rPr>
      </w:pPr>
      <w:r w:rsidRPr="002B1644">
        <w:rPr>
          <w:rFonts w:cs="Arial"/>
          <w:lang w:eastAsia="en-GB"/>
        </w:rPr>
        <w:t>Depreciation is provided for on all assets with a determinable finite life (except for investment properties, assets held for sale and assets under construction), by allocating the value of the asset in the Balance Sheet over the periods expected to benefit from their use. Depreciation is calculated using the relevant life year schedule as declared in the fixed asset disclosures.  </w:t>
      </w:r>
    </w:p>
    <w:p w14:paraId="1BB0DDF8" w14:textId="77777777" w:rsidR="00400441" w:rsidRPr="002B1644" w:rsidRDefault="00400441" w:rsidP="00400441">
      <w:pPr>
        <w:ind w:right="-15"/>
        <w:textAlignment w:val="baseline"/>
        <w:rPr>
          <w:rFonts w:ascii="Segoe UI" w:hAnsi="Segoe UI" w:cs="Segoe UI"/>
          <w:lang w:eastAsia="en-GB"/>
        </w:rPr>
      </w:pPr>
      <w:r w:rsidRPr="002B1644">
        <w:rPr>
          <w:rFonts w:cs="Arial"/>
          <w:lang w:eastAsia="en-GB"/>
        </w:rPr>
        <w:t> </w:t>
      </w:r>
    </w:p>
    <w:p w14:paraId="6B402EF6" w14:textId="77777777" w:rsidR="00400441" w:rsidRPr="002B1644" w:rsidRDefault="00400441" w:rsidP="00400441">
      <w:pPr>
        <w:textAlignment w:val="baseline"/>
        <w:rPr>
          <w:rFonts w:ascii="Segoe UI" w:hAnsi="Segoe UI" w:cs="Segoe UI"/>
          <w:lang w:eastAsia="en-GB"/>
        </w:rPr>
      </w:pPr>
      <w:r w:rsidRPr="002B1644">
        <w:rPr>
          <w:rFonts w:cs="Arial"/>
          <w:b/>
          <w:bCs/>
          <w:lang w:eastAsia="en-GB"/>
        </w:rPr>
        <w:t>Non-Current Assets Held for Sale</w:t>
      </w:r>
      <w:r w:rsidRPr="002B1644">
        <w:rPr>
          <w:rFonts w:cs="Arial"/>
          <w:lang w:eastAsia="en-GB"/>
        </w:rPr>
        <w:t> </w:t>
      </w:r>
    </w:p>
    <w:p w14:paraId="1856723B" w14:textId="77777777" w:rsidR="00400441" w:rsidRPr="002B1644" w:rsidRDefault="00400441" w:rsidP="00400441">
      <w:pPr>
        <w:ind w:left="720"/>
        <w:textAlignment w:val="baseline"/>
        <w:rPr>
          <w:rFonts w:ascii="Segoe UI" w:hAnsi="Segoe UI" w:cs="Segoe UI"/>
          <w:lang w:eastAsia="en-GB"/>
        </w:rPr>
      </w:pPr>
      <w:r w:rsidRPr="002B1644">
        <w:rPr>
          <w:rFonts w:cs="Arial"/>
          <w:lang w:eastAsia="en-GB"/>
        </w:rPr>
        <w:t> </w:t>
      </w:r>
    </w:p>
    <w:p w14:paraId="4768F369" w14:textId="77777777" w:rsidR="00400441" w:rsidRPr="002B1644" w:rsidRDefault="00400441" w:rsidP="00400441">
      <w:pPr>
        <w:ind w:right="-15"/>
        <w:textAlignment w:val="baseline"/>
        <w:rPr>
          <w:rFonts w:ascii="Segoe UI" w:hAnsi="Segoe UI" w:cs="Segoe UI"/>
          <w:lang w:eastAsia="en-GB"/>
        </w:rPr>
      </w:pPr>
      <w:r w:rsidRPr="002B1644">
        <w:rPr>
          <w:rFonts w:cs="Arial"/>
          <w:lang w:eastAsia="en-GB"/>
        </w:rPr>
        <w:t>Non-current assets held for sale are defined as assets that are: </w:t>
      </w:r>
    </w:p>
    <w:p w14:paraId="204EE2E8" w14:textId="77777777" w:rsidR="00400441" w:rsidRPr="002B1644" w:rsidRDefault="00400441" w:rsidP="00317745">
      <w:pPr>
        <w:numPr>
          <w:ilvl w:val="0"/>
          <w:numId w:val="45"/>
        </w:numPr>
        <w:ind w:left="1080" w:firstLine="0"/>
        <w:textAlignment w:val="baseline"/>
        <w:rPr>
          <w:rFonts w:cs="Arial"/>
          <w:u w:val="single"/>
          <w:lang w:eastAsia="en-GB"/>
        </w:rPr>
      </w:pPr>
      <w:r w:rsidRPr="002B1644">
        <w:rPr>
          <w:rFonts w:cs="Arial"/>
          <w:lang w:eastAsia="en-GB"/>
        </w:rPr>
        <w:t>Available for immediate sale in their present condition</w:t>
      </w:r>
    </w:p>
    <w:p w14:paraId="0D639701" w14:textId="77777777" w:rsidR="00400441" w:rsidRPr="002B1644" w:rsidRDefault="00400441" w:rsidP="00317745">
      <w:pPr>
        <w:numPr>
          <w:ilvl w:val="0"/>
          <w:numId w:val="45"/>
        </w:numPr>
        <w:ind w:left="1065" w:firstLine="0"/>
        <w:textAlignment w:val="baseline"/>
        <w:rPr>
          <w:rFonts w:cs="Arial"/>
          <w:u w:val="single"/>
          <w:lang w:eastAsia="en-GB"/>
        </w:rPr>
      </w:pPr>
      <w:r w:rsidRPr="002B1644">
        <w:rPr>
          <w:rFonts w:cs="Arial"/>
          <w:lang w:eastAsia="en-GB"/>
        </w:rPr>
        <w:t>The sale is highly probable</w:t>
      </w:r>
    </w:p>
    <w:p w14:paraId="40A4C819" w14:textId="77777777" w:rsidR="00400441" w:rsidRPr="002B1644" w:rsidRDefault="00400441" w:rsidP="00317745">
      <w:pPr>
        <w:numPr>
          <w:ilvl w:val="0"/>
          <w:numId w:val="45"/>
        </w:numPr>
        <w:ind w:left="1065" w:firstLine="0"/>
        <w:textAlignment w:val="baseline"/>
        <w:rPr>
          <w:rFonts w:cs="Arial"/>
          <w:u w:val="single"/>
          <w:lang w:eastAsia="en-GB"/>
        </w:rPr>
      </w:pPr>
      <w:r w:rsidRPr="002B1644">
        <w:rPr>
          <w:rFonts w:cs="Arial"/>
          <w:lang w:eastAsia="en-GB"/>
        </w:rPr>
        <w:t>The asset must be actively marketed for a sale price that is reasonable</w:t>
      </w:r>
    </w:p>
    <w:p w14:paraId="0C9D2C8B" w14:textId="77777777" w:rsidR="00400441" w:rsidRPr="002B1644" w:rsidRDefault="00400441" w:rsidP="00317745">
      <w:pPr>
        <w:numPr>
          <w:ilvl w:val="0"/>
          <w:numId w:val="45"/>
        </w:numPr>
        <w:ind w:left="1065" w:firstLine="0"/>
        <w:textAlignment w:val="baseline"/>
        <w:rPr>
          <w:rFonts w:cs="Arial"/>
          <w:u w:val="single"/>
          <w:lang w:eastAsia="en-GB"/>
        </w:rPr>
      </w:pPr>
      <w:r w:rsidRPr="002B1644">
        <w:rPr>
          <w:rFonts w:cs="Arial"/>
          <w:lang w:eastAsia="en-GB"/>
        </w:rPr>
        <w:t>The sale should be expected to complete in one year.</w:t>
      </w:r>
    </w:p>
    <w:p w14:paraId="04C29296" w14:textId="77777777" w:rsidR="00400441" w:rsidRPr="002B1644" w:rsidRDefault="00400441" w:rsidP="00400441">
      <w:pPr>
        <w:ind w:left="705" w:right="-15"/>
        <w:textAlignment w:val="baseline"/>
        <w:rPr>
          <w:rFonts w:ascii="Segoe UI" w:hAnsi="Segoe UI" w:cs="Segoe UI"/>
          <w:lang w:eastAsia="en-GB"/>
        </w:rPr>
      </w:pPr>
      <w:r w:rsidRPr="002B1644">
        <w:rPr>
          <w:rFonts w:cs="Arial"/>
          <w:lang w:eastAsia="en-GB"/>
        </w:rPr>
        <w:t> </w:t>
      </w:r>
    </w:p>
    <w:p w14:paraId="377E3FE9" w14:textId="77777777" w:rsidR="00400441" w:rsidRPr="002B1644" w:rsidRDefault="00400441" w:rsidP="00400441">
      <w:pPr>
        <w:ind w:right="-15"/>
        <w:textAlignment w:val="baseline"/>
        <w:rPr>
          <w:rFonts w:ascii="Segoe UI" w:hAnsi="Segoe UI" w:cs="Segoe UI"/>
          <w:lang w:eastAsia="en-GB"/>
        </w:rPr>
      </w:pPr>
      <w:r w:rsidRPr="002B1644">
        <w:rPr>
          <w:rFonts w:cs="Arial"/>
          <w:lang w:eastAsia="en-GB"/>
        </w:rPr>
        <w:t>If assets no longer meet the criteria to be classified as Assets Held for Sale, they are reclassified back to non-current assets and valued at the lower of their carrying amount before they were classified as held for sale, adjusted for depreciation, revaluations or amortisation that would have been recognised had they not been classified as held for sale and their recoverable amount at the date of the decision not to sell. </w:t>
      </w:r>
    </w:p>
    <w:p w14:paraId="0166A910" w14:textId="77777777" w:rsidR="00400441" w:rsidRPr="002B1644" w:rsidRDefault="00400441" w:rsidP="00400441">
      <w:pPr>
        <w:ind w:right="-15"/>
        <w:textAlignment w:val="baseline"/>
        <w:rPr>
          <w:rFonts w:ascii="Segoe UI" w:hAnsi="Segoe UI" w:cs="Segoe UI"/>
          <w:lang w:eastAsia="en-GB"/>
        </w:rPr>
      </w:pPr>
      <w:r w:rsidRPr="002B1644">
        <w:rPr>
          <w:rFonts w:cs="Arial"/>
          <w:lang w:eastAsia="en-GB"/>
        </w:rPr>
        <w:t> </w:t>
      </w:r>
    </w:p>
    <w:p w14:paraId="5A706F00" w14:textId="77777777" w:rsidR="00400441" w:rsidRPr="002B1644" w:rsidRDefault="00400441" w:rsidP="00400441">
      <w:pPr>
        <w:ind w:right="-15"/>
        <w:textAlignment w:val="baseline"/>
        <w:rPr>
          <w:rFonts w:ascii="Segoe UI" w:hAnsi="Segoe UI" w:cs="Segoe UI"/>
          <w:lang w:eastAsia="en-GB"/>
        </w:rPr>
      </w:pPr>
      <w:r w:rsidRPr="002B1644">
        <w:rPr>
          <w:rFonts w:cs="Arial"/>
          <w:lang w:eastAsia="en-GB"/>
        </w:rPr>
        <w:t>Non-current assets held for sale are revalued immediately prior to reclassification, and then measured at the lower of their carrying amount and fair value less selling costs. Any reduction in asset value is recognised as an impairment loss.  </w:t>
      </w:r>
    </w:p>
    <w:p w14:paraId="265F48F1"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307E00BF" w14:textId="77777777" w:rsidR="00400441" w:rsidRPr="002B1644" w:rsidRDefault="00400441" w:rsidP="00400441">
      <w:pPr>
        <w:textAlignment w:val="baseline"/>
        <w:rPr>
          <w:rFonts w:ascii="Segoe UI" w:hAnsi="Segoe UI" w:cs="Segoe UI"/>
          <w:lang w:eastAsia="en-GB"/>
        </w:rPr>
      </w:pPr>
      <w:r w:rsidRPr="002B1644">
        <w:rPr>
          <w:rFonts w:cs="Arial"/>
          <w:b/>
          <w:bCs/>
          <w:lang w:eastAsia="en-GB"/>
        </w:rPr>
        <w:t>Provisions</w:t>
      </w:r>
      <w:r w:rsidRPr="002B1644">
        <w:rPr>
          <w:rFonts w:cs="Arial"/>
          <w:lang w:eastAsia="en-GB"/>
        </w:rPr>
        <w:t> </w:t>
      </w:r>
    </w:p>
    <w:p w14:paraId="6CEF65E4"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3724D91C" w14:textId="77777777" w:rsidR="00400441" w:rsidRPr="002B1644" w:rsidRDefault="00400441" w:rsidP="00400441">
      <w:pPr>
        <w:ind w:right="-15"/>
        <w:textAlignment w:val="baseline"/>
        <w:rPr>
          <w:rFonts w:ascii="Segoe UI" w:hAnsi="Segoe UI" w:cs="Segoe UI"/>
          <w:lang w:eastAsia="en-GB"/>
        </w:rPr>
      </w:pPr>
      <w:r w:rsidRPr="002B1644">
        <w:rPr>
          <w:rFonts w:cs="Arial"/>
          <w:lang w:eastAsia="en-GB"/>
        </w:rPr>
        <w:t>Provisions are required for any liabilities of uncertain timing or amount in circumstances where: </w:t>
      </w:r>
    </w:p>
    <w:p w14:paraId="1BA9D5A0" w14:textId="77777777" w:rsidR="00400441" w:rsidRPr="002B1644" w:rsidRDefault="00400441" w:rsidP="00400441">
      <w:pPr>
        <w:ind w:left="675" w:right="-15"/>
        <w:textAlignment w:val="baseline"/>
        <w:rPr>
          <w:rFonts w:ascii="Segoe UI" w:hAnsi="Segoe UI" w:cs="Segoe UI"/>
          <w:lang w:eastAsia="en-GB"/>
        </w:rPr>
      </w:pPr>
      <w:r w:rsidRPr="002B1644">
        <w:rPr>
          <w:rFonts w:cs="Arial"/>
          <w:lang w:eastAsia="en-GB"/>
        </w:rPr>
        <w:t> </w:t>
      </w:r>
    </w:p>
    <w:p w14:paraId="5D75156B" w14:textId="77777777" w:rsidR="00400441" w:rsidRPr="002B1644" w:rsidRDefault="00400441" w:rsidP="00317745">
      <w:pPr>
        <w:numPr>
          <w:ilvl w:val="0"/>
          <w:numId w:val="46"/>
        </w:numPr>
        <w:ind w:left="567" w:hanging="567"/>
        <w:textAlignment w:val="baseline"/>
        <w:rPr>
          <w:rFonts w:cs="Arial"/>
          <w:lang w:eastAsia="en-GB"/>
        </w:rPr>
      </w:pPr>
      <w:r w:rsidRPr="002B1644">
        <w:rPr>
          <w:rFonts w:cs="Arial"/>
          <w:lang w:eastAsia="en-GB"/>
        </w:rPr>
        <w:t>the Authority has a present legal or constructive obligation as a result of a past event. </w:t>
      </w:r>
    </w:p>
    <w:p w14:paraId="6FC38FD9" w14:textId="77777777" w:rsidR="00400441" w:rsidRPr="002B1644" w:rsidRDefault="00400441" w:rsidP="00317745">
      <w:pPr>
        <w:numPr>
          <w:ilvl w:val="0"/>
          <w:numId w:val="46"/>
        </w:numPr>
        <w:ind w:left="567" w:hanging="567"/>
        <w:textAlignment w:val="baseline"/>
        <w:rPr>
          <w:rFonts w:cs="Arial"/>
          <w:lang w:eastAsia="en-GB"/>
        </w:rPr>
      </w:pPr>
      <w:r w:rsidRPr="002B1644">
        <w:rPr>
          <w:rFonts w:cs="Arial"/>
          <w:lang w:eastAsia="en-GB"/>
        </w:rPr>
        <w:t>it is probable that a transfer of economic benefits will be required to settle the obligation. </w:t>
      </w:r>
    </w:p>
    <w:p w14:paraId="3C7259D7" w14:textId="77777777" w:rsidR="00400441" w:rsidRPr="002B1644" w:rsidRDefault="00400441" w:rsidP="00317745">
      <w:pPr>
        <w:numPr>
          <w:ilvl w:val="0"/>
          <w:numId w:val="47"/>
        </w:numPr>
        <w:ind w:left="567" w:hanging="567"/>
        <w:textAlignment w:val="baseline"/>
        <w:rPr>
          <w:rFonts w:cs="Arial"/>
          <w:lang w:eastAsia="en-GB"/>
        </w:rPr>
      </w:pPr>
      <w:r w:rsidRPr="002B1644">
        <w:rPr>
          <w:rFonts w:cs="Arial"/>
          <w:lang w:eastAsia="en-GB"/>
        </w:rPr>
        <w:t>a reliable estimate of the amount of the obligation can be made, taking into account the risks and uncertainties surrounding the obligation. </w:t>
      </w:r>
    </w:p>
    <w:p w14:paraId="09ED5710" w14:textId="77777777" w:rsidR="00400441" w:rsidRPr="002B1644" w:rsidRDefault="00400441" w:rsidP="00400441">
      <w:pPr>
        <w:ind w:right="-15"/>
        <w:textAlignment w:val="baseline"/>
        <w:rPr>
          <w:rFonts w:ascii="Segoe UI" w:hAnsi="Segoe UI" w:cs="Segoe UI"/>
          <w:lang w:eastAsia="en-GB"/>
        </w:rPr>
      </w:pPr>
      <w:r w:rsidRPr="002B1644">
        <w:rPr>
          <w:rFonts w:cs="Arial"/>
          <w:lang w:eastAsia="en-GB"/>
        </w:rPr>
        <w:t> </w:t>
      </w:r>
    </w:p>
    <w:p w14:paraId="7131BF00" w14:textId="77777777" w:rsidR="00400441" w:rsidRPr="002B1644" w:rsidRDefault="00400441" w:rsidP="00400441">
      <w:pPr>
        <w:ind w:right="-15"/>
        <w:textAlignment w:val="baseline"/>
        <w:rPr>
          <w:rFonts w:ascii="Segoe UI" w:hAnsi="Segoe UI" w:cs="Segoe UI"/>
          <w:lang w:eastAsia="en-GB"/>
        </w:rPr>
      </w:pPr>
      <w:r w:rsidRPr="002B1644">
        <w:rPr>
          <w:rFonts w:cs="Arial"/>
          <w:lang w:eastAsia="en-GB"/>
        </w:rPr>
        <w:t xml:space="preserve">A transfer of economic benefits is regarded as being probable if it is more likely than not to occur. Provisions are charged to the appropriate revenue account of the Authority and expenditure </w:t>
      </w:r>
      <w:r w:rsidRPr="002B1644">
        <w:rPr>
          <w:rFonts w:cs="Arial"/>
          <w:lang w:eastAsia="en-GB"/>
        </w:rPr>
        <w:lastRenderedPageBreak/>
        <w:t>related to the provision is charged directly to that provision. The value of provisions is reviewed at each Balance Sheet date to reflect current best estimates. </w:t>
      </w:r>
    </w:p>
    <w:p w14:paraId="1C795A10" w14:textId="77777777" w:rsidR="00400441" w:rsidRPr="002B1644" w:rsidRDefault="00400441" w:rsidP="00400441">
      <w:pPr>
        <w:ind w:left="675" w:right="-15"/>
        <w:textAlignment w:val="baseline"/>
        <w:rPr>
          <w:rFonts w:ascii="Segoe UI" w:hAnsi="Segoe UI" w:cs="Segoe UI"/>
          <w:lang w:eastAsia="en-GB"/>
        </w:rPr>
      </w:pPr>
      <w:r w:rsidRPr="002B1644">
        <w:rPr>
          <w:rFonts w:cs="Arial"/>
          <w:lang w:eastAsia="en-GB"/>
        </w:rPr>
        <w:t> </w:t>
      </w:r>
    </w:p>
    <w:p w14:paraId="7680E36A" w14:textId="77777777" w:rsidR="00400441" w:rsidRPr="002B1644" w:rsidRDefault="00400441" w:rsidP="00400441">
      <w:pPr>
        <w:textAlignment w:val="baseline"/>
        <w:rPr>
          <w:rFonts w:ascii="Segoe UI" w:hAnsi="Segoe UI" w:cs="Segoe UI"/>
          <w:lang w:eastAsia="en-GB"/>
        </w:rPr>
      </w:pPr>
      <w:r w:rsidRPr="002B1644">
        <w:rPr>
          <w:rFonts w:cs="Arial"/>
          <w:b/>
          <w:bCs/>
          <w:lang w:eastAsia="en-GB"/>
        </w:rPr>
        <w:t>Contingent Assets and Liabilities</w:t>
      </w:r>
      <w:r w:rsidRPr="002B1644">
        <w:rPr>
          <w:rFonts w:cs="Arial"/>
          <w:lang w:eastAsia="en-GB"/>
        </w:rPr>
        <w:t> </w:t>
      </w:r>
    </w:p>
    <w:p w14:paraId="49A13DE9"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49D0FCC5" w14:textId="77777777" w:rsidR="00400441" w:rsidRPr="002B1644" w:rsidRDefault="00400441" w:rsidP="00400441">
      <w:pPr>
        <w:textAlignment w:val="baseline"/>
        <w:rPr>
          <w:rFonts w:ascii="Segoe UI" w:hAnsi="Segoe UI" w:cs="Segoe UI"/>
          <w:lang w:eastAsia="en-GB"/>
        </w:rPr>
      </w:pPr>
      <w:r w:rsidRPr="002B1644">
        <w:rPr>
          <w:rFonts w:cs="Arial"/>
          <w:lang w:eastAsia="en-GB"/>
        </w:rPr>
        <w:t>Contingent assets and liabilities arise where an event has taken place that gives the Authority a possible asset or obligation whose existence will only be confirmed by the occurrence or otherwise of uncertain future events not wholly within the control of the Authority. Contingent assets and liabilities are not recognised in the financial statements but are disclosed as a note to the accounts, unless the possibility of inflow/outflow of resources is remote. They are assessed continually to determine if the inflow/outflow is probable. In the case of a contingent liability, if the outflow becomes probable a provision is recognised unless a reliable estimate cannot be made. If the inflow from a contingent asset becomes probable and can be measured reliably, the debtor (or cash where consideration has been received) and the related revenue are recognised in the financial statements in the period in which the change occurs. </w:t>
      </w:r>
    </w:p>
    <w:p w14:paraId="717DE555"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05D3F0EF" w14:textId="77777777" w:rsidR="00400441" w:rsidRPr="002B1644" w:rsidRDefault="00400441" w:rsidP="00400441">
      <w:pPr>
        <w:textAlignment w:val="baseline"/>
        <w:rPr>
          <w:rFonts w:ascii="Segoe UI" w:hAnsi="Segoe UI" w:cs="Segoe UI"/>
          <w:lang w:eastAsia="en-GB"/>
        </w:rPr>
      </w:pPr>
      <w:r w:rsidRPr="002B1644">
        <w:rPr>
          <w:rFonts w:cs="Arial"/>
          <w:b/>
          <w:bCs/>
          <w:lang w:eastAsia="en-GB"/>
        </w:rPr>
        <w:t>Value Added Tax</w:t>
      </w:r>
      <w:r w:rsidRPr="002B1644">
        <w:rPr>
          <w:rFonts w:cs="Arial"/>
          <w:lang w:eastAsia="en-GB"/>
        </w:rPr>
        <w:t> </w:t>
      </w:r>
    </w:p>
    <w:p w14:paraId="2ECEA876"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49219414" w14:textId="77777777" w:rsidR="00400441" w:rsidRPr="002B1644" w:rsidRDefault="00400441" w:rsidP="00400441">
      <w:pPr>
        <w:textAlignment w:val="baseline"/>
        <w:rPr>
          <w:rFonts w:ascii="Segoe UI" w:hAnsi="Segoe UI" w:cs="Segoe UI"/>
          <w:lang w:eastAsia="en-GB"/>
        </w:rPr>
      </w:pPr>
      <w:r w:rsidRPr="002B1644">
        <w:rPr>
          <w:rFonts w:cs="Arial"/>
          <w:lang w:eastAsia="en-GB"/>
        </w:rPr>
        <w:t>Value Added Tax payable is only included as income and expenditure received or paid by the Authority if it is classed as irrecoverable by HM Revenue and Customs. </w:t>
      </w:r>
    </w:p>
    <w:p w14:paraId="283A9B9C"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6B706911" w14:textId="77777777" w:rsidR="00400441" w:rsidRPr="002B1644" w:rsidRDefault="00400441" w:rsidP="00400441">
      <w:pPr>
        <w:textAlignment w:val="baseline"/>
        <w:rPr>
          <w:rFonts w:ascii="Segoe UI" w:hAnsi="Segoe UI" w:cs="Segoe UI"/>
          <w:lang w:eastAsia="en-GB"/>
        </w:rPr>
      </w:pPr>
      <w:r w:rsidRPr="002B1644">
        <w:rPr>
          <w:rFonts w:cs="Arial"/>
          <w:b/>
          <w:bCs/>
          <w:lang w:eastAsia="en-GB"/>
        </w:rPr>
        <w:t>Fair Value Measurement</w:t>
      </w:r>
      <w:r w:rsidRPr="002B1644">
        <w:rPr>
          <w:rFonts w:cs="Arial"/>
          <w:lang w:eastAsia="en-GB"/>
        </w:rPr>
        <w:t> </w:t>
      </w:r>
    </w:p>
    <w:p w14:paraId="527B9042"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695A2125" w14:textId="77777777" w:rsidR="00400441" w:rsidRPr="002B1644" w:rsidRDefault="00400441" w:rsidP="00400441">
      <w:pPr>
        <w:textAlignment w:val="baseline"/>
        <w:rPr>
          <w:rFonts w:ascii="Segoe UI" w:hAnsi="Segoe UI" w:cs="Segoe UI"/>
          <w:lang w:eastAsia="en-GB"/>
        </w:rPr>
      </w:pPr>
      <w:r w:rsidRPr="002B1644">
        <w:rPr>
          <w:rFonts w:cs="Arial"/>
          <w:lang w:eastAsia="en-GB"/>
        </w:rPr>
        <w:t>The authority measures some of its non-financial assets such as surplus assets and investment properties at fair value at each reporting date. Fair value is the price that would be received to sell an asset in an orderly transaction between market participants at the measurement date. The fair value measurement assumes that the transaction to sell the asset takes place either in the principal market for the asset or, in the absence of a principal market, in the most advantageous market for the asset. </w:t>
      </w:r>
    </w:p>
    <w:p w14:paraId="41B67B3B"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10A26AC4" w14:textId="77777777" w:rsidR="00400441" w:rsidRPr="002B1644" w:rsidRDefault="00400441" w:rsidP="00400441">
      <w:pPr>
        <w:textAlignment w:val="baseline"/>
        <w:rPr>
          <w:rFonts w:ascii="Segoe UI" w:hAnsi="Segoe UI" w:cs="Segoe UI"/>
          <w:lang w:eastAsia="en-GB"/>
        </w:rPr>
      </w:pPr>
      <w:r w:rsidRPr="002B1644">
        <w:rPr>
          <w:rFonts w:cs="Arial"/>
          <w:lang w:eastAsia="en-GB"/>
        </w:rPr>
        <w:t>The authority measures the fair value of an asset using the assumptions that market participants would use when pricing the asset or liability, assuming that market participants act in their economic best interest. When measuring the fair value of a non-financial asset, the authority takes into account a market participant’s ability to generate economic benefits by using the asset in its highest and best use or by selling it to another market participant that would use the asset in its highest and best use. </w:t>
      </w:r>
    </w:p>
    <w:p w14:paraId="41E69CFF"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6556D981" w14:textId="1DC576A2" w:rsidR="00400441" w:rsidRPr="002B1644" w:rsidRDefault="00400441" w:rsidP="00400441">
      <w:pPr>
        <w:textAlignment w:val="baseline"/>
        <w:rPr>
          <w:rFonts w:ascii="Segoe UI" w:hAnsi="Segoe UI" w:cs="Segoe UI"/>
          <w:lang w:eastAsia="en-GB"/>
        </w:rPr>
      </w:pPr>
      <w:r w:rsidRPr="002B1644">
        <w:rPr>
          <w:rFonts w:cs="Arial"/>
          <w:lang w:eastAsia="en-GB"/>
        </w:rPr>
        <w:t>The authority uses valuation techniques that are appropriate in the circumstances and for which sufficient data is available, maximising the use of relevant observable inputs and minimising the use of unobservable inputs. Inputs to the valuation techniques in respect of assets for which fair value is measured or disclosed in the authority’s financial statements are categorised within the fair value hierarchy as follows: </w:t>
      </w:r>
    </w:p>
    <w:p w14:paraId="4FE314C9"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55A14493" w14:textId="77777777" w:rsidR="00400441" w:rsidRPr="002B1644" w:rsidRDefault="00400441" w:rsidP="00400441">
      <w:pPr>
        <w:ind w:left="1420" w:hanging="1420"/>
        <w:textAlignment w:val="baseline"/>
        <w:rPr>
          <w:rFonts w:cs="Arial"/>
          <w:lang w:eastAsia="en-GB"/>
        </w:rPr>
      </w:pPr>
      <w:r w:rsidRPr="002B1644">
        <w:rPr>
          <w:rFonts w:cs="Arial"/>
          <w:lang w:eastAsia="en-GB"/>
        </w:rPr>
        <w:t xml:space="preserve">Level 1  </w:t>
      </w:r>
      <w:r w:rsidRPr="002B1644">
        <w:rPr>
          <w:rFonts w:cs="Arial"/>
          <w:lang w:eastAsia="en-GB"/>
        </w:rPr>
        <w:tab/>
        <w:t>quoted prices (unadjusted) in active markets for identical assets that the authority can access at the measurement date </w:t>
      </w:r>
    </w:p>
    <w:p w14:paraId="26D0A846" w14:textId="77777777" w:rsidR="00400441" w:rsidRPr="002B1644" w:rsidRDefault="00400441" w:rsidP="00400441">
      <w:pPr>
        <w:ind w:left="555" w:hanging="420"/>
        <w:textAlignment w:val="baseline"/>
        <w:rPr>
          <w:rFonts w:ascii="Segoe UI" w:hAnsi="Segoe UI" w:cs="Segoe UI"/>
          <w:lang w:eastAsia="en-GB"/>
        </w:rPr>
      </w:pPr>
      <w:r w:rsidRPr="002B1644">
        <w:rPr>
          <w:rFonts w:cs="Arial"/>
          <w:lang w:eastAsia="en-GB"/>
        </w:rPr>
        <w:t> </w:t>
      </w:r>
    </w:p>
    <w:p w14:paraId="2DD45C59" w14:textId="77777777" w:rsidR="00400441" w:rsidRPr="002B1644" w:rsidRDefault="00400441" w:rsidP="00400441">
      <w:pPr>
        <w:ind w:left="1418" w:hanging="1418"/>
        <w:textAlignment w:val="baseline"/>
        <w:rPr>
          <w:rFonts w:cs="Arial"/>
          <w:lang w:eastAsia="en-GB"/>
        </w:rPr>
      </w:pPr>
      <w:r w:rsidRPr="002B1644">
        <w:rPr>
          <w:rFonts w:cs="Arial"/>
          <w:lang w:eastAsia="en-GB"/>
        </w:rPr>
        <w:t xml:space="preserve">Level 2 </w:t>
      </w:r>
      <w:r w:rsidRPr="002B1644">
        <w:rPr>
          <w:rFonts w:cs="Arial"/>
          <w:lang w:eastAsia="en-GB"/>
        </w:rPr>
        <w:tab/>
        <w:t xml:space="preserve"> inputs other that quoted prices included within Level 1 that are observable for the asset, either directly or indirectly </w:t>
      </w:r>
    </w:p>
    <w:p w14:paraId="46E790C8" w14:textId="77777777" w:rsidR="00400441" w:rsidRPr="002B1644" w:rsidRDefault="00400441" w:rsidP="00400441">
      <w:pPr>
        <w:ind w:left="555" w:hanging="420"/>
        <w:textAlignment w:val="baseline"/>
        <w:rPr>
          <w:rFonts w:ascii="Segoe UI" w:hAnsi="Segoe UI" w:cs="Segoe UI"/>
          <w:lang w:eastAsia="en-GB"/>
        </w:rPr>
      </w:pPr>
      <w:r w:rsidRPr="002B1644">
        <w:rPr>
          <w:rFonts w:cs="Arial"/>
          <w:lang w:eastAsia="en-GB"/>
        </w:rPr>
        <w:t> </w:t>
      </w:r>
    </w:p>
    <w:p w14:paraId="3CAA2950" w14:textId="77777777" w:rsidR="00400441" w:rsidRPr="002B1644" w:rsidRDefault="00400441" w:rsidP="00400441">
      <w:pPr>
        <w:textAlignment w:val="baseline"/>
        <w:rPr>
          <w:rFonts w:cs="Arial"/>
          <w:lang w:eastAsia="en-GB"/>
        </w:rPr>
      </w:pPr>
      <w:r w:rsidRPr="002B1644">
        <w:rPr>
          <w:rFonts w:cs="Arial"/>
          <w:lang w:eastAsia="en-GB"/>
        </w:rPr>
        <w:t xml:space="preserve">Level 3 </w:t>
      </w:r>
      <w:r w:rsidRPr="002B1644">
        <w:rPr>
          <w:rFonts w:cs="Arial"/>
          <w:lang w:eastAsia="en-GB"/>
        </w:rPr>
        <w:tab/>
        <w:t>unobservable inputs for the asset </w:t>
      </w:r>
    </w:p>
    <w:p w14:paraId="66FFC80A" w14:textId="77777777" w:rsidR="00400441" w:rsidRPr="002B1644" w:rsidRDefault="00400441" w:rsidP="00400441">
      <w:pPr>
        <w:ind w:left="720"/>
        <w:textAlignment w:val="baseline"/>
        <w:rPr>
          <w:rFonts w:ascii="Segoe UI" w:hAnsi="Segoe UI" w:cs="Segoe UI"/>
          <w:lang w:eastAsia="en-GB"/>
        </w:rPr>
      </w:pPr>
      <w:r w:rsidRPr="002B1644">
        <w:rPr>
          <w:rFonts w:cs="Arial"/>
          <w:lang w:eastAsia="en-GB"/>
        </w:rPr>
        <w:t> </w:t>
      </w:r>
    </w:p>
    <w:p w14:paraId="7DAA09A3" w14:textId="77777777" w:rsidR="00400441" w:rsidRPr="002B1644" w:rsidRDefault="00400441" w:rsidP="00400441">
      <w:pPr>
        <w:textAlignment w:val="baseline"/>
        <w:rPr>
          <w:rFonts w:ascii="Segoe UI" w:hAnsi="Segoe UI" w:cs="Segoe UI"/>
          <w:lang w:eastAsia="en-GB"/>
        </w:rPr>
      </w:pPr>
      <w:r w:rsidRPr="002B1644">
        <w:rPr>
          <w:rFonts w:cs="Arial"/>
          <w:b/>
          <w:bCs/>
          <w:lang w:eastAsia="en-GB"/>
        </w:rPr>
        <w:t>Rounding</w:t>
      </w:r>
      <w:r w:rsidRPr="002B1644">
        <w:rPr>
          <w:rFonts w:cs="Arial"/>
          <w:lang w:eastAsia="en-GB"/>
        </w:rPr>
        <w:t> </w:t>
      </w:r>
    </w:p>
    <w:p w14:paraId="7F40A287" w14:textId="77777777" w:rsidR="00400441" w:rsidRPr="002B1644" w:rsidRDefault="00400441" w:rsidP="00400441">
      <w:pPr>
        <w:textAlignment w:val="baseline"/>
        <w:rPr>
          <w:rFonts w:ascii="Segoe UI" w:hAnsi="Segoe UI" w:cs="Segoe UI"/>
          <w:lang w:eastAsia="en-GB"/>
        </w:rPr>
      </w:pPr>
      <w:r w:rsidRPr="002B1644">
        <w:rPr>
          <w:rFonts w:cs="Arial"/>
          <w:lang w:eastAsia="en-GB"/>
        </w:rPr>
        <w:t> </w:t>
      </w:r>
    </w:p>
    <w:p w14:paraId="485A458C" w14:textId="6DA82008" w:rsidR="0037339E" w:rsidRPr="004D5CA8" w:rsidRDefault="00400441" w:rsidP="00400441">
      <w:pPr>
        <w:tabs>
          <w:tab w:val="left" w:pos="0"/>
        </w:tabs>
        <w:rPr>
          <w:highlight w:val="yellow"/>
        </w:rPr>
        <w:sectPr w:rsidR="0037339E" w:rsidRPr="004D5CA8" w:rsidSect="002B1644">
          <w:headerReference w:type="even" r:id="rId18"/>
          <w:headerReference w:type="default" r:id="rId19"/>
          <w:footerReference w:type="default" r:id="rId20"/>
          <w:headerReference w:type="first" r:id="rId21"/>
          <w:type w:val="continuous"/>
          <w:pgSz w:w="11906" w:h="16838" w:code="9"/>
          <w:pgMar w:top="1077" w:right="849" w:bottom="720" w:left="1134" w:header="709" w:footer="403" w:gutter="0"/>
          <w:cols w:space="708"/>
          <w:docGrid w:linePitch="360"/>
        </w:sectPr>
      </w:pPr>
      <w:r w:rsidRPr="002B1644">
        <w:rPr>
          <w:rFonts w:cs="Arial"/>
          <w:lang w:eastAsia="en-GB"/>
        </w:rPr>
        <w:t>The authority accepts that minor rounding differences of between £1k and £2k may occur within its Statement of Accounts, these amounts are not material and the Authority does not intend to alter any totals where this occurs </w:t>
      </w:r>
    </w:p>
    <w:p w14:paraId="485A458D" w14:textId="77777777" w:rsidR="0037339E" w:rsidRPr="004D5CA8" w:rsidRDefault="0037339E" w:rsidP="0037339E">
      <w:pPr>
        <w:tabs>
          <w:tab w:val="left" w:pos="709"/>
        </w:tabs>
        <w:rPr>
          <w:highlight w:val="yellow"/>
        </w:rPr>
      </w:pPr>
    </w:p>
    <w:p w14:paraId="485A458F" w14:textId="77777777" w:rsidR="00E00863" w:rsidRPr="009C13C9" w:rsidRDefault="00E96705" w:rsidP="0076172E">
      <w:pPr>
        <w:tabs>
          <w:tab w:val="left" w:pos="0"/>
        </w:tabs>
        <w:jc w:val="center"/>
        <w:rPr>
          <w:b/>
          <w:sz w:val="28"/>
          <w:szCs w:val="28"/>
        </w:rPr>
      </w:pPr>
      <w:r w:rsidRPr="009C13C9">
        <w:rPr>
          <w:b/>
          <w:sz w:val="28"/>
          <w:szCs w:val="28"/>
        </w:rPr>
        <w:t>C</w:t>
      </w:r>
      <w:r w:rsidR="00E00863" w:rsidRPr="009C13C9">
        <w:rPr>
          <w:b/>
          <w:sz w:val="28"/>
          <w:szCs w:val="28"/>
        </w:rPr>
        <w:t>OMPREHENSIVE INCOME AND EXPENDITURE STATEMENT</w:t>
      </w:r>
    </w:p>
    <w:p w14:paraId="485A4594" w14:textId="77777777" w:rsidR="00E00863" w:rsidRPr="004D5CA8" w:rsidRDefault="00E00863" w:rsidP="00D34473">
      <w:pPr>
        <w:jc w:val="center"/>
        <w:rPr>
          <w:color w:val="FF0000"/>
          <w:highlight w:val="yellow"/>
        </w:rPr>
      </w:pPr>
    </w:p>
    <w:p w14:paraId="12A2525E" w14:textId="5281CB6A" w:rsidR="006A2C55" w:rsidRDefault="006A2C55" w:rsidP="00D34473">
      <w:pPr>
        <w:jc w:val="center"/>
        <w:rPr>
          <w:rFonts w:ascii="Times New Roman" w:hAnsi="Times New Roman"/>
          <w:sz w:val="20"/>
          <w:szCs w:val="20"/>
          <w:lang w:eastAsia="en-GB"/>
        </w:rPr>
      </w:pPr>
      <w:r>
        <w:rPr>
          <w:highlight w:val="yellow"/>
        </w:rPr>
        <w:fldChar w:fldCharType="begin"/>
      </w:r>
      <w:r>
        <w:rPr>
          <w:highlight w:val="yellow"/>
        </w:rPr>
        <w:instrText xml:space="preserve"> LINK </w:instrText>
      </w:r>
      <w:r w:rsidR="004D7221">
        <w:rPr>
          <w:highlight w:val="yellow"/>
        </w:rPr>
        <w:instrText xml:space="preserve">Excel.Sheet.12 "\\\\ldnpa\\authority\\Finance\\Finance Unrestricted\\Working Year 22-23\\Year End 22-23\\TB CIES and balance sheet\\CIES and balance sheet 2223 26_5_23.xlsx" CIES!R3C2:R26C9 </w:instrText>
      </w:r>
      <w:r>
        <w:rPr>
          <w:highlight w:val="yellow"/>
        </w:rPr>
        <w:instrText xml:space="preserve">\a \f 4 \h  \* MERGEFORMAT </w:instrText>
      </w:r>
      <w:r>
        <w:rPr>
          <w:highlight w:val="yellow"/>
        </w:rPr>
        <w:fldChar w:fldCharType="separate"/>
      </w:r>
    </w:p>
    <w:tbl>
      <w:tblPr>
        <w:tblW w:w="10419" w:type="dxa"/>
        <w:tblLook w:val="04A0" w:firstRow="1" w:lastRow="0" w:firstColumn="1" w:lastColumn="0" w:noHBand="0" w:noVBand="1"/>
      </w:tblPr>
      <w:tblGrid>
        <w:gridCol w:w="828"/>
        <w:gridCol w:w="1152"/>
        <w:gridCol w:w="992"/>
        <w:gridCol w:w="3863"/>
        <w:gridCol w:w="796"/>
        <w:gridCol w:w="866"/>
        <w:gridCol w:w="961"/>
        <w:gridCol w:w="961"/>
      </w:tblGrid>
      <w:tr w:rsidR="006A2C55" w:rsidRPr="006A2C55" w14:paraId="718849D1" w14:textId="77777777" w:rsidTr="00273B88">
        <w:trPr>
          <w:trHeight w:val="273"/>
        </w:trPr>
        <w:tc>
          <w:tcPr>
            <w:tcW w:w="2972" w:type="dxa"/>
            <w:gridSpan w:val="3"/>
            <w:tcBorders>
              <w:top w:val="single" w:sz="4" w:space="0" w:color="auto"/>
              <w:left w:val="single" w:sz="4" w:space="0" w:color="auto"/>
              <w:bottom w:val="nil"/>
              <w:right w:val="nil"/>
            </w:tcBorders>
            <w:shd w:val="clear" w:color="000000" w:fill="000000"/>
            <w:noWrap/>
            <w:vAlign w:val="center"/>
            <w:hideMark/>
          </w:tcPr>
          <w:p w14:paraId="172A0808" w14:textId="405BBEAE" w:rsidR="006A2C55" w:rsidRPr="006A2C55" w:rsidRDefault="006A2C55" w:rsidP="006A2C55">
            <w:pPr>
              <w:jc w:val="center"/>
              <w:rPr>
                <w:rFonts w:cs="Arial"/>
                <w:b/>
                <w:bCs/>
                <w:color w:val="FFFFFF"/>
                <w:sz w:val="20"/>
                <w:szCs w:val="20"/>
                <w:lang w:eastAsia="en-GB"/>
              </w:rPr>
            </w:pPr>
            <w:r w:rsidRPr="006A2C55">
              <w:rPr>
                <w:rFonts w:cs="Arial"/>
                <w:b/>
                <w:bCs/>
                <w:color w:val="FFFFFF"/>
                <w:sz w:val="20"/>
                <w:szCs w:val="20"/>
                <w:lang w:eastAsia="en-GB"/>
              </w:rPr>
              <w:t>2021/22</w:t>
            </w:r>
          </w:p>
        </w:tc>
        <w:tc>
          <w:tcPr>
            <w:tcW w:w="3863" w:type="dxa"/>
            <w:tcBorders>
              <w:top w:val="single" w:sz="4" w:space="0" w:color="auto"/>
              <w:left w:val="nil"/>
              <w:bottom w:val="nil"/>
              <w:right w:val="nil"/>
            </w:tcBorders>
            <w:shd w:val="clear" w:color="000000" w:fill="000000"/>
            <w:noWrap/>
            <w:vAlign w:val="center"/>
            <w:hideMark/>
          </w:tcPr>
          <w:p w14:paraId="4282D6A0" w14:textId="77777777" w:rsidR="006A2C55" w:rsidRPr="006A2C55" w:rsidRDefault="006A2C55" w:rsidP="006A2C55">
            <w:pPr>
              <w:rPr>
                <w:rFonts w:cs="Arial"/>
                <w:color w:val="000000"/>
                <w:sz w:val="22"/>
                <w:szCs w:val="22"/>
                <w:lang w:eastAsia="en-GB"/>
              </w:rPr>
            </w:pPr>
            <w:r w:rsidRPr="006A2C55">
              <w:rPr>
                <w:rFonts w:cs="Arial"/>
                <w:color w:val="000000"/>
                <w:sz w:val="22"/>
                <w:szCs w:val="22"/>
                <w:lang w:eastAsia="en-GB"/>
              </w:rPr>
              <w:t> </w:t>
            </w:r>
          </w:p>
        </w:tc>
        <w:tc>
          <w:tcPr>
            <w:tcW w:w="796" w:type="dxa"/>
            <w:tcBorders>
              <w:top w:val="single" w:sz="4" w:space="0" w:color="auto"/>
              <w:left w:val="nil"/>
              <w:bottom w:val="nil"/>
              <w:right w:val="nil"/>
            </w:tcBorders>
            <w:shd w:val="clear" w:color="000000" w:fill="000000"/>
            <w:noWrap/>
            <w:vAlign w:val="center"/>
            <w:hideMark/>
          </w:tcPr>
          <w:p w14:paraId="3070890D" w14:textId="77777777" w:rsidR="006A2C55" w:rsidRPr="006A2C55" w:rsidRDefault="006A2C55" w:rsidP="006A2C55">
            <w:pPr>
              <w:rPr>
                <w:rFonts w:cs="Arial"/>
                <w:color w:val="000000"/>
                <w:sz w:val="22"/>
                <w:szCs w:val="22"/>
                <w:lang w:eastAsia="en-GB"/>
              </w:rPr>
            </w:pPr>
            <w:r w:rsidRPr="006A2C55">
              <w:rPr>
                <w:rFonts w:cs="Arial"/>
                <w:color w:val="000000"/>
                <w:sz w:val="22"/>
                <w:szCs w:val="22"/>
                <w:lang w:eastAsia="en-GB"/>
              </w:rPr>
              <w:t> </w:t>
            </w:r>
          </w:p>
        </w:tc>
        <w:tc>
          <w:tcPr>
            <w:tcW w:w="2788" w:type="dxa"/>
            <w:gridSpan w:val="3"/>
            <w:tcBorders>
              <w:top w:val="single" w:sz="4" w:space="0" w:color="auto"/>
              <w:left w:val="nil"/>
              <w:bottom w:val="nil"/>
              <w:right w:val="single" w:sz="4" w:space="0" w:color="000000"/>
            </w:tcBorders>
            <w:shd w:val="clear" w:color="000000" w:fill="000000"/>
            <w:noWrap/>
            <w:vAlign w:val="center"/>
            <w:hideMark/>
          </w:tcPr>
          <w:p w14:paraId="684671CA" w14:textId="77777777" w:rsidR="006A2C55" w:rsidRPr="006A2C55" w:rsidRDefault="006A2C55" w:rsidP="006A2C55">
            <w:pPr>
              <w:jc w:val="center"/>
              <w:rPr>
                <w:rFonts w:cs="Arial"/>
                <w:b/>
                <w:bCs/>
                <w:color w:val="FFFFFF"/>
                <w:sz w:val="20"/>
                <w:szCs w:val="20"/>
                <w:lang w:eastAsia="en-GB"/>
              </w:rPr>
            </w:pPr>
            <w:r w:rsidRPr="006A2C55">
              <w:rPr>
                <w:rFonts w:cs="Arial"/>
                <w:b/>
                <w:bCs/>
                <w:color w:val="FFFFFF"/>
                <w:sz w:val="20"/>
                <w:szCs w:val="20"/>
                <w:lang w:eastAsia="en-GB"/>
              </w:rPr>
              <w:t>2022/23</w:t>
            </w:r>
          </w:p>
        </w:tc>
      </w:tr>
      <w:tr w:rsidR="006A2C55" w:rsidRPr="006A2C55" w14:paraId="5944F138" w14:textId="77777777" w:rsidTr="00273B88">
        <w:trPr>
          <w:trHeight w:val="455"/>
        </w:trPr>
        <w:tc>
          <w:tcPr>
            <w:tcW w:w="828" w:type="dxa"/>
            <w:tcBorders>
              <w:top w:val="nil"/>
              <w:left w:val="single" w:sz="4" w:space="0" w:color="auto"/>
              <w:bottom w:val="nil"/>
              <w:right w:val="nil"/>
            </w:tcBorders>
            <w:shd w:val="clear" w:color="000000" w:fill="000000"/>
            <w:vAlign w:val="center"/>
            <w:hideMark/>
          </w:tcPr>
          <w:p w14:paraId="1484C54C" w14:textId="77777777" w:rsidR="006A2C55" w:rsidRPr="006A2C55" w:rsidRDefault="006A2C55" w:rsidP="006A2C55">
            <w:pPr>
              <w:jc w:val="center"/>
              <w:rPr>
                <w:rFonts w:cs="Arial"/>
                <w:b/>
                <w:bCs/>
                <w:color w:val="FFFFFF"/>
                <w:sz w:val="18"/>
                <w:szCs w:val="18"/>
                <w:lang w:eastAsia="en-GB"/>
              </w:rPr>
            </w:pPr>
            <w:r w:rsidRPr="006A2C55">
              <w:rPr>
                <w:rFonts w:cs="Arial"/>
                <w:b/>
                <w:bCs/>
                <w:color w:val="FFFFFF"/>
                <w:sz w:val="18"/>
                <w:szCs w:val="18"/>
                <w:lang w:eastAsia="en-GB"/>
              </w:rPr>
              <w:t>Gross Exp</w:t>
            </w:r>
          </w:p>
        </w:tc>
        <w:tc>
          <w:tcPr>
            <w:tcW w:w="1152" w:type="dxa"/>
            <w:tcBorders>
              <w:top w:val="nil"/>
              <w:left w:val="nil"/>
              <w:bottom w:val="nil"/>
              <w:right w:val="nil"/>
            </w:tcBorders>
            <w:shd w:val="clear" w:color="000000" w:fill="000000"/>
            <w:vAlign w:val="center"/>
            <w:hideMark/>
          </w:tcPr>
          <w:p w14:paraId="4491BD84" w14:textId="77777777" w:rsidR="006A2C55" w:rsidRPr="006A2C55" w:rsidRDefault="006A2C55" w:rsidP="006A2C55">
            <w:pPr>
              <w:jc w:val="center"/>
              <w:rPr>
                <w:rFonts w:cs="Arial"/>
                <w:b/>
                <w:bCs/>
                <w:color w:val="FFFFFF"/>
                <w:sz w:val="18"/>
                <w:szCs w:val="18"/>
                <w:lang w:eastAsia="en-GB"/>
              </w:rPr>
            </w:pPr>
            <w:r w:rsidRPr="006A2C55">
              <w:rPr>
                <w:rFonts w:cs="Arial"/>
                <w:b/>
                <w:bCs/>
                <w:color w:val="FFFFFF"/>
                <w:sz w:val="18"/>
                <w:szCs w:val="18"/>
                <w:lang w:eastAsia="en-GB"/>
              </w:rPr>
              <w:t>Gross Income</w:t>
            </w:r>
          </w:p>
        </w:tc>
        <w:tc>
          <w:tcPr>
            <w:tcW w:w="992" w:type="dxa"/>
            <w:tcBorders>
              <w:top w:val="nil"/>
              <w:left w:val="nil"/>
              <w:bottom w:val="nil"/>
              <w:right w:val="nil"/>
            </w:tcBorders>
            <w:shd w:val="clear" w:color="000000" w:fill="000000"/>
            <w:vAlign w:val="center"/>
            <w:hideMark/>
          </w:tcPr>
          <w:p w14:paraId="262040AE" w14:textId="77777777" w:rsidR="006A2C55" w:rsidRPr="006A2C55" w:rsidRDefault="006A2C55" w:rsidP="006A2C55">
            <w:pPr>
              <w:jc w:val="center"/>
              <w:rPr>
                <w:rFonts w:cs="Arial"/>
                <w:b/>
                <w:bCs/>
                <w:color w:val="FFFFFF"/>
                <w:sz w:val="18"/>
                <w:szCs w:val="18"/>
                <w:lang w:eastAsia="en-GB"/>
              </w:rPr>
            </w:pPr>
            <w:r w:rsidRPr="006A2C55">
              <w:rPr>
                <w:rFonts w:cs="Arial"/>
                <w:b/>
                <w:bCs/>
                <w:color w:val="FFFFFF"/>
                <w:sz w:val="18"/>
                <w:szCs w:val="18"/>
                <w:lang w:eastAsia="en-GB"/>
              </w:rPr>
              <w:t>Net Exp</w:t>
            </w:r>
          </w:p>
        </w:tc>
        <w:tc>
          <w:tcPr>
            <w:tcW w:w="3863" w:type="dxa"/>
            <w:tcBorders>
              <w:top w:val="nil"/>
              <w:left w:val="nil"/>
              <w:bottom w:val="nil"/>
              <w:right w:val="nil"/>
            </w:tcBorders>
            <w:shd w:val="clear" w:color="000000" w:fill="000000"/>
            <w:noWrap/>
            <w:vAlign w:val="center"/>
            <w:hideMark/>
          </w:tcPr>
          <w:p w14:paraId="3E5E10E1" w14:textId="77777777" w:rsidR="006A2C55" w:rsidRPr="006A2C55" w:rsidRDefault="006A2C55" w:rsidP="006A2C55">
            <w:pPr>
              <w:rPr>
                <w:rFonts w:cs="Arial"/>
                <w:color w:val="000000"/>
                <w:sz w:val="22"/>
                <w:szCs w:val="22"/>
                <w:lang w:eastAsia="en-GB"/>
              </w:rPr>
            </w:pPr>
            <w:r w:rsidRPr="006A2C55">
              <w:rPr>
                <w:rFonts w:cs="Arial"/>
                <w:color w:val="000000"/>
                <w:sz w:val="22"/>
                <w:szCs w:val="22"/>
                <w:lang w:eastAsia="en-GB"/>
              </w:rPr>
              <w:t> </w:t>
            </w:r>
          </w:p>
        </w:tc>
        <w:tc>
          <w:tcPr>
            <w:tcW w:w="796" w:type="dxa"/>
            <w:vMerge w:val="restart"/>
            <w:tcBorders>
              <w:top w:val="nil"/>
              <w:left w:val="nil"/>
              <w:bottom w:val="nil"/>
              <w:right w:val="nil"/>
            </w:tcBorders>
            <w:shd w:val="clear" w:color="000000" w:fill="000000"/>
            <w:noWrap/>
            <w:textDirection w:val="btLr"/>
            <w:vAlign w:val="center"/>
            <w:hideMark/>
          </w:tcPr>
          <w:p w14:paraId="39BA4E06" w14:textId="77777777" w:rsidR="006A2C55" w:rsidRPr="006A2C55" w:rsidRDefault="006A2C55" w:rsidP="006A2C55">
            <w:pPr>
              <w:jc w:val="right"/>
              <w:rPr>
                <w:rFonts w:cs="Arial"/>
                <w:b/>
                <w:bCs/>
                <w:color w:val="FFFFFF"/>
                <w:sz w:val="18"/>
                <w:szCs w:val="18"/>
                <w:lang w:eastAsia="en-GB"/>
              </w:rPr>
            </w:pPr>
            <w:r w:rsidRPr="006A2C55">
              <w:rPr>
                <w:rFonts w:cs="Arial"/>
                <w:b/>
                <w:bCs/>
                <w:color w:val="FFFFFF"/>
                <w:sz w:val="18"/>
                <w:szCs w:val="18"/>
                <w:lang w:eastAsia="en-GB"/>
              </w:rPr>
              <w:t>Note</w:t>
            </w:r>
          </w:p>
        </w:tc>
        <w:tc>
          <w:tcPr>
            <w:tcW w:w="866" w:type="dxa"/>
            <w:tcBorders>
              <w:top w:val="nil"/>
              <w:left w:val="nil"/>
              <w:bottom w:val="nil"/>
              <w:right w:val="nil"/>
            </w:tcBorders>
            <w:shd w:val="clear" w:color="000000" w:fill="000000"/>
            <w:vAlign w:val="center"/>
            <w:hideMark/>
          </w:tcPr>
          <w:p w14:paraId="3B4FFE31" w14:textId="77777777" w:rsidR="006A2C55" w:rsidRPr="006A2C55" w:rsidRDefault="006A2C55" w:rsidP="006A2C55">
            <w:pPr>
              <w:jc w:val="center"/>
              <w:rPr>
                <w:rFonts w:cs="Arial"/>
                <w:b/>
                <w:bCs/>
                <w:color w:val="FFFFFF"/>
                <w:sz w:val="18"/>
                <w:szCs w:val="18"/>
                <w:lang w:eastAsia="en-GB"/>
              </w:rPr>
            </w:pPr>
            <w:r w:rsidRPr="006A2C55">
              <w:rPr>
                <w:rFonts w:cs="Arial"/>
                <w:b/>
                <w:bCs/>
                <w:color w:val="FFFFFF"/>
                <w:sz w:val="18"/>
                <w:szCs w:val="18"/>
                <w:lang w:eastAsia="en-GB"/>
              </w:rPr>
              <w:t>Gross Exp</w:t>
            </w:r>
          </w:p>
        </w:tc>
        <w:tc>
          <w:tcPr>
            <w:tcW w:w="961" w:type="dxa"/>
            <w:tcBorders>
              <w:top w:val="nil"/>
              <w:left w:val="nil"/>
              <w:bottom w:val="nil"/>
              <w:right w:val="nil"/>
            </w:tcBorders>
            <w:shd w:val="clear" w:color="000000" w:fill="000000"/>
            <w:vAlign w:val="center"/>
            <w:hideMark/>
          </w:tcPr>
          <w:p w14:paraId="06D7789E" w14:textId="77777777" w:rsidR="006A2C55" w:rsidRPr="006A2C55" w:rsidRDefault="006A2C55" w:rsidP="006A2C55">
            <w:pPr>
              <w:jc w:val="center"/>
              <w:rPr>
                <w:rFonts w:cs="Arial"/>
                <w:b/>
                <w:bCs/>
                <w:color w:val="FFFFFF"/>
                <w:sz w:val="18"/>
                <w:szCs w:val="18"/>
                <w:lang w:eastAsia="en-GB"/>
              </w:rPr>
            </w:pPr>
            <w:r w:rsidRPr="006A2C55">
              <w:rPr>
                <w:rFonts w:cs="Arial"/>
                <w:b/>
                <w:bCs/>
                <w:color w:val="FFFFFF"/>
                <w:sz w:val="18"/>
                <w:szCs w:val="18"/>
                <w:lang w:eastAsia="en-GB"/>
              </w:rPr>
              <w:t>Gross Income</w:t>
            </w:r>
          </w:p>
        </w:tc>
        <w:tc>
          <w:tcPr>
            <w:tcW w:w="961" w:type="dxa"/>
            <w:tcBorders>
              <w:top w:val="nil"/>
              <w:left w:val="nil"/>
              <w:bottom w:val="nil"/>
              <w:right w:val="single" w:sz="4" w:space="0" w:color="auto"/>
            </w:tcBorders>
            <w:shd w:val="clear" w:color="000000" w:fill="000000"/>
            <w:vAlign w:val="center"/>
            <w:hideMark/>
          </w:tcPr>
          <w:p w14:paraId="133AFE92" w14:textId="77777777" w:rsidR="006A2C55" w:rsidRPr="006A2C55" w:rsidRDefault="006A2C55" w:rsidP="006A2C55">
            <w:pPr>
              <w:jc w:val="center"/>
              <w:rPr>
                <w:rFonts w:cs="Arial"/>
                <w:b/>
                <w:bCs/>
                <w:color w:val="FFFFFF"/>
                <w:sz w:val="18"/>
                <w:szCs w:val="18"/>
                <w:lang w:eastAsia="en-GB"/>
              </w:rPr>
            </w:pPr>
            <w:r w:rsidRPr="006A2C55">
              <w:rPr>
                <w:rFonts w:cs="Arial"/>
                <w:b/>
                <w:bCs/>
                <w:color w:val="FFFFFF"/>
                <w:sz w:val="18"/>
                <w:szCs w:val="18"/>
                <w:lang w:eastAsia="en-GB"/>
              </w:rPr>
              <w:t>Net Exp</w:t>
            </w:r>
          </w:p>
        </w:tc>
      </w:tr>
      <w:tr w:rsidR="006A2C55" w:rsidRPr="006A2C55" w14:paraId="771DD62F" w14:textId="77777777" w:rsidTr="00273B88">
        <w:trPr>
          <w:trHeight w:val="435"/>
        </w:trPr>
        <w:tc>
          <w:tcPr>
            <w:tcW w:w="828" w:type="dxa"/>
            <w:tcBorders>
              <w:top w:val="nil"/>
              <w:left w:val="single" w:sz="4" w:space="0" w:color="auto"/>
              <w:bottom w:val="nil"/>
              <w:right w:val="nil"/>
            </w:tcBorders>
            <w:shd w:val="clear" w:color="000000" w:fill="000000"/>
            <w:noWrap/>
            <w:vAlign w:val="center"/>
            <w:hideMark/>
          </w:tcPr>
          <w:p w14:paraId="44E6C470" w14:textId="77777777" w:rsidR="006A2C55" w:rsidRPr="006A2C55" w:rsidRDefault="006A2C55" w:rsidP="006A2C55">
            <w:pPr>
              <w:jc w:val="center"/>
              <w:rPr>
                <w:rFonts w:cs="Arial"/>
                <w:b/>
                <w:bCs/>
                <w:color w:val="FFFFFF"/>
                <w:sz w:val="18"/>
                <w:szCs w:val="18"/>
                <w:lang w:eastAsia="en-GB"/>
              </w:rPr>
            </w:pPr>
            <w:r w:rsidRPr="006A2C55">
              <w:rPr>
                <w:rFonts w:cs="Arial"/>
                <w:b/>
                <w:bCs/>
                <w:color w:val="FFFFFF"/>
                <w:sz w:val="18"/>
                <w:szCs w:val="18"/>
                <w:lang w:eastAsia="en-GB"/>
              </w:rPr>
              <w:t>£000</w:t>
            </w:r>
          </w:p>
        </w:tc>
        <w:tc>
          <w:tcPr>
            <w:tcW w:w="1152" w:type="dxa"/>
            <w:tcBorders>
              <w:top w:val="nil"/>
              <w:left w:val="nil"/>
              <w:bottom w:val="nil"/>
              <w:right w:val="nil"/>
            </w:tcBorders>
            <w:shd w:val="clear" w:color="000000" w:fill="000000"/>
            <w:noWrap/>
            <w:vAlign w:val="center"/>
            <w:hideMark/>
          </w:tcPr>
          <w:p w14:paraId="640AE762" w14:textId="77777777" w:rsidR="006A2C55" w:rsidRPr="006A2C55" w:rsidRDefault="006A2C55" w:rsidP="006A2C55">
            <w:pPr>
              <w:jc w:val="center"/>
              <w:rPr>
                <w:rFonts w:cs="Arial"/>
                <w:b/>
                <w:bCs/>
                <w:color w:val="FFFFFF"/>
                <w:sz w:val="18"/>
                <w:szCs w:val="18"/>
                <w:lang w:eastAsia="en-GB"/>
              </w:rPr>
            </w:pPr>
            <w:r w:rsidRPr="006A2C55">
              <w:rPr>
                <w:rFonts w:cs="Arial"/>
                <w:b/>
                <w:bCs/>
                <w:color w:val="FFFFFF"/>
                <w:sz w:val="18"/>
                <w:szCs w:val="18"/>
                <w:lang w:eastAsia="en-GB"/>
              </w:rPr>
              <w:t>£000</w:t>
            </w:r>
          </w:p>
        </w:tc>
        <w:tc>
          <w:tcPr>
            <w:tcW w:w="992" w:type="dxa"/>
            <w:tcBorders>
              <w:top w:val="nil"/>
              <w:left w:val="nil"/>
              <w:bottom w:val="nil"/>
              <w:right w:val="nil"/>
            </w:tcBorders>
            <w:shd w:val="clear" w:color="000000" w:fill="000000"/>
            <w:noWrap/>
            <w:vAlign w:val="center"/>
            <w:hideMark/>
          </w:tcPr>
          <w:p w14:paraId="115B8D9F" w14:textId="77777777" w:rsidR="006A2C55" w:rsidRPr="006A2C55" w:rsidRDefault="006A2C55" w:rsidP="006A2C55">
            <w:pPr>
              <w:jc w:val="center"/>
              <w:rPr>
                <w:rFonts w:cs="Arial"/>
                <w:b/>
                <w:bCs/>
                <w:color w:val="FFFFFF"/>
                <w:sz w:val="18"/>
                <w:szCs w:val="18"/>
                <w:lang w:eastAsia="en-GB"/>
              </w:rPr>
            </w:pPr>
            <w:r w:rsidRPr="006A2C55">
              <w:rPr>
                <w:rFonts w:cs="Arial"/>
                <w:b/>
                <w:bCs/>
                <w:color w:val="FFFFFF"/>
                <w:sz w:val="18"/>
                <w:szCs w:val="18"/>
                <w:lang w:eastAsia="en-GB"/>
              </w:rPr>
              <w:t>£000</w:t>
            </w:r>
          </w:p>
        </w:tc>
        <w:tc>
          <w:tcPr>
            <w:tcW w:w="3863" w:type="dxa"/>
            <w:tcBorders>
              <w:top w:val="nil"/>
              <w:left w:val="nil"/>
              <w:bottom w:val="nil"/>
              <w:right w:val="nil"/>
            </w:tcBorders>
            <w:shd w:val="clear" w:color="000000" w:fill="000000"/>
            <w:noWrap/>
            <w:vAlign w:val="center"/>
            <w:hideMark/>
          </w:tcPr>
          <w:p w14:paraId="0054B946" w14:textId="77777777" w:rsidR="006A2C55" w:rsidRPr="006A2C55" w:rsidRDefault="006A2C55" w:rsidP="006A2C55">
            <w:pPr>
              <w:rPr>
                <w:rFonts w:cs="Arial"/>
                <w:color w:val="000000"/>
                <w:sz w:val="22"/>
                <w:szCs w:val="22"/>
                <w:lang w:eastAsia="en-GB"/>
              </w:rPr>
            </w:pPr>
            <w:r w:rsidRPr="006A2C55">
              <w:rPr>
                <w:rFonts w:cs="Arial"/>
                <w:color w:val="000000"/>
                <w:sz w:val="22"/>
                <w:szCs w:val="22"/>
                <w:lang w:eastAsia="en-GB"/>
              </w:rPr>
              <w:t> </w:t>
            </w:r>
          </w:p>
        </w:tc>
        <w:tc>
          <w:tcPr>
            <w:tcW w:w="796" w:type="dxa"/>
            <w:vMerge/>
            <w:tcBorders>
              <w:top w:val="nil"/>
              <w:left w:val="nil"/>
              <w:bottom w:val="nil"/>
              <w:right w:val="nil"/>
            </w:tcBorders>
            <w:vAlign w:val="center"/>
            <w:hideMark/>
          </w:tcPr>
          <w:p w14:paraId="4D5461DC" w14:textId="77777777" w:rsidR="006A2C55" w:rsidRPr="006A2C55" w:rsidRDefault="006A2C55" w:rsidP="006A2C55">
            <w:pPr>
              <w:rPr>
                <w:rFonts w:cs="Arial"/>
                <w:b/>
                <w:bCs/>
                <w:color w:val="FFFFFF"/>
                <w:sz w:val="18"/>
                <w:szCs w:val="18"/>
                <w:lang w:eastAsia="en-GB"/>
              </w:rPr>
            </w:pPr>
          </w:p>
        </w:tc>
        <w:tc>
          <w:tcPr>
            <w:tcW w:w="866" w:type="dxa"/>
            <w:tcBorders>
              <w:top w:val="nil"/>
              <w:left w:val="nil"/>
              <w:bottom w:val="nil"/>
              <w:right w:val="nil"/>
            </w:tcBorders>
            <w:shd w:val="clear" w:color="000000" w:fill="000000"/>
            <w:noWrap/>
            <w:vAlign w:val="center"/>
            <w:hideMark/>
          </w:tcPr>
          <w:p w14:paraId="393B0DF0" w14:textId="77777777" w:rsidR="006A2C55" w:rsidRPr="006A2C55" w:rsidRDefault="006A2C55" w:rsidP="006A2C55">
            <w:pPr>
              <w:jc w:val="center"/>
              <w:rPr>
                <w:rFonts w:cs="Arial"/>
                <w:b/>
                <w:bCs/>
                <w:color w:val="FFFFFF"/>
                <w:sz w:val="18"/>
                <w:szCs w:val="18"/>
                <w:lang w:eastAsia="en-GB"/>
              </w:rPr>
            </w:pPr>
            <w:r w:rsidRPr="006A2C55">
              <w:rPr>
                <w:rFonts w:cs="Arial"/>
                <w:b/>
                <w:bCs/>
                <w:color w:val="FFFFFF"/>
                <w:sz w:val="18"/>
                <w:szCs w:val="18"/>
                <w:lang w:eastAsia="en-GB"/>
              </w:rPr>
              <w:t>£000</w:t>
            </w:r>
          </w:p>
        </w:tc>
        <w:tc>
          <w:tcPr>
            <w:tcW w:w="961" w:type="dxa"/>
            <w:tcBorders>
              <w:top w:val="nil"/>
              <w:left w:val="nil"/>
              <w:bottom w:val="nil"/>
              <w:right w:val="nil"/>
            </w:tcBorders>
            <w:shd w:val="clear" w:color="000000" w:fill="000000"/>
            <w:noWrap/>
            <w:vAlign w:val="center"/>
            <w:hideMark/>
          </w:tcPr>
          <w:p w14:paraId="29929052" w14:textId="77777777" w:rsidR="006A2C55" w:rsidRPr="006A2C55" w:rsidRDefault="006A2C55" w:rsidP="006A2C55">
            <w:pPr>
              <w:jc w:val="center"/>
              <w:rPr>
                <w:rFonts w:cs="Arial"/>
                <w:b/>
                <w:bCs/>
                <w:color w:val="FFFFFF"/>
                <w:sz w:val="18"/>
                <w:szCs w:val="18"/>
                <w:lang w:eastAsia="en-GB"/>
              </w:rPr>
            </w:pPr>
            <w:r w:rsidRPr="006A2C55">
              <w:rPr>
                <w:rFonts w:cs="Arial"/>
                <w:b/>
                <w:bCs/>
                <w:color w:val="FFFFFF"/>
                <w:sz w:val="18"/>
                <w:szCs w:val="18"/>
                <w:lang w:eastAsia="en-GB"/>
              </w:rPr>
              <w:t>£000</w:t>
            </w:r>
          </w:p>
        </w:tc>
        <w:tc>
          <w:tcPr>
            <w:tcW w:w="961" w:type="dxa"/>
            <w:tcBorders>
              <w:top w:val="nil"/>
              <w:left w:val="nil"/>
              <w:bottom w:val="nil"/>
              <w:right w:val="single" w:sz="4" w:space="0" w:color="auto"/>
            </w:tcBorders>
            <w:shd w:val="clear" w:color="000000" w:fill="000000"/>
            <w:noWrap/>
            <w:vAlign w:val="center"/>
            <w:hideMark/>
          </w:tcPr>
          <w:p w14:paraId="76B77559" w14:textId="77777777" w:rsidR="006A2C55" w:rsidRPr="006A2C55" w:rsidRDefault="006A2C55" w:rsidP="006A2C55">
            <w:pPr>
              <w:jc w:val="center"/>
              <w:rPr>
                <w:rFonts w:cs="Arial"/>
                <w:b/>
                <w:bCs/>
                <w:color w:val="FFFFFF"/>
                <w:sz w:val="18"/>
                <w:szCs w:val="18"/>
                <w:lang w:eastAsia="en-GB"/>
              </w:rPr>
            </w:pPr>
            <w:r w:rsidRPr="006A2C55">
              <w:rPr>
                <w:rFonts w:cs="Arial"/>
                <w:b/>
                <w:bCs/>
                <w:color w:val="FFFFFF"/>
                <w:sz w:val="18"/>
                <w:szCs w:val="18"/>
                <w:lang w:eastAsia="en-GB"/>
              </w:rPr>
              <w:t>£000</w:t>
            </w:r>
          </w:p>
        </w:tc>
      </w:tr>
      <w:tr w:rsidR="006A2C55" w:rsidRPr="006A2C55" w14:paraId="58451CBC" w14:textId="77777777" w:rsidTr="00273B88">
        <w:trPr>
          <w:trHeight w:val="273"/>
        </w:trPr>
        <w:tc>
          <w:tcPr>
            <w:tcW w:w="828" w:type="dxa"/>
            <w:tcBorders>
              <w:top w:val="nil"/>
              <w:left w:val="single" w:sz="4" w:space="0" w:color="auto"/>
              <w:bottom w:val="nil"/>
              <w:right w:val="nil"/>
            </w:tcBorders>
            <w:shd w:val="clear" w:color="000000" w:fill="FFFFFF"/>
            <w:noWrap/>
            <w:vAlign w:val="center"/>
            <w:hideMark/>
          </w:tcPr>
          <w:p w14:paraId="4EAEB6D8" w14:textId="77777777" w:rsidR="006A2C55" w:rsidRPr="006A2C55" w:rsidRDefault="006A2C55" w:rsidP="006A2C55">
            <w:pPr>
              <w:jc w:val="center"/>
              <w:rPr>
                <w:rFonts w:cs="Arial"/>
                <w:b/>
                <w:bCs/>
                <w:color w:val="FFFFFF"/>
                <w:sz w:val="20"/>
                <w:szCs w:val="20"/>
                <w:lang w:eastAsia="en-GB"/>
              </w:rPr>
            </w:pPr>
            <w:r w:rsidRPr="006A2C55">
              <w:rPr>
                <w:rFonts w:cs="Arial"/>
                <w:b/>
                <w:bCs/>
                <w:color w:val="FFFFFF"/>
                <w:sz w:val="20"/>
                <w:szCs w:val="20"/>
                <w:lang w:eastAsia="en-GB"/>
              </w:rPr>
              <w:t> </w:t>
            </w:r>
          </w:p>
        </w:tc>
        <w:tc>
          <w:tcPr>
            <w:tcW w:w="1152" w:type="dxa"/>
            <w:tcBorders>
              <w:top w:val="nil"/>
              <w:left w:val="nil"/>
              <w:bottom w:val="nil"/>
              <w:right w:val="nil"/>
            </w:tcBorders>
            <w:shd w:val="clear" w:color="000000" w:fill="FFFFFF"/>
            <w:noWrap/>
            <w:vAlign w:val="center"/>
            <w:hideMark/>
          </w:tcPr>
          <w:p w14:paraId="1FA95A5B" w14:textId="77777777" w:rsidR="006A2C55" w:rsidRPr="006A2C55" w:rsidRDefault="006A2C55" w:rsidP="006A2C55">
            <w:pPr>
              <w:jc w:val="center"/>
              <w:rPr>
                <w:rFonts w:cs="Arial"/>
                <w:b/>
                <w:bCs/>
                <w:color w:val="FFFFFF"/>
                <w:sz w:val="20"/>
                <w:szCs w:val="20"/>
                <w:lang w:eastAsia="en-GB"/>
              </w:rPr>
            </w:pPr>
            <w:r w:rsidRPr="006A2C55">
              <w:rPr>
                <w:rFonts w:cs="Arial"/>
                <w:b/>
                <w:bCs/>
                <w:color w:val="FFFFFF"/>
                <w:sz w:val="20"/>
                <w:szCs w:val="20"/>
                <w:lang w:eastAsia="en-GB"/>
              </w:rPr>
              <w:t> </w:t>
            </w:r>
          </w:p>
        </w:tc>
        <w:tc>
          <w:tcPr>
            <w:tcW w:w="992" w:type="dxa"/>
            <w:tcBorders>
              <w:top w:val="nil"/>
              <w:left w:val="nil"/>
              <w:bottom w:val="nil"/>
              <w:right w:val="nil"/>
            </w:tcBorders>
            <w:shd w:val="clear" w:color="000000" w:fill="FFFFFF"/>
            <w:noWrap/>
            <w:vAlign w:val="center"/>
            <w:hideMark/>
          </w:tcPr>
          <w:p w14:paraId="3EFC1F63" w14:textId="77777777" w:rsidR="006A2C55" w:rsidRPr="006A2C55" w:rsidRDefault="006A2C55" w:rsidP="006A2C55">
            <w:pPr>
              <w:jc w:val="center"/>
              <w:rPr>
                <w:rFonts w:cs="Arial"/>
                <w:b/>
                <w:bCs/>
                <w:color w:val="FFFFFF"/>
                <w:sz w:val="20"/>
                <w:szCs w:val="20"/>
                <w:lang w:eastAsia="en-GB"/>
              </w:rPr>
            </w:pPr>
            <w:r w:rsidRPr="006A2C55">
              <w:rPr>
                <w:rFonts w:cs="Arial"/>
                <w:b/>
                <w:bCs/>
                <w:color w:val="FFFFFF"/>
                <w:sz w:val="20"/>
                <w:szCs w:val="20"/>
                <w:lang w:eastAsia="en-GB"/>
              </w:rPr>
              <w:t> </w:t>
            </w:r>
          </w:p>
        </w:tc>
        <w:tc>
          <w:tcPr>
            <w:tcW w:w="3863" w:type="dxa"/>
            <w:tcBorders>
              <w:top w:val="nil"/>
              <w:left w:val="nil"/>
              <w:bottom w:val="nil"/>
              <w:right w:val="nil"/>
            </w:tcBorders>
            <w:shd w:val="clear" w:color="000000" w:fill="FFFFFF"/>
            <w:noWrap/>
            <w:vAlign w:val="center"/>
            <w:hideMark/>
          </w:tcPr>
          <w:p w14:paraId="694CF9FF"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796" w:type="dxa"/>
            <w:tcBorders>
              <w:top w:val="nil"/>
              <w:left w:val="nil"/>
              <w:bottom w:val="nil"/>
              <w:right w:val="nil"/>
            </w:tcBorders>
            <w:shd w:val="clear" w:color="000000" w:fill="FFFFFF"/>
            <w:vAlign w:val="center"/>
            <w:hideMark/>
          </w:tcPr>
          <w:p w14:paraId="491F8E18"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866" w:type="dxa"/>
            <w:tcBorders>
              <w:top w:val="nil"/>
              <w:left w:val="nil"/>
              <w:bottom w:val="nil"/>
              <w:right w:val="nil"/>
            </w:tcBorders>
            <w:shd w:val="clear" w:color="000000" w:fill="FFFFFF"/>
            <w:noWrap/>
            <w:vAlign w:val="center"/>
            <w:hideMark/>
          </w:tcPr>
          <w:p w14:paraId="5A9AFC1E" w14:textId="77777777" w:rsidR="006A2C55" w:rsidRPr="006A2C55" w:rsidRDefault="006A2C55" w:rsidP="006A2C55">
            <w:pPr>
              <w:jc w:val="center"/>
              <w:rPr>
                <w:rFonts w:cs="Arial"/>
                <w:b/>
                <w:bCs/>
                <w:color w:val="FFFFFF"/>
                <w:sz w:val="20"/>
                <w:szCs w:val="20"/>
                <w:lang w:eastAsia="en-GB"/>
              </w:rPr>
            </w:pPr>
            <w:r w:rsidRPr="006A2C55">
              <w:rPr>
                <w:rFonts w:cs="Arial"/>
                <w:b/>
                <w:bCs/>
                <w:color w:val="FFFFFF"/>
                <w:sz w:val="20"/>
                <w:szCs w:val="20"/>
                <w:lang w:eastAsia="en-GB"/>
              </w:rPr>
              <w:t> </w:t>
            </w:r>
          </w:p>
        </w:tc>
        <w:tc>
          <w:tcPr>
            <w:tcW w:w="961" w:type="dxa"/>
            <w:tcBorders>
              <w:top w:val="nil"/>
              <w:left w:val="nil"/>
              <w:bottom w:val="nil"/>
              <w:right w:val="nil"/>
            </w:tcBorders>
            <w:shd w:val="clear" w:color="000000" w:fill="FFFFFF"/>
            <w:noWrap/>
            <w:vAlign w:val="center"/>
            <w:hideMark/>
          </w:tcPr>
          <w:p w14:paraId="06C6FD18" w14:textId="77777777" w:rsidR="006A2C55" w:rsidRPr="006A2C55" w:rsidRDefault="006A2C55" w:rsidP="006A2C55">
            <w:pPr>
              <w:jc w:val="center"/>
              <w:rPr>
                <w:rFonts w:cs="Arial"/>
                <w:b/>
                <w:bCs/>
                <w:color w:val="FFFFFF"/>
                <w:sz w:val="20"/>
                <w:szCs w:val="20"/>
                <w:lang w:eastAsia="en-GB"/>
              </w:rPr>
            </w:pPr>
            <w:r w:rsidRPr="006A2C55">
              <w:rPr>
                <w:rFonts w:cs="Arial"/>
                <w:b/>
                <w:bCs/>
                <w:color w:val="FFFFFF"/>
                <w:sz w:val="20"/>
                <w:szCs w:val="20"/>
                <w:lang w:eastAsia="en-GB"/>
              </w:rPr>
              <w:t> </w:t>
            </w:r>
          </w:p>
        </w:tc>
        <w:tc>
          <w:tcPr>
            <w:tcW w:w="961" w:type="dxa"/>
            <w:tcBorders>
              <w:top w:val="nil"/>
              <w:left w:val="nil"/>
              <w:bottom w:val="nil"/>
              <w:right w:val="single" w:sz="4" w:space="0" w:color="auto"/>
            </w:tcBorders>
            <w:shd w:val="clear" w:color="000000" w:fill="FFFFFF"/>
            <w:noWrap/>
            <w:vAlign w:val="center"/>
            <w:hideMark/>
          </w:tcPr>
          <w:p w14:paraId="1AE82E4E" w14:textId="77777777" w:rsidR="006A2C55" w:rsidRPr="006A2C55" w:rsidRDefault="006A2C55" w:rsidP="006A2C55">
            <w:pPr>
              <w:jc w:val="center"/>
              <w:rPr>
                <w:rFonts w:cs="Arial"/>
                <w:b/>
                <w:bCs/>
                <w:color w:val="FFFFFF"/>
                <w:sz w:val="20"/>
                <w:szCs w:val="20"/>
                <w:lang w:eastAsia="en-GB"/>
              </w:rPr>
            </w:pPr>
            <w:r w:rsidRPr="006A2C55">
              <w:rPr>
                <w:rFonts w:cs="Arial"/>
                <w:b/>
                <w:bCs/>
                <w:color w:val="FFFFFF"/>
                <w:sz w:val="20"/>
                <w:szCs w:val="20"/>
                <w:lang w:eastAsia="en-GB"/>
              </w:rPr>
              <w:t> </w:t>
            </w:r>
          </w:p>
        </w:tc>
      </w:tr>
      <w:tr w:rsidR="006A2C55" w:rsidRPr="006A2C55" w14:paraId="0D9B95C8" w14:textId="77777777" w:rsidTr="00273B88">
        <w:trPr>
          <w:trHeight w:val="273"/>
        </w:trPr>
        <w:tc>
          <w:tcPr>
            <w:tcW w:w="828" w:type="dxa"/>
            <w:tcBorders>
              <w:top w:val="nil"/>
              <w:left w:val="single" w:sz="4" w:space="0" w:color="auto"/>
              <w:bottom w:val="nil"/>
              <w:right w:val="nil"/>
            </w:tcBorders>
            <w:shd w:val="clear" w:color="000000" w:fill="FFFFFF"/>
            <w:noWrap/>
            <w:vAlign w:val="center"/>
            <w:hideMark/>
          </w:tcPr>
          <w:p w14:paraId="6E6C2D30"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921</w:t>
            </w:r>
          </w:p>
        </w:tc>
        <w:tc>
          <w:tcPr>
            <w:tcW w:w="1152" w:type="dxa"/>
            <w:tcBorders>
              <w:top w:val="nil"/>
              <w:left w:val="nil"/>
              <w:bottom w:val="nil"/>
              <w:right w:val="nil"/>
            </w:tcBorders>
            <w:shd w:val="clear" w:color="000000" w:fill="FFFFFF"/>
            <w:noWrap/>
            <w:vAlign w:val="center"/>
            <w:hideMark/>
          </w:tcPr>
          <w:p w14:paraId="470E82EC" w14:textId="40C7F9E3" w:rsidR="006A2C55" w:rsidRPr="006A2C55" w:rsidRDefault="0078717B" w:rsidP="006A2C55">
            <w:pPr>
              <w:jc w:val="right"/>
              <w:rPr>
                <w:rFonts w:cs="Arial"/>
                <w:color w:val="000000"/>
                <w:sz w:val="20"/>
                <w:szCs w:val="20"/>
                <w:lang w:eastAsia="en-GB"/>
              </w:rPr>
            </w:pPr>
            <w:r>
              <w:rPr>
                <w:rFonts w:cs="Arial"/>
                <w:color w:val="000000"/>
                <w:sz w:val="20"/>
                <w:szCs w:val="20"/>
                <w:lang w:eastAsia="en-GB"/>
              </w:rPr>
              <w:t>(</w:t>
            </w:r>
            <w:r w:rsidR="006A2C55" w:rsidRPr="006A2C55">
              <w:rPr>
                <w:rFonts w:cs="Arial"/>
                <w:color w:val="000000"/>
                <w:sz w:val="20"/>
                <w:szCs w:val="20"/>
                <w:lang w:eastAsia="en-GB"/>
              </w:rPr>
              <w:t>231</w:t>
            </w:r>
            <w:r>
              <w:rPr>
                <w:rFonts w:cs="Arial"/>
                <w:color w:val="000000"/>
                <w:sz w:val="20"/>
                <w:szCs w:val="20"/>
                <w:lang w:eastAsia="en-GB"/>
              </w:rPr>
              <w:t>)</w:t>
            </w:r>
          </w:p>
        </w:tc>
        <w:tc>
          <w:tcPr>
            <w:tcW w:w="992" w:type="dxa"/>
            <w:tcBorders>
              <w:top w:val="nil"/>
              <w:left w:val="nil"/>
              <w:bottom w:val="nil"/>
              <w:right w:val="nil"/>
            </w:tcBorders>
            <w:shd w:val="clear" w:color="000000" w:fill="FFFFFF"/>
            <w:noWrap/>
            <w:vAlign w:val="center"/>
            <w:hideMark/>
          </w:tcPr>
          <w:p w14:paraId="12C17493"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690</w:t>
            </w:r>
          </w:p>
        </w:tc>
        <w:tc>
          <w:tcPr>
            <w:tcW w:w="3863" w:type="dxa"/>
            <w:tcBorders>
              <w:top w:val="nil"/>
              <w:left w:val="nil"/>
              <w:bottom w:val="nil"/>
              <w:right w:val="nil"/>
            </w:tcBorders>
            <w:shd w:val="clear" w:color="000000" w:fill="FFFFFF"/>
            <w:vAlign w:val="center"/>
            <w:hideMark/>
          </w:tcPr>
          <w:p w14:paraId="22A1E0E7"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Executive Board &amp; Legal</w:t>
            </w:r>
          </w:p>
        </w:tc>
        <w:tc>
          <w:tcPr>
            <w:tcW w:w="796" w:type="dxa"/>
            <w:tcBorders>
              <w:top w:val="nil"/>
              <w:left w:val="nil"/>
              <w:bottom w:val="nil"/>
              <w:right w:val="nil"/>
            </w:tcBorders>
            <w:shd w:val="clear" w:color="000000" w:fill="FFFFFF"/>
            <w:vAlign w:val="center"/>
            <w:hideMark/>
          </w:tcPr>
          <w:p w14:paraId="373DCBEB"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866" w:type="dxa"/>
            <w:tcBorders>
              <w:top w:val="nil"/>
              <w:left w:val="nil"/>
              <w:bottom w:val="nil"/>
              <w:right w:val="nil"/>
            </w:tcBorders>
            <w:shd w:val="clear" w:color="000000" w:fill="FFFFFF"/>
            <w:noWrap/>
            <w:vAlign w:val="center"/>
            <w:hideMark/>
          </w:tcPr>
          <w:p w14:paraId="58C4D395"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912</w:t>
            </w:r>
          </w:p>
        </w:tc>
        <w:tc>
          <w:tcPr>
            <w:tcW w:w="961" w:type="dxa"/>
            <w:tcBorders>
              <w:top w:val="nil"/>
              <w:left w:val="nil"/>
              <w:bottom w:val="nil"/>
              <w:right w:val="nil"/>
            </w:tcBorders>
            <w:shd w:val="clear" w:color="000000" w:fill="FFFFFF"/>
            <w:noWrap/>
            <w:vAlign w:val="center"/>
            <w:hideMark/>
          </w:tcPr>
          <w:p w14:paraId="11F5D379" w14:textId="627E6DB7" w:rsidR="006A2C55" w:rsidRPr="006A2C55" w:rsidRDefault="0078717B" w:rsidP="006A2C55">
            <w:pPr>
              <w:jc w:val="right"/>
              <w:rPr>
                <w:rFonts w:cs="Arial"/>
                <w:color w:val="000000"/>
                <w:sz w:val="20"/>
                <w:szCs w:val="20"/>
                <w:lang w:eastAsia="en-GB"/>
              </w:rPr>
            </w:pPr>
            <w:r>
              <w:rPr>
                <w:rFonts w:cs="Arial"/>
                <w:color w:val="000000"/>
                <w:sz w:val="20"/>
                <w:szCs w:val="20"/>
                <w:lang w:eastAsia="en-GB"/>
              </w:rPr>
              <w:t>(</w:t>
            </w:r>
            <w:r w:rsidR="006A2C55" w:rsidRPr="006A2C55">
              <w:rPr>
                <w:rFonts w:cs="Arial"/>
                <w:color w:val="000000"/>
                <w:sz w:val="20"/>
                <w:szCs w:val="20"/>
                <w:lang w:eastAsia="en-GB"/>
              </w:rPr>
              <w:t>193</w:t>
            </w:r>
            <w:r>
              <w:rPr>
                <w:rFonts w:cs="Arial"/>
                <w:color w:val="000000"/>
                <w:sz w:val="20"/>
                <w:szCs w:val="20"/>
                <w:lang w:eastAsia="en-GB"/>
              </w:rPr>
              <w:t>)</w:t>
            </w:r>
          </w:p>
        </w:tc>
        <w:tc>
          <w:tcPr>
            <w:tcW w:w="961" w:type="dxa"/>
            <w:tcBorders>
              <w:top w:val="nil"/>
              <w:left w:val="nil"/>
              <w:bottom w:val="nil"/>
              <w:right w:val="single" w:sz="4" w:space="0" w:color="auto"/>
            </w:tcBorders>
            <w:shd w:val="clear" w:color="000000" w:fill="FFFFFF"/>
            <w:noWrap/>
            <w:vAlign w:val="center"/>
            <w:hideMark/>
          </w:tcPr>
          <w:p w14:paraId="1EBE825B"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719</w:t>
            </w:r>
          </w:p>
        </w:tc>
      </w:tr>
      <w:tr w:rsidR="006A2C55" w:rsidRPr="006A2C55" w14:paraId="1CA228DA" w14:textId="77777777" w:rsidTr="00273B88">
        <w:trPr>
          <w:trHeight w:val="273"/>
        </w:trPr>
        <w:tc>
          <w:tcPr>
            <w:tcW w:w="828" w:type="dxa"/>
            <w:tcBorders>
              <w:top w:val="nil"/>
              <w:left w:val="single" w:sz="4" w:space="0" w:color="auto"/>
              <w:bottom w:val="nil"/>
              <w:right w:val="nil"/>
            </w:tcBorders>
            <w:shd w:val="clear" w:color="000000" w:fill="FFFFFF"/>
            <w:noWrap/>
            <w:vAlign w:val="center"/>
            <w:hideMark/>
          </w:tcPr>
          <w:p w14:paraId="24CDE064"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2,556</w:t>
            </w:r>
          </w:p>
        </w:tc>
        <w:tc>
          <w:tcPr>
            <w:tcW w:w="1152" w:type="dxa"/>
            <w:tcBorders>
              <w:top w:val="nil"/>
              <w:left w:val="nil"/>
              <w:bottom w:val="nil"/>
              <w:right w:val="nil"/>
            </w:tcBorders>
            <w:shd w:val="clear" w:color="000000" w:fill="FFFFFF"/>
            <w:noWrap/>
            <w:vAlign w:val="center"/>
            <w:hideMark/>
          </w:tcPr>
          <w:p w14:paraId="092621CA" w14:textId="360F9342" w:rsidR="006A2C55" w:rsidRPr="006A2C55" w:rsidRDefault="0078717B" w:rsidP="006A2C55">
            <w:pPr>
              <w:jc w:val="right"/>
              <w:rPr>
                <w:rFonts w:cs="Arial"/>
                <w:color w:val="000000"/>
                <w:sz w:val="20"/>
                <w:szCs w:val="20"/>
                <w:lang w:eastAsia="en-GB"/>
              </w:rPr>
            </w:pPr>
            <w:r>
              <w:rPr>
                <w:rFonts w:cs="Arial"/>
                <w:color w:val="000000"/>
                <w:sz w:val="20"/>
                <w:szCs w:val="20"/>
                <w:lang w:eastAsia="en-GB"/>
              </w:rPr>
              <w:t>(</w:t>
            </w:r>
            <w:r w:rsidR="006A2C55" w:rsidRPr="006A2C55">
              <w:rPr>
                <w:rFonts w:cs="Arial"/>
                <w:color w:val="000000"/>
                <w:sz w:val="20"/>
                <w:szCs w:val="20"/>
                <w:lang w:eastAsia="en-GB"/>
              </w:rPr>
              <w:t>505</w:t>
            </w:r>
            <w:r>
              <w:rPr>
                <w:rFonts w:cs="Arial"/>
                <w:color w:val="000000"/>
                <w:sz w:val="20"/>
                <w:szCs w:val="20"/>
                <w:lang w:eastAsia="en-GB"/>
              </w:rPr>
              <w:t>)</w:t>
            </w:r>
          </w:p>
        </w:tc>
        <w:tc>
          <w:tcPr>
            <w:tcW w:w="992" w:type="dxa"/>
            <w:tcBorders>
              <w:top w:val="nil"/>
              <w:left w:val="nil"/>
              <w:bottom w:val="nil"/>
              <w:right w:val="nil"/>
            </w:tcBorders>
            <w:shd w:val="clear" w:color="000000" w:fill="FFFFFF"/>
            <w:noWrap/>
            <w:vAlign w:val="center"/>
            <w:hideMark/>
          </w:tcPr>
          <w:p w14:paraId="16EB0479"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2,051</w:t>
            </w:r>
          </w:p>
        </w:tc>
        <w:tc>
          <w:tcPr>
            <w:tcW w:w="3863" w:type="dxa"/>
            <w:tcBorders>
              <w:top w:val="nil"/>
              <w:left w:val="nil"/>
              <w:bottom w:val="nil"/>
              <w:right w:val="nil"/>
            </w:tcBorders>
            <w:shd w:val="clear" w:color="000000" w:fill="FFFFFF"/>
            <w:vAlign w:val="center"/>
            <w:hideMark/>
          </w:tcPr>
          <w:p w14:paraId="51175160"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Resources</w:t>
            </w:r>
          </w:p>
        </w:tc>
        <w:tc>
          <w:tcPr>
            <w:tcW w:w="796" w:type="dxa"/>
            <w:tcBorders>
              <w:top w:val="nil"/>
              <w:left w:val="nil"/>
              <w:bottom w:val="nil"/>
              <w:right w:val="nil"/>
            </w:tcBorders>
            <w:shd w:val="clear" w:color="000000" w:fill="FFFFFF"/>
            <w:vAlign w:val="center"/>
            <w:hideMark/>
          </w:tcPr>
          <w:p w14:paraId="0699AB4B"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866" w:type="dxa"/>
            <w:tcBorders>
              <w:top w:val="nil"/>
              <w:left w:val="nil"/>
              <w:bottom w:val="nil"/>
              <w:right w:val="nil"/>
            </w:tcBorders>
            <w:shd w:val="clear" w:color="000000" w:fill="FFFFFF"/>
            <w:noWrap/>
            <w:vAlign w:val="center"/>
            <w:hideMark/>
          </w:tcPr>
          <w:p w14:paraId="504D0070"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2,946</w:t>
            </w:r>
          </w:p>
        </w:tc>
        <w:tc>
          <w:tcPr>
            <w:tcW w:w="961" w:type="dxa"/>
            <w:tcBorders>
              <w:top w:val="nil"/>
              <w:left w:val="nil"/>
              <w:bottom w:val="nil"/>
              <w:right w:val="nil"/>
            </w:tcBorders>
            <w:shd w:val="clear" w:color="000000" w:fill="FFFFFF"/>
            <w:noWrap/>
            <w:vAlign w:val="center"/>
            <w:hideMark/>
          </w:tcPr>
          <w:p w14:paraId="35169843" w14:textId="269F0346" w:rsidR="006A2C55" w:rsidRPr="006A2C55" w:rsidRDefault="0078717B" w:rsidP="006A2C55">
            <w:pPr>
              <w:jc w:val="right"/>
              <w:rPr>
                <w:rFonts w:cs="Arial"/>
                <w:color w:val="000000"/>
                <w:sz w:val="20"/>
                <w:szCs w:val="20"/>
                <w:lang w:eastAsia="en-GB"/>
              </w:rPr>
            </w:pPr>
            <w:r>
              <w:rPr>
                <w:rFonts w:cs="Arial"/>
                <w:color w:val="000000"/>
                <w:sz w:val="20"/>
                <w:szCs w:val="20"/>
                <w:lang w:eastAsia="en-GB"/>
              </w:rPr>
              <w:t>(</w:t>
            </w:r>
            <w:r w:rsidR="006A2C55" w:rsidRPr="006A2C55">
              <w:rPr>
                <w:rFonts w:cs="Arial"/>
                <w:color w:val="000000"/>
                <w:sz w:val="20"/>
                <w:szCs w:val="20"/>
                <w:lang w:eastAsia="en-GB"/>
              </w:rPr>
              <w:t>563</w:t>
            </w:r>
            <w:r>
              <w:rPr>
                <w:rFonts w:cs="Arial"/>
                <w:color w:val="000000"/>
                <w:sz w:val="20"/>
                <w:szCs w:val="20"/>
                <w:lang w:eastAsia="en-GB"/>
              </w:rPr>
              <w:t>)</w:t>
            </w:r>
          </w:p>
        </w:tc>
        <w:tc>
          <w:tcPr>
            <w:tcW w:w="961" w:type="dxa"/>
            <w:tcBorders>
              <w:top w:val="nil"/>
              <w:left w:val="nil"/>
              <w:bottom w:val="nil"/>
              <w:right w:val="single" w:sz="4" w:space="0" w:color="auto"/>
            </w:tcBorders>
            <w:shd w:val="clear" w:color="000000" w:fill="FFFFFF"/>
            <w:noWrap/>
            <w:vAlign w:val="center"/>
            <w:hideMark/>
          </w:tcPr>
          <w:p w14:paraId="3EDC186F"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2,383</w:t>
            </w:r>
          </w:p>
        </w:tc>
      </w:tr>
      <w:tr w:rsidR="006A2C55" w:rsidRPr="006A2C55" w14:paraId="08F32166" w14:textId="77777777" w:rsidTr="00273B88">
        <w:trPr>
          <w:trHeight w:val="273"/>
        </w:trPr>
        <w:tc>
          <w:tcPr>
            <w:tcW w:w="828" w:type="dxa"/>
            <w:tcBorders>
              <w:top w:val="nil"/>
              <w:left w:val="single" w:sz="4" w:space="0" w:color="auto"/>
              <w:bottom w:val="nil"/>
              <w:right w:val="nil"/>
            </w:tcBorders>
            <w:shd w:val="clear" w:color="000000" w:fill="FFFFFF"/>
            <w:noWrap/>
            <w:vAlign w:val="center"/>
            <w:hideMark/>
          </w:tcPr>
          <w:p w14:paraId="1405F476"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6,409</w:t>
            </w:r>
          </w:p>
        </w:tc>
        <w:tc>
          <w:tcPr>
            <w:tcW w:w="1152" w:type="dxa"/>
            <w:tcBorders>
              <w:top w:val="nil"/>
              <w:left w:val="nil"/>
              <w:bottom w:val="nil"/>
              <w:right w:val="nil"/>
            </w:tcBorders>
            <w:shd w:val="clear" w:color="000000" w:fill="FFFFFF"/>
            <w:noWrap/>
            <w:vAlign w:val="center"/>
            <w:hideMark/>
          </w:tcPr>
          <w:p w14:paraId="43800E5C" w14:textId="53A6CDA0" w:rsidR="006A2C55" w:rsidRPr="006A2C55" w:rsidRDefault="0078717B" w:rsidP="006A2C55">
            <w:pPr>
              <w:jc w:val="right"/>
              <w:rPr>
                <w:rFonts w:cs="Arial"/>
                <w:color w:val="000000"/>
                <w:sz w:val="20"/>
                <w:szCs w:val="20"/>
                <w:lang w:eastAsia="en-GB"/>
              </w:rPr>
            </w:pPr>
            <w:r>
              <w:rPr>
                <w:rFonts w:cs="Arial"/>
                <w:color w:val="000000"/>
                <w:sz w:val="20"/>
                <w:szCs w:val="20"/>
                <w:lang w:eastAsia="en-GB"/>
              </w:rPr>
              <w:t>(</w:t>
            </w:r>
            <w:r w:rsidR="006A2C55" w:rsidRPr="006A2C55">
              <w:rPr>
                <w:rFonts w:cs="Arial"/>
                <w:color w:val="000000"/>
                <w:sz w:val="20"/>
                <w:szCs w:val="20"/>
                <w:lang w:eastAsia="en-GB"/>
              </w:rPr>
              <w:t>6,201</w:t>
            </w:r>
            <w:r>
              <w:rPr>
                <w:rFonts w:cs="Arial"/>
                <w:color w:val="000000"/>
                <w:sz w:val="20"/>
                <w:szCs w:val="20"/>
                <w:lang w:eastAsia="en-GB"/>
              </w:rPr>
              <w:t>)</w:t>
            </w:r>
          </w:p>
        </w:tc>
        <w:tc>
          <w:tcPr>
            <w:tcW w:w="992" w:type="dxa"/>
            <w:tcBorders>
              <w:top w:val="nil"/>
              <w:left w:val="nil"/>
              <w:bottom w:val="nil"/>
              <w:right w:val="nil"/>
            </w:tcBorders>
            <w:shd w:val="clear" w:color="000000" w:fill="FFFFFF"/>
            <w:noWrap/>
            <w:vAlign w:val="center"/>
            <w:hideMark/>
          </w:tcPr>
          <w:p w14:paraId="22B3C1CE"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208</w:t>
            </w:r>
          </w:p>
        </w:tc>
        <w:tc>
          <w:tcPr>
            <w:tcW w:w="3863" w:type="dxa"/>
            <w:tcBorders>
              <w:top w:val="nil"/>
              <w:left w:val="nil"/>
              <w:bottom w:val="nil"/>
              <w:right w:val="nil"/>
            </w:tcBorders>
            <w:shd w:val="clear" w:color="000000" w:fill="FFFFFF"/>
            <w:vAlign w:val="center"/>
            <w:hideMark/>
          </w:tcPr>
          <w:p w14:paraId="651EC244"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Visitor Services</w:t>
            </w:r>
          </w:p>
        </w:tc>
        <w:tc>
          <w:tcPr>
            <w:tcW w:w="796" w:type="dxa"/>
            <w:tcBorders>
              <w:top w:val="nil"/>
              <w:left w:val="nil"/>
              <w:bottom w:val="nil"/>
              <w:right w:val="nil"/>
            </w:tcBorders>
            <w:shd w:val="clear" w:color="000000" w:fill="FFFFFF"/>
            <w:vAlign w:val="center"/>
            <w:hideMark/>
          </w:tcPr>
          <w:p w14:paraId="680FA103"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866" w:type="dxa"/>
            <w:tcBorders>
              <w:top w:val="nil"/>
              <w:left w:val="nil"/>
              <w:bottom w:val="nil"/>
              <w:right w:val="nil"/>
            </w:tcBorders>
            <w:shd w:val="clear" w:color="000000" w:fill="FFFFFF"/>
            <w:noWrap/>
            <w:vAlign w:val="center"/>
            <w:hideMark/>
          </w:tcPr>
          <w:p w14:paraId="3AA0E906" w14:textId="3C440601"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6,</w:t>
            </w:r>
            <w:r w:rsidR="007177F6">
              <w:rPr>
                <w:rFonts w:cs="Arial"/>
                <w:color w:val="000000"/>
                <w:sz w:val="20"/>
                <w:szCs w:val="20"/>
                <w:lang w:eastAsia="en-GB"/>
              </w:rPr>
              <w:t>287</w:t>
            </w:r>
          </w:p>
        </w:tc>
        <w:tc>
          <w:tcPr>
            <w:tcW w:w="961" w:type="dxa"/>
            <w:tcBorders>
              <w:top w:val="nil"/>
              <w:left w:val="nil"/>
              <w:bottom w:val="nil"/>
              <w:right w:val="nil"/>
            </w:tcBorders>
            <w:shd w:val="clear" w:color="000000" w:fill="FFFFFF"/>
            <w:noWrap/>
            <w:vAlign w:val="center"/>
            <w:hideMark/>
          </w:tcPr>
          <w:p w14:paraId="4A186B76" w14:textId="5C055BD6" w:rsidR="006A2C55" w:rsidRPr="006A2C55" w:rsidRDefault="0078717B" w:rsidP="006A2C55">
            <w:pPr>
              <w:jc w:val="right"/>
              <w:rPr>
                <w:rFonts w:cs="Arial"/>
                <w:color w:val="000000"/>
                <w:sz w:val="20"/>
                <w:szCs w:val="20"/>
                <w:lang w:eastAsia="en-GB"/>
              </w:rPr>
            </w:pPr>
            <w:r>
              <w:rPr>
                <w:rFonts w:cs="Arial"/>
                <w:color w:val="000000"/>
                <w:sz w:val="20"/>
                <w:szCs w:val="20"/>
                <w:lang w:eastAsia="en-GB"/>
              </w:rPr>
              <w:t>(</w:t>
            </w:r>
            <w:r w:rsidR="006A2C55" w:rsidRPr="006A2C55">
              <w:rPr>
                <w:rFonts w:cs="Arial"/>
                <w:color w:val="000000"/>
                <w:sz w:val="20"/>
                <w:szCs w:val="20"/>
                <w:lang w:eastAsia="en-GB"/>
              </w:rPr>
              <w:t>5,742</w:t>
            </w:r>
            <w:r>
              <w:rPr>
                <w:rFonts w:cs="Arial"/>
                <w:color w:val="000000"/>
                <w:sz w:val="20"/>
                <w:szCs w:val="20"/>
                <w:lang w:eastAsia="en-GB"/>
              </w:rPr>
              <w:t>)</w:t>
            </w:r>
          </w:p>
        </w:tc>
        <w:tc>
          <w:tcPr>
            <w:tcW w:w="961" w:type="dxa"/>
            <w:tcBorders>
              <w:top w:val="nil"/>
              <w:left w:val="nil"/>
              <w:bottom w:val="nil"/>
              <w:right w:val="single" w:sz="4" w:space="0" w:color="auto"/>
            </w:tcBorders>
            <w:shd w:val="clear" w:color="000000" w:fill="FFFFFF"/>
            <w:noWrap/>
            <w:vAlign w:val="center"/>
            <w:hideMark/>
          </w:tcPr>
          <w:p w14:paraId="25DF775E" w14:textId="44B5BD2F" w:rsidR="006A2C55" w:rsidRPr="006A2C55" w:rsidRDefault="007177F6" w:rsidP="006A2C55">
            <w:pPr>
              <w:jc w:val="right"/>
              <w:rPr>
                <w:rFonts w:cs="Arial"/>
                <w:color w:val="000000"/>
                <w:sz w:val="20"/>
                <w:szCs w:val="20"/>
                <w:lang w:eastAsia="en-GB"/>
              </w:rPr>
            </w:pPr>
            <w:r>
              <w:rPr>
                <w:rFonts w:cs="Arial"/>
                <w:color w:val="000000"/>
                <w:sz w:val="20"/>
                <w:szCs w:val="20"/>
                <w:lang w:eastAsia="en-GB"/>
              </w:rPr>
              <w:t>545</w:t>
            </w:r>
          </w:p>
        </w:tc>
      </w:tr>
      <w:tr w:rsidR="006A2C55" w:rsidRPr="006A2C55" w14:paraId="672E0D83" w14:textId="77777777" w:rsidTr="00273B88">
        <w:trPr>
          <w:trHeight w:val="273"/>
        </w:trPr>
        <w:tc>
          <w:tcPr>
            <w:tcW w:w="828" w:type="dxa"/>
            <w:tcBorders>
              <w:top w:val="nil"/>
              <w:left w:val="single" w:sz="4" w:space="0" w:color="auto"/>
              <w:bottom w:val="nil"/>
              <w:right w:val="nil"/>
            </w:tcBorders>
            <w:shd w:val="clear" w:color="000000" w:fill="FFFFFF"/>
            <w:noWrap/>
            <w:vAlign w:val="center"/>
            <w:hideMark/>
          </w:tcPr>
          <w:p w14:paraId="72550E22"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514</w:t>
            </w:r>
          </w:p>
        </w:tc>
        <w:tc>
          <w:tcPr>
            <w:tcW w:w="1152" w:type="dxa"/>
            <w:tcBorders>
              <w:top w:val="nil"/>
              <w:left w:val="nil"/>
              <w:bottom w:val="nil"/>
              <w:right w:val="nil"/>
            </w:tcBorders>
            <w:shd w:val="clear" w:color="000000" w:fill="FFFFFF"/>
            <w:noWrap/>
            <w:vAlign w:val="center"/>
            <w:hideMark/>
          </w:tcPr>
          <w:p w14:paraId="440C2483" w14:textId="2A22A4EF" w:rsidR="006A2C55" w:rsidRPr="006A2C55" w:rsidRDefault="0078717B" w:rsidP="006A2C55">
            <w:pPr>
              <w:jc w:val="right"/>
              <w:rPr>
                <w:rFonts w:cs="Arial"/>
                <w:color w:val="000000"/>
                <w:sz w:val="20"/>
                <w:szCs w:val="20"/>
                <w:lang w:eastAsia="en-GB"/>
              </w:rPr>
            </w:pPr>
            <w:r>
              <w:rPr>
                <w:rFonts w:cs="Arial"/>
                <w:color w:val="000000"/>
                <w:sz w:val="20"/>
                <w:szCs w:val="20"/>
                <w:lang w:eastAsia="en-GB"/>
              </w:rPr>
              <w:t>(</w:t>
            </w:r>
            <w:r w:rsidR="006A2C55" w:rsidRPr="006A2C55">
              <w:rPr>
                <w:rFonts w:cs="Arial"/>
                <w:color w:val="000000"/>
                <w:sz w:val="20"/>
                <w:szCs w:val="20"/>
                <w:lang w:eastAsia="en-GB"/>
              </w:rPr>
              <w:t>8</w:t>
            </w:r>
            <w:r>
              <w:rPr>
                <w:rFonts w:cs="Arial"/>
                <w:color w:val="000000"/>
                <w:sz w:val="20"/>
                <w:szCs w:val="20"/>
                <w:lang w:eastAsia="en-GB"/>
              </w:rPr>
              <w:t>)</w:t>
            </w:r>
          </w:p>
        </w:tc>
        <w:tc>
          <w:tcPr>
            <w:tcW w:w="992" w:type="dxa"/>
            <w:tcBorders>
              <w:top w:val="nil"/>
              <w:left w:val="nil"/>
              <w:bottom w:val="nil"/>
              <w:right w:val="nil"/>
            </w:tcBorders>
            <w:shd w:val="clear" w:color="000000" w:fill="FFFFFF"/>
            <w:noWrap/>
            <w:vAlign w:val="center"/>
            <w:hideMark/>
          </w:tcPr>
          <w:p w14:paraId="20E1A0AA" w14:textId="77777777" w:rsidR="006A2C55" w:rsidRPr="006A2C55" w:rsidRDefault="006A2C55" w:rsidP="006A2C55">
            <w:pPr>
              <w:ind w:left="-34" w:firstLine="34"/>
              <w:jc w:val="right"/>
              <w:rPr>
                <w:rFonts w:cs="Arial"/>
                <w:color w:val="000000"/>
                <w:sz w:val="20"/>
                <w:szCs w:val="20"/>
                <w:lang w:eastAsia="en-GB"/>
              </w:rPr>
            </w:pPr>
            <w:r w:rsidRPr="006A2C55">
              <w:rPr>
                <w:rFonts w:cs="Arial"/>
                <w:color w:val="000000"/>
                <w:sz w:val="20"/>
                <w:szCs w:val="20"/>
                <w:lang w:eastAsia="en-GB"/>
              </w:rPr>
              <w:t>506</w:t>
            </w:r>
          </w:p>
        </w:tc>
        <w:tc>
          <w:tcPr>
            <w:tcW w:w="3863" w:type="dxa"/>
            <w:tcBorders>
              <w:top w:val="nil"/>
              <w:left w:val="nil"/>
              <w:bottom w:val="nil"/>
              <w:right w:val="nil"/>
            </w:tcBorders>
            <w:shd w:val="clear" w:color="000000" w:fill="FFFFFF"/>
            <w:vAlign w:val="center"/>
            <w:hideMark/>
          </w:tcPr>
          <w:p w14:paraId="0ADD62E4"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People</w:t>
            </w:r>
          </w:p>
        </w:tc>
        <w:tc>
          <w:tcPr>
            <w:tcW w:w="796" w:type="dxa"/>
            <w:tcBorders>
              <w:top w:val="nil"/>
              <w:left w:val="nil"/>
              <w:bottom w:val="nil"/>
              <w:right w:val="nil"/>
            </w:tcBorders>
            <w:shd w:val="clear" w:color="000000" w:fill="FFFFFF"/>
            <w:vAlign w:val="center"/>
            <w:hideMark/>
          </w:tcPr>
          <w:p w14:paraId="6A278317"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866" w:type="dxa"/>
            <w:tcBorders>
              <w:top w:val="nil"/>
              <w:left w:val="nil"/>
              <w:bottom w:val="nil"/>
              <w:right w:val="nil"/>
            </w:tcBorders>
            <w:shd w:val="clear" w:color="000000" w:fill="FFFFFF"/>
            <w:noWrap/>
            <w:vAlign w:val="center"/>
            <w:hideMark/>
          </w:tcPr>
          <w:p w14:paraId="08DD0763"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572</w:t>
            </w:r>
          </w:p>
        </w:tc>
        <w:tc>
          <w:tcPr>
            <w:tcW w:w="961" w:type="dxa"/>
            <w:tcBorders>
              <w:top w:val="nil"/>
              <w:left w:val="nil"/>
              <w:bottom w:val="nil"/>
              <w:right w:val="nil"/>
            </w:tcBorders>
            <w:shd w:val="clear" w:color="000000" w:fill="FFFFFF"/>
            <w:noWrap/>
            <w:vAlign w:val="center"/>
            <w:hideMark/>
          </w:tcPr>
          <w:p w14:paraId="22712860" w14:textId="3FA2CD53" w:rsidR="006A2C55" w:rsidRPr="006A2C55" w:rsidRDefault="0078717B" w:rsidP="006A2C55">
            <w:pPr>
              <w:jc w:val="right"/>
              <w:rPr>
                <w:rFonts w:cs="Arial"/>
                <w:color w:val="000000"/>
                <w:sz w:val="20"/>
                <w:szCs w:val="20"/>
                <w:lang w:eastAsia="en-GB"/>
              </w:rPr>
            </w:pPr>
            <w:r>
              <w:rPr>
                <w:rFonts w:cs="Arial"/>
                <w:color w:val="000000"/>
                <w:sz w:val="20"/>
                <w:szCs w:val="20"/>
                <w:lang w:eastAsia="en-GB"/>
              </w:rPr>
              <w:t>(</w:t>
            </w:r>
            <w:r w:rsidR="006A2C55" w:rsidRPr="006A2C55">
              <w:rPr>
                <w:rFonts w:cs="Arial"/>
                <w:color w:val="000000"/>
                <w:sz w:val="20"/>
                <w:szCs w:val="20"/>
                <w:lang w:eastAsia="en-GB"/>
              </w:rPr>
              <w:t>5</w:t>
            </w:r>
            <w:r>
              <w:rPr>
                <w:rFonts w:cs="Arial"/>
                <w:color w:val="000000"/>
                <w:sz w:val="20"/>
                <w:szCs w:val="20"/>
                <w:lang w:eastAsia="en-GB"/>
              </w:rPr>
              <w:t>)</w:t>
            </w:r>
          </w:p>
        </w:tc>
        <w:tc>
          <w:tcPr>
            <w:tcW w:w="961" w:type="dxa"/>
            <w:tcBorders>
              <w:top w:val="nil"/>
              <w:left w:val="nil"/>
              <w:bottom w:val="nil"/>
              <w:right w:val="single" w:sz="4" w:space="0" w:color="auto"/>
            </w:tcBorders>
            <w:shd w:val="clear" w:color="000000" w:fill="FFFFFF"/>
            <w:noWrap/>
            <w:vAlign w:val="center"/>
            <w:hideMark/>
          </w:tcPr>
          <w:p w14:paraId="6A26A252"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567</w:t>
            </w:r>
          </w:p>
        </w:tc>
      </w:tr>
      <w:tr w:rsidR="006A2C55" w:rsidRPr="006A2C55" w14:paraId="4B561C23" w14:textId="77777777" w:rsidTr="00273B88">
        <w:trPr>
          <w:trHeight w:val="273"/>
        </w:trPr>
        <w:tc>
          <w:tcPr>
            <w:tcW w:w="828" w:type="dxa"/>
            <w:tcBorders>
              <w:top w:val="nil"/>
              <w:left w:val="single" w:sz="4" w:space="0" w:color="auto"/>
              <w:bottom w:val="nil"/>
              <w:right w:val="nil"/>
            </w:tcBorders>
            <w:shd w:val="clear" w:color="000000" w:fill="FFFFFF"/>
            <w:noWrap/>
            <w:vAlign w:val="center"/>
            <w:hideMark/>
          </w:tcPr>
          <w:p w14:paraId="6CC93FBE"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783</w:t>
            </w:r>
          </w:p>
        </w:tc>
        <w:tc>
          <w:tcPr>
            <w:tcW w:w="1152" w:type="dxa"/>
            <w:tcBorders>
              <w:top w:val="nil"/>
              <w:left w:val="nil"/>
              <w:bottom w:val="nil"/>
              <w:right w:val="nil"/>
            </w:tcBorders>
            <w:shd w:val="clear" w:color="000000" w:fill="FFFFFF"/>
            <w:noWrap/>
            <w:vAlign w:val="center"/>
            <w:hideMark/>
          </w:tcPr>
          <w:p w14:paraId="7F9F3E1A" w14:textId="490BB0ED" w:rsidR="006A2C55" w:rsidRPr="006A2C55" w:rsidRDefault="0078717B" w:rsidP="006A2C55">
            <w:pPr>
              <w:jc w:val="right"/>
              <w:rPr>
                <w:rFonts w:cs="Arial"/>
                <w:color w:val="000000"/>
                <w:sz w:val="20"/>
                <w:szCs w:val="20"/>
                <w:lang w:eastAsia="en-GB"/>
              </w:rPr>
            </w:pPr>
            <w:r>
              <w:rPr>
                <w:rFonts w:cs="Arial"/>
                <w:color w:val="000000"/>
                <w:sz w:val="20"/>
                <w:szCs w:val="20"/>
                <w:lang w:eastAsia="en-GB"/>
              </w:rPr>
              <w:t>(</w:t>
            </w:r>
            <w:r w:rsidR="006A2C55" w:rsidRPr="006A2C55">
              <w:rPr>
                <w:rFonts w:cs="Arial"/>
                <w:color w:val="000000"/>
                <w:sz w:val="20"/>
                <w:szCs w:val="20"/>
                <w:lang w:eastAsia="en-GB"/>
              </w:rPr>
              <w:t>295</w:t>
            </w:r>
            <w:r>
              <w:rPr>
                <w:rFonts w:cs="Arial"/>
                <w:color w:val="000000"/>
                <w:sz w:val="20"/>
                <w:szCs w:val="20"/>
                <w:lang w:eastAsia="en-GB"/>
              </w:rPr>
              <w:t>)</w:t>
            </w:r>
          </w:p>
        </w:tc>
        <w:tc>
          <w:tcPr>
            <w:tcW w:w="992" w:type="dxa"/>
            <w:tcBorders>
              <w:top w:val="nil"/>
              <w:left w:val="nil"/>
              <w:bottom w:val="nil"/>
              <w:right w:val="nil"/>
            </w:tcBorders>
            <w:shd w:val="clear" w:color="000000" w:fill="FFFFFF"/>
            <w:noWrap/>
            <w:vAlign w:val="center"/>
            <w:hideMark/>
          </w:tcPr>
          <w:p w14:paraId="1B1E62CF"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488</w:t>
            </w:r>
          </w:p>
        </w:tc>
        <w:tc>
          <w:tcPr>
            <w:tcW w:w="3863" w:type="dxa"/>
            <w:tcBorders>
              <w:top w:val="nil"/>
              <w:left w:val="nil"/>
              <w:bottom w:val="nil"/>
              <w:right w:val="nil"/>
            </w:tcBorders>
            <w:shd w:val="clear" w:color="000000" w:fill="FFFFFF"/>
            <w:vAlign w:val="center"/>
            <w:hideMark/>
          </w:tcPr>
          <w:p w14:paraId="77C1604F"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Communications</w:t>
            </w:r>
          </w:p>
        </w:tc>
        <w:tc>
          <w:tcPr>
            <w:tcW w:w="796" w:type="dxa"/>
            <w:tcBorders>
              <w:top w:val="nil"/>
              <w:left w:val="nil"/>
              <w:bottom w:val="nil"/>
              <w:right w:val="nil"/>
            </w:tcBorders>
            <w:shd w:val="clear" w:color="000000" w:fill="FFFFFF"/>
            <w:vAlign w:val="center"/>
            <w:hideMark/>
          </w:tcPr>
          <w:p w14:paraId="5098B0FB"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866" w:type="dxa"/>
            <w:tcBorders>
              <w:top w:val="nil"/>
              <w:left w:val="nil"/>
              <w:bottom w:val="nil"/>
              <w:right w:val="nil"/>
            </w:tcBorders>
            <w:shd w:val="clear" w:color="000000" w:fill="FFFFFF"/>
            <w:noWrap/>
            <w:vAlign w:val="center"/>
            <w:hideMark/>
          </w:tcPr>
          <w:p w14:paraId="0CCA77CF"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641</w:t>
            </w:r>
          </w:p>
        </w:tc>
        <w:tc>
          <w:tcPr>
            <w:tcW w:w="961" w:type="dxa"/>
            <w:tcBorders>
              <w:top w:val="nil"/>
              <w:left w:val="nil"/>
              <w:bottom w:val="nil"/>
              <w:right w:val="nil"/>
            </w:tcBorders>
            <w:shd w:val="clear" w:color="000000" w:fill="FFFFFF"/>
            <w:noWrap/>
            <w:vAlign w:val="center"/>
            <w:hideMark/>
          </w:tcPr>
          <w:p w14:paraId="4E6305E2" w14:textId="510AE8EF" w:rsidR="006A2C55" w:rsidRPr="006A2C55" w:rsidRDefault="0078717B" w:rsidP="006A2C55">
            <w:pPr>
              <w:jc w:val="right"/>
              <w:rPr>
                <w:rFonts w:cs="Arial"/>
                <w:color w:val="000000"/>
                <w:sz w:val="20"/>
                <w:szCs w:val="20"/>
                <w:lang w:eastAsia="en-GB"/>
              </w:rPr>
            </w:pPr>
            <w:r>
              <w:rPr>
                <w:rFonts w:cs="Arial"/>
                <w:color w:val="000000"/>
                <w:sz w:val="20"/>
                <w:szCs w:val="20"/>
                <w:lang w:eastAsia="en-GB"/>
              </w:rPr>
              <w:t>(</w:t>
            </w:r>
            <w:r w:rsidR="006A2C55" w:rsidRPr="006A2C55">
              <w:rPr>
                <w:rFonts w:cs="Arial"/>
                <w:color w:val="000000"/>
                <w:sz w:val="20"/>
                <w:szCs w:val="20"/>
                <w:lang w:eastAsia="en-GB"/>
              </w:rPr>
              <w:t>81</w:t>
            </w:r>
            <w:r>
              <w:rPr>
                <w:rFonts w:cs="Arial"/>
                <w:color w:val="000000"/>
                <w:sz w:val="20"/>
                <w:szCs w:val="20"/>
                <w:lang w:eastAsia="en-GB"/>
              </w:rPr>
              <w:t>)</w:t>
            </w:r>
          </w:p>
        </w:tc>
        <w:tc>
          <w:tcPr>
            <w:tcW w:w="961" w:type="dxa"/>
            <w:tcBorders>
              <w:top w:val="nil"/>
              <w:left w:val="nil"/>
              <w:bottom w:val="nil"/>
              <w:right w:val="single" w:sz="4" w:space="0" w:color="auto"/>
            </w:tcBorders>
            <w:shd w:val="clear" w:color="000000" w:fill="FFFFFF"/>
            <w:noWrap/>
            <w:vAlign w:val="center"/>
            <w:hideMark/>
          </w:tcPr>
          <w:p w14:paraId="47E58618"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560</w:t>
            </w:r>
          </w:p>
        </w:tc>
      </w:tr>
      <w:tr w:rsidR="006A2C55" w:rsidRPr="006A2C55" w14:paraId="3DAF15E3" w14:textId="77777777" w:rsidTr="00273B88">
        <w:trPr>
          <w:trHeight w:val="273"/>
        </w:trPr>
        <w:tc>
          <w:tcPr>
            <w:tcW w:w="828" w:type="dxa"/>
            <w:tcBorders>
              <w:top w:val="nil"/>
              <w:left w:val="single" w:sz="4" w:space="0" w:color="auto"/>
              <w:bottom w:val="nil"/>
              <w:right w:val="nil"/>
            </w:tcBorders>
            <w:shd w:val="clear" w:color="000000" w:fill="FFFFFF"/>
            <w:noWrap/>
            <w:vAlign w:val="center"/>
            <w:hideMark/>
          </w:tcPr>
          <w:p w14:paraId="41824740"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1,143</w:t>
            </w:r>
          </w:p>
        </w:tc>
        <w:tc>
          <w:tcPr>
            <w:tcW w:w="1152" w:type="dxa"/>
            <w:tcBorders>
              <w:top w:val="nil"/>
              <w:left w:val="nil"/>
              <w:bottom w:val="nil"/>
              <w:right w:val="nil"/>
            </w:tcBorders>
            <w:shd w:val="clear" w:color="000000" w:fill="FFFFFF"/>
            <w:noWrap/>
            <w:vAlign w:val="center"/>
            <w:hideMark/>
          </w:tcPr>
          <w:p w14:paraId="3DF4489A" w14:textId="60FCC225" w:rsidR="006A2C55" w:rsidRPr="006A2C55" w:rsidRDefault="0078717B" w:rsidP="006A2C55">
            <w:pPr>
              <w:jc w:val="right"/>
              <w:rPr>
                <w:rFonts w:cs="Arial"/>
                <w:color w:val="000000"/>
                <w:sz w:val="20"/>
                <w:szCs w:val="20"/>
                <w:lang w:eastAsia="en-GB"/>
              </w:rPr>
            </w:pPr>
            <w:r>
              <w:rPr>
                <w:rFonts w:cs="Arial"/>
                <w:color w:val="000000"/>
                <w:sz w:val="20"/>
                <w:szCs w:val="20"/>
                <w:lang w:eastAsia="en-GB"/>
              </w:rPr>
              <w:t>(</w:t>
            </w:r>
            <w:r w:rsidR="006A2C55" w:rsidRPr="006A2C55">
              <w:rPr>
                <w:rFonts w:cs="Arial"/>
                <w:color w:val="000000"/>
                <w:sz w:val="20"/>
                <w:szCs w:val="20"/>
                <w:lang w:eastAsia="en-GB"/>
              </w:rPr>
              <w:t>596</w:t>
            </w:r>
            <w:r>
              <w:rPr>
                <w:rFonts w:cs="Arial"/>
                <w:color w:val="000000"/>
                <w:sz w:val="20"/>
                <w:szCs w:val="20"/>
                <w:lang w:eastAsia="en-GB"/>
              </w:rPr>
              <w:t>)</w:t>
            </w:r>
          </w:p>
        </w:tc>
        <w:tc>
          <w:tcPr>
            <w:tcW w:w="992" w:type="dxa"/>
            <w:tcBorders>
              <w:top w:val="nil"/>
              <w:left w:val="nil"/>
              <w:bottom w:val="nil"/>
              <w:right w:val="nil"/>
            </w:tcBorders>
            <w:shd w:val="clear" w:color="000000" w:fill="FFFFFF"/>
            <w:noWrap/>
            <w:vAlign w:val="center"/>
            <w:hideMark/>
          </w:tcPr>
          <w:p w14:paraId="5F921A6E"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547</w:t>
            </w:r>
          </w:p>
        </w:tc>
        <w:tc>
          <w:tcPr>
            <w:tcW w:w="3863" w:type="dxa"/>
            <w:tcBorders>
              <w:top w:val="nil"/>
              <w:left w:val="nil"/>
              <w:bottom w:val="nil"/>
              <w:right w:val="nil"/>
            </w:tcBorders>
            <w:shd w:val="clear" w:color="000000" w:fill="FFFFFF"/>
            <w:vAlign w:val="center"/>
            <w:hideMark/>
          </w:tcPr>
          <w:p w14:paraId="030CC9AD"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Development Management</w:t>
            </w:r>
          </w:p>
        </w:tc>
        <w:tc>
          <w:tcPr>
            <w:tcW w:w="796" w:type="dxa"/>
            <w:tcBorders>
              <w:top w:val="nil"/>
              <w:left w:val="nil"/>
              <w:bottom w:val="nil"/>
              <w:right w:val="nil"/>
            </w:tcBorders>
            <w:shd w:val="clear" w:color="000000" w:fill="FFFFFF"/>
            <w:vAlign w:val="center"/>
            <w:hideMark/>
          </w:tcPr>
          <w:p w14:paraId="1CA1B1EA"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866" w:type="dxa"/>
            <w:tcBorders>
              <w:top w:val="nil"/>
              <w:left w:val="nil"/>
              <w:bottom w:val="nil"/>
              <w:right w:val="nil"/>
            </w:tcBorders>
            <w:shd w:val="clear" w:color="000000" w:fill="FFFFFF"/>
            <w:noWrap/>
            <w:vAlign w:val="center"/>
            <w:hideMark/>
          </w:tcPr>
          <w:p w14:paraId="02331D1B"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1,240</w:t>
            </w:r>
          </w:p>
        </w:tc>
        <w:tc>
          <w:tcPr>
            <w:tcW w:w="961" w:type="dxa"/>
            <w:tcBorders>
              <w:top w:val="nil"/>
              <w:left w:val="nil"/>
              <w:bottom w:val="nil"/>
              <w:right w:val="nil"/>
            </w:tcBorders>
            <w:shd w:val="clear" w:color="000000" w:fill="FFFFFF"/>
            <w:noWrap/>
            <w:vAlign w:val="center"/>
            <w:hideMark/>
          </w:tcPr>
          <w:p w14:paraId="7DF036AC" w14:textId="7D0A885D" w:rsidR="006A2C55" w:rsidRPr="006A2C55" w:rsidRDefault="0078717B" w:rsidP="006A2C55">
            <w:pPr>
              <w:jc w:val="right"/>
              <w:rPr>
                <w:rFonts w:cs="Arial"/>
                <w:color w:val="000000"/>
                <w:sz w:val="20"/>
                <w:szCs w:val="20"/>
                <w:lang w:eastAsia="en-GB"/>
              </w:rPr>
            </w:pPr>
            <w:r>
              <w:rPr>
                <w:rFonts w:cs="Arial"/>
                <w:color w:val="000000"/>
                <w:sz w:val="20"/>
                <w:szCs w:val="20"/>
                <w:lang w:eastAsia="en-GB"/>
              </w:rPr>
              <w:t>(</w:t>
            </w:r>
            <w:r w:rsidR="006A2C55" w:rsidRPr="006A2C55">
              <w:rPr>
                <w:rFonts w:cs="Arial"/>
                <w:color w:val="000000"/>
                <w:sz w:val="20"/>
                <w:szCs w:val="20"/>
                <w:lang w:eastAsia="en-GB"/>
              </w:rPr>
              <w:t>465</w:t>
            </w:r>
            <w:r>
              <w:rPr>
                <w:rFonts w:cs="Arial"/>
                <w:color w:val="000000"/>
                <w:sz w:val="20"/>
                <w:szCs w:val="20"/>
                <w:lang w:eastAsia="en-GB"/>
              </w:rPr>
              <w:t>)</w:t>
            </w:r>
          </w:p>
        </w:tc>
        <w:tc>
          <w:tcPr>
            <w:tcW w:w="961" w:type="dxa"/>
            <w:tcBorders>
              <w:top w:val="nil"/>
              <w:left w:val="nil"/>
              <w:bottom w:val="nil"/>
              <w:right w:val="single" w:sz="4" w:space="0" w:color="auto"/>
            </w:tcBorders>
            <w:shd w:val="clear" w:color="000000" w:fill="FFFFFF"/>
            <w:noWrap/>
            <w:vAlign w:val="center"/>
            <w:hideMark/>
          </w:tcPr>
          <w:p w14:paraId="036E6897"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775</w:t>
            </w:r>
          </w:p>
        </w:tc>
      </w:tr>
      <w:tr w:rsidR="006A2C55" w:rsidRPr="006A2C55" w14:paraId="6322CDEC" w14:textId="77777777" w:rsidTr="00273B88">
        <w:trPr>
          <w:trHeight w:val="273"/>
        </w:trPr>
        <w:tc>
          <w:tcPr>
            <w:tcW w:w="828" w:type="dxa"/>
            <w:tcBorders>
              <w:top w:val="nil"/>
              <w:left w:val="single" w:sz="4" w:space="0" w:color="auto"/>
              <w:bottom w:val="nil"/>
              <w:right w:val="nil"/>
            </w:tcBorders>
            <w:shd w:val="clear" w:color="000000" w:fill="FFFFFF"/>
            <w:noWrap/>
            <w:vAlign w:val="center"/>
            <w:hideMark/>
          </w:tcPr>
          <w:p w14:paraId="00E785AD"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3,949</w:t>
            </w:r>
          </w:p>
        </w:tc>
        <w:tc>
          <w:tcPr>
            <w:tcW w:w="1152" w:type="dxa"/>
            <w:tcBorders>
              <w:top w:val="nil"/>
              <w:left w:val="nil"/>
              <w:bottom w:val="nil"/>
              <w:right w:val="nil"/>
            </w:tcBorders>
            <w:shd w:val="clear" w:color="000000" w:fill="FFFFFF"/>
            <w:noWrap/>
            <w:vAlign w:val="center"/>
            <w:hideMark/>
          </w:tcPr>
          <w:p w14:paraId="4CFFFA04" w14:textId="2F94CC7B" w:rsidR="006A2C55" w:rsidRPr="006A2C55" w:rsidRDefault="0078717B" w:rsidP="006A2C55">
            <w:pPr>
              <w:jc w:val="right"/>
              <w:rPr>
                <w:rFonts w:cs="Arial"/>
                <w:color w:val="000000"/>
                <w:sz w:val="20"/>
                <w:szCs w:val="20"/>
                <w:lang w:eastAsia="en-GB"/>
              </w:rPr>
            </w:pPr>
            <w:r>
              <w:rPr>
                <w:rFonts w:cs="Arial"/>
                <w:color w:val="000000"/>
                <w:sz w:val="20"/>
                <w:szCs w:val="20"/>
                <w:lang w:eastAsia="en-GB"/>
              </w:rPr>
              <w:t>(</w:t>
            </w:r>
            <w:r w:rsidR="006A2C55" w:rsidRPr="006A2C55">
              <w:rPr>
                <w:rFonts w:cs="Arial"/>
                <w:color w:val="000000"/>
                <w:sz w:val="20"/>
                <w:szCs w:val="20"/>
                <w:lang w:eastAsia="en-GB"/>
              </w:rPr>
              <w:t>1,497</w:t>
            </w:r>
            <w:r>
              <w:rPr>
                <w:rFonts w:cs="Arial"/>
                <w:color w:val="000000"/>
                <w:sz w:val="20"/>
                <w:szCs w:val="20"/>
                <w:lang w:eastAsia="en-GB"/>
              </w:rPr>
              <w:t>)</w:t>
            </w:r>
          </w:p>
        </w:tc>
        <w:tc>
          <w:tcPr>
            <w:tcW w:w="992" w:type="dxa"/>
            <w:tcBorders>
              <w:top w:val="nil"/>
              <w:left w:val="nil"/>
              <w:bottom w:val="nil"/>
              <w:right w:val="nil"/>
            </w:tcBorders>
            <w:shd w:val="clear" w:color="000000" w:fill="FFFFFF"/>
            <w:noWrap/>
            <w:vAlign w:val="center"/>
            <w:hideMark/>
          </w:tcPr>
          <w:p w14:paraId="13273FD4"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2,452</w:t>
            </w:r>
          </w:p>
        </w:tc>
        <w:tc>
          <w:tcPr>
            <w:tcW w:w="3863" w:type="dxa"/>
            <w:tcBorders>
              <w:top w:val="nil"/>
              <w:left w:val="nil"/>
              <w:bottom w:val="nil"/>
              <w:right w:val="nil"/>
            </w:tcBorders>
            <w:shd w:val="clear" w:color="000000" w:fill="FFFFFF"/>
            <w:vAlign w:val="center"/>
            <w:hideMark/>
          </w:tcPr>
          <w:p w14:paraId="63C854D2"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Strategy &amp; Rangers</w:t>
            </w:r>
          </w:p>
        </w:tc>
        <w:tc>
          <w:tcPr>
            <w:tcW w:w="796" w:type="dxa"/>
            <w:tcBorders>
              <w:top w:val="nil"/>
              <w:left w:val="nil"/>
              <w:bottom w:val="nil"/>
              <w:right w:val="nil"/>
            </w:tcBorders>
            <w:shd w:val="clear" w:color="000000" w:fill="FFFFFF"/>
            <w:vAlign w:val="center"/>
            <w:hideMark/>
          </w:tcPr>
          <w:p w14:paraId="176AEDF5"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866" w:type="dxa"/>
            <w:tcBorders>
              <w:top w:val="nil"/>
              <w:left w:val="nil"/>
              <w:bottom w:val="nil"/>
              <w:right w:val="nil"/>
            </w:tcBorders>
            <w:shd w:val="clear" w:color="000000" w:fill="FFFFFF"/>
            <w:noWrap/>
            <w:vAlign w:val="center"/>
            <w:hideMark/>
          </w:tcPr>
          <w:p w14:paraId="7C379888" w14:textId="076DBC54"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5,86</w:t>
            </w:r>
            <w:r w:rsidR="007177F6">
              <w:rPr>
                <w:rFonts w:cs="Arial"/>
                <w:color w:val="000000"/>
                <w:sz w:val="20"/>
                <w:szCs w:val="20"/>
                <w:lang w:eastAsia="en-GB"/>
              </w:rPr>
              <w:t>9</w:t>
            </w:r>
          </w:p>
        </w:tc>
        <w:tc>
          <w:tcPr>
            <w:tcW w:w="961" w:type="dxa"/>
            <w:tcBorders>
              <w:top w:val="nil"/>
              <w:left w:val="nil"/>
              <w:bottom w:val="nil"/>
              <w:right w:val="nil"/>
            </w:tcBorders>
            <w:shd w:val="clear" w:color="000000" w:fill="FFFFFF"/>
            <w:noWrap/>
            <w:vAlign w:val="center"/>
            <w:hideMark/>
          </w:tcPr>
          <w:p w14:paraId="7BE39303" w14:textId="5FEE6D8C" w:rsidR="006A2C55" w:rsidRPr="006A2C55" w:rsidRDefault="0078717B" w:rsidP="006A2C55">
            <w:pPr>
              <w:jc w:val="right"/>
              <w:rPr>
                <w:rFonts w:cs="Arial"/>
                <w:color w:val="000000"/>
                <w:sz w:val="20"/>
                <w:szCs w:val="20"/>
                <w:lang w:eastAsia="en-GB"/>
              </w:rPr>
            </w:pPr>
            <w:r>
              <w:rPr>
                <w:rFonts w:cs="Arial"/>
                <w:color w:val="000000"/>
                <w:sz w:val="20"/>
                <w:szCs w:val="20"/>
                <w:lang w:eastAsia="en-GB"/>
              </w:rPr>
              <w:t>(</w:t>
            </w:r>
            <w:r w:rsidR="006A2C55" w:rsidRPr="006A2C55">
              <w:rPr>
                <w:rFonts w:cs="Arial"/>
                <w:color w:val="000000"/>
                <w:sz w:val="20"/>
                <w:szCs w:val="20"/>
                <w:lang w:eastAsia="en-GB"/>
              </w:rPr>
              <w:t>3,069</w:t>
            </w:r>
            <w:r>
              <w:rPr>
                <w:rFonts w:cs="Arial"/>
                <w:color w:val="000000"/>
                <w:sz w:val="20"/>
                <w:szCs w:val="20"/>
                <w:lang w:eastAsia="en-GB"/>
              </w:rPr>
              <w:t>)</w:t>
            </w:r>
          </w:p>
        </w:tc>
        <w:tc>
          <w:tcPr>
            <w:tcW w:w="961" w:type="dxa"/>
            <w:tcBorders>
              <w:top w:val="nil"/>
              <w:left w:val="nil"/>
              <w:bottom w:val="nil"/>
              <w:right w:val="single" w:sz="4" w:space="0" w:color="auto"/>
            </w:tcBorders>
            <w:shd w:val="clear" w:color="000000" w:fill="FFFFFF"/>
            <w:noWrap/>
            <w:vAlign w:val="center"/>
            <w:hideMark/>
          </w:tcPr>
          <w:p w14:paraId="648BD2CC" w14:textId="70ABA6FC"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2,</w:t>
            </w:r>
            <w:r w:rsidR="007177F6">
              <w:rPr>
                <w:rFonts w:cs="Arial"/>
                <w:color w:val="000000"/>
                <w:sz w:val="20"/>
                <w:szCs w:val="20"/>
                <w:lang w:eastAsia="en-GB"/>
              </w:rPr>
              <w:t>800</w:t>
            </w:r>
          </w:p>
        </w:tc>
      </w:tr>
      <w:tr w:rsidR="006A2C55" w:rsidRPr="006A2C55" w14:paraId="69B13BAE" w14:textId="77777777" w:rsidTr="00273B88">
        <w:trPr>
          <w:trHeight w:val="273"/>
        </w:trPr>
        <w:tc>
          <w:tcPr>
            <w:tcW w:w="828" w:type="dxa"/>
            <w:tcBorders>
              <w:top w:val="nil"/>
              <w:left w:val="single" w:sz="4" w:space="0" w:color="auto"/>
              <w:bottom w:val="nil"/>
              <w:right w:val="nil"/>
            </w:tcBorders>
            <w:shd w:val="clear" w:color="000000" w:fill="FFFFFF"/>
            <w:noWrap/>
            <w:vAlign w:val="center"/>
            <w:hideMark/>
          </w:tcPr>
          <w:p w14:paraId="4942D391"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71</w:t>
            </w:r>
          </w:p>
        </w:tc>
        <w:tc>
          <w:tcPr>
            <w:tcW w:w="1152" w:type="dxa"/>
            <w:tcBorders>
              <w:top w:val="nil"/>
              <w:left w:val="nil"/>
              <w:bottom w:val="nil"/>
              <w:right w:val="nil"/>
            </w:tcBorders>
            <w:shd w:val="clear" w:color="000000" w:fill="FFFFFF"/>
            <w:noWrap/>
            <w:vAlign w:val="center"/>
            <w:hideMark/>
          </w:tcPr>
          <w:p w14:paraId="23BB2CAE"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0</w:t>
            </w:r>
          </w:p>
        </w:tc>
        <w:tc>
          <w:tcPr>
            <w:tcW w:w="992" w:type="dxa"/>
            <w:tcBorders>
              <w:top w:val="nil"/>
              <w:left w:val="nil"/>
              <w:bottom w:val="nil"/>
              <w:right w:val="nil"/>
            </w:tcBorders>
            <w:shd w:val="clear" w:color="000000" w:fill="FFFFFF"/>
            <w:noWrap/>
            <w:vAlign w:val="center"/>
            <w:hideMark/>
          </w:tcPr>
          <w:p w14:paraId="5EADE23B"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71</w:t>
            </w:r>
          </w:p>
        </w:tc>
        <w:tc>
          <w:tcPr>
            <w:tcW w:w="3863" w:type="dxa"/>
            <w:tcBorders>
              <w:top w:val="nil"/>
              <w:left w:val="nil"/>
              <w:bottom w:val="nil"/>
              <w:right w:val="nil"/>
            </w:tcBorders>
            <w:shd w:val="clear" w:color="000000" w:fill="FFFFFF"/>
            <w:vAlign w:val="center"/>
            <w:hideMark/>
          </w:tcPr>
          <w:p w14:paraId="4FCCD52A"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Non Distributed Costs</w:t>
            </w:r>
          </w:p>
        </w:tc>
        <w:tc>
          <w:tcPr>
            <w:tcW w:w="796" w:type="dxa"/>
            <w:tcBorders>
              <w:top w:val="nil"/>
              <w:left w:val="nil"/>
              <w:bottom w:val="nil"/>
              <w:right w:val="nil"/>
            </w:tcBorders>
            <w:shd w:val="clear" w:color="000000" w:fill="FFFFFF"/>
            <w:vAlign w:val="center"/>
            <w:hideMark/>
          </w:tcPr>
          <w:p w14:paraId="001A7D09"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866" w:type="dxa"/>
            <w:tcBorders>
              <w:top w:val="nil"/>
              <w:left w:val="nil"/>
              <w:bottom w:val="nil"/>
              <w:right w:val="nil"/>
            </w:tcBorders>
            <w:shd w:val="clear" w:color="000000" w:fill="FFFFFF"/>
            <w:noWrap/>
            <w:vAlign w:val="center"/>
            <w:hideMark/>
          </w:tcPr>
          <w:p w14:paraId="133B6E68"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57</w:t>
            </w:r>
          </w:p>
        </w:tc>
        <w:tc>
          <w:tcPr>
            <w:tcW w:w="961" w:type="dxa"/>
            <w:tcBorders>
              <w:top w:val="nil"/>
              <w:left w:val="nil"/>
              <w:bottom w:val="nil"/>
              <w:right w:val="nil"/>
            </w:tcBorders>
            <w:shd w:val="clear" w:color="000000" w:fill="FFFFFF"/>
            <w:noWrap/>
            <w:vAlign w:val="center"/>
            <w:hideMark/>
          </w:tcPr>
          <w:p w14:paraId="6A073EBB"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0</w:t>
            </w:r>
          </w:p>
        </w:tc>
        <w:tc>
          <w:tcPr>
            <w:tcW w:w="961" w:type="dxa"/>
            <w:tcBorders>
              <w:top w:val="nil"/>
              <w:left w:val="nil"/>
              <w:bottom w:val="nil"/>
              <w:right w:val="single" w:sz="4" w:space="0" w:color="auto"/>
            </w:tcBorders>
            <w:shd w:val="clear" w:color="000000" w:fill="FFFFFF"/>
            <w:noWrap/>
            <w:vAlign w:val="center"/>
            <w:hideMark/>
          </w:tcPr>
          <w:p w14:paraId="32FE87EC"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57</w:t>
            </w:r>
          </w:p>
        </w:tc>
      </w:tr>
      <w:tr w:rsidR="006A2C55" w:rsidRPr="006A2C55" w14:paraId="0EF464DE" w14:textId="77777777" w:rsidTr="00273B88">
        <w:trPr>
          <w:trHeight w:val="273"/>
        </w:trPr>
        <w:tc>
          <w:tcPr>
            <w:tcW w:w="828" w:type="dxa"/>
            <w:tcBorders>
              <w:top w:val="single" w:sz="4" w:space="0" w:color="auto"/>
              <w:left w:val="single" w:sz="4" w:space="0" w:color="auto"/>
              <w:bottom w:val="nil"/>
              <w:right w:val="nil"/>
            </w:tcBorders>
            <w:shd w:val="clear" w:color="000000" w:fill="FFFFFF"/>
            <w:noWrap/>
            <w:vAlign w:val="center"/>
            <w:hideMark/>
          </w:tcPr>
          <w:p w14:paraId="4F4B5EF9" w14:textId="77777777"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16,346</w:t>
            </w:r>
          </w:p>
        </w:tc>
        <w:tc>
          <w:tcPr>
            <w:tcW w:w="1152" w:type="dxa"/>
            <w:tcBorders>
              <w:top w:val="single" w:sz="4" w:space="0" w:color="auto"/>
              <w:left w:val="nil"/>
              <w:bottom w:val="nil"/>
              <w:right w:val="nil"/>
            </w:tcBorders>
            <w:shd w:val="clear" w:color="000000" w:fill="FFFFFF"/>
            <w:noWrap/>
            <w:vAlign w:val="center"/>
            <w:hideMark/>
          </w:tcPr>
          <w:p w14:paraId="19874B5A" w14:textId="43A7DB6B" w:rsidR="006A2C55" w:rsidRPr="006A2C55" w:rsidRDefault="0078717B" w:rsidP="006A2C55">
            <w:pPr>
              <w:jc w:val="right"/>
              <w:rPr>
                <w:rFonts w:cs="Arial"/>
                <w:b/>
                <w:bCs/>
                <w:color w:val="000000"/>
                <w:sz w:val="20"/>
                <w:szCs w:val="20"/>
                <w:lang w:eastAsia="en-GB"/>
              </w:rPr>
            </w:pPr>
            <w:r>
              <w:rPr>
                <w:rFonts w:cs="Arial"/>
                <w:b/>
                <w:bCs/>
                <w:color w:val="000000"/>
                <w:sz w:val="20"/>
                <w:szCs w:val="20"/>
                <w:lang w:eastAsia="en-GB"/>
              </w:rPr>
              <w:t>(</w:t>
            </w:r>
            <w:r w:rsidR="006A2C55" w:rsidRPr="006A2C55">
              <w:rPr>
                <w:rFonts w:cs="Arial"/>
                <w:b/>
                <w:bCs/>
                <w:color w:val="000000"/>
                <w:sz w:val="20"/>
                <w:szCs w:val="20"/>
                <w:lang w:eastAsia="en-GB"/>
              </w:rPr>
              <w:t>9,333</w:t>
            </w:r>
            <w:r>
              <w:rPr>
                <w:rFonts w:cs="Arial"/>
                <w:b/>
                <w:bCs/>
                <w:color w:val="000000"/>
                <w:sz w:val="20"/>
                <w:szCs w:val="20"/>
                <w:lang w:eastAsia="en-GB"/>
              </w:rPr>
              <w:t>)</w:t>
            </w:r>
          </w:p>
        </w:tc>
        <w:tc>
          <w:tcPr>
            <w:tcW w:w="992" w:type="dxa"/>
            <w:tcBorders>
              <w:top w:val="single" w:sz="4" w:space="0" w:color="auto"/>
              <w:left w:val="nil"/>
              <w:bottom w:val="nil"/>
              <w:right w:val="nil"/>
            </w:tcBorders>
            <w:shd w:val="clear" w:color="000000" w:fill="FFFFFF"/>
            <w:noWrap/>
            <w:vAlign w:val="center"/>
            <w:hideMark/>
          </w:tcPr>
          <w:p w14:paraId="76628DD0" w14:textId="77777777"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7,013</w:t>
            </w:r>
          </w:p>
        </w:tc>
        <w:tc>
          <w:tcPr>
            <w:tcW w:w="3863" w:type="dxa"/>
            <w:tcBorders>
              <w:top w:val="nil"/>
              <w:left w:val="nil"/>
              <w:bottom w:val="nil"/>
              <w:right w:val="nil"/>
            </w:tcBorders>
            <w:shd w:val="clear" w:color="000000" w:fill="FFFFFF"/>
            <w:vAlign w:val="center"/>
            <w:hideMark/>
          </w:tcPr>
          <w:p w14:paraId="3DE767C3" w14:textId="77777777" w:rsidR="006A2C55" w:rsidRPr="006A2C55" w:rsidRDefault="006A2C55" w:rsidP="006A2C55">
            <w:pPr>
              <w:rPr>
                <w:rFonts w:cs="Arial"/>
                <w:b/>
                <w:bCs/>
                <w:color w:val="000000"/>
                <w:sz w:val="20"/>
                <w:szCs w:val="20"/>
                <w:lang w:eastAsia="en-GB"/>
              </w:rPr>
            </w:pPr>
            <w:r w:rsidRPr="006A2C55">
              <w:rPr>
                <w:rFonts w:cs="Arial"/>
                <w:b/>
                <w:bCs/>
                <w:color w:val="000000"/>
                <w:sz w:val="20"/>
                <w:szCs w:val="20"/>
                <w:lang w:eastAsia="en-GB"/>
              </w:rPr>
              <w:t>Cost of Services</w:t>
            </w:r>
          </w:p>
        </w:tc>
        <w:tc>
          <w:tcPr>
            <w:tcW w:w="796" w:type="dxa"/>
            <w:tcBorders>
              <w:top w:val="nil"/>
              <w:left w:val="nil"/>
              <w:bottom w:val="nil"/>
              <w:right w:val="nil"/>
            </w:tcBorders>
            <w:shd w:val="clear" w:color="000000" w:fill="FFFFFF"/>
            <w:vAlign w:val="center"/>
            <w:hideMark/>
          </w:tcPr>
          <w:p w14:paraId="71847FC6" w14:textId="77777777" w:rsidR="006A2C55" w:rsidRPr="006A2C55" w:rsidRDefault="006A2C55" w:rsidP="006A2C55">
            <w:pPr>
              <w:jc w:val="center"/>
              <w:rPr>
                <w:rFonts w:cs="Arial"/>
                <w:b/>
                <w:bCs/>
                <w:color w:val="000000"/>
                <w:sz w:val="20"/>
                <w:szCs w:val="20"/>
                <w:lang w:eastAsia="en-GB"/>
              </w:rPr>
            </w:pPr>
            <w:r w:rsidRPr="006A2C55">
              <w:rPr>
                <w:rFonts w:cs="Arial"/>
                <w:b/>
                <w:bCs/>
                <w:color w:val="000000"/>
                <w:sz w:val="20"/>
                <w:szCs w:val="20"/>
                <w:lang w:eastAsia="en-GB"/>
              </w:rPr>
              <w:t xml:space="preserve"> </w:t>
            </w:r>
          </w:p>
        </w:tc>
        <w:tc>
          <w:tcPr>
            <w:tcW w:w="866" w:type="dxa"/>
            <w:tcBorders>
              <w:top w:val="single" w:sz="4" w:space="0" w:color="auto"/>
              <w:left w:val="nil"/>
              <w:bottom w:val="nil"/>
              <w:right w:val="nil"/>
            </w:tcBorders>
            <w:shd w:val="clear" w:color="000000" w:fill="FFFFFF"/>
            <w:noWrap/>
            <w:vAlign w:val="center"/>
            <w:hideMark/>
          </w:tcPr>
          <w:p w14:paraId="0326CA44" w14:textId="2F17DC25"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18,</w:t>
            </w:r>
            <w:r w:rsidR="007177F6">
              <w:rPr>
                <w:rFonts w:cs="Arial"/>
                <w:b/>
                <w:bCs/>
                <w:color w:val="000000"/>
                <w:sz w:val="20"/>
                <w:szCs w:val="20"/>
                <w:lang w:eastAsia="en-GB"/>
              </w:rPr>
              <w:t>524</w:t>
            </w:r>
          </w:p>
        </w:tc>
        <w:tc>
          <w:tcPr>
            <w:tcW w:w="961" w:type="dxa"/>
            <w:tcBorders>
              <w:top w:val="single" w:sz="4" w:space="0" w:color="auto"/>
              <w:left w:val="nil"/>
              <w:bottom w:val="nil"/>
              <w:right w:val="nil"/>
            </w:tcBorders>
            <w:shd w:val="clear" w:color="000000" w:fill="FFFFFF"/>
            <w:noWrap/>
            <w:vAlign w:val="center"/>
            <w:hideMark/>
          </w:tcPr>
          <w:p w14:paraId="022A4595" w14:textId="19D54ADB" w:rsidR="006A2C55" w:rsidRPr="006A2C55" w:rsidRDefault="0078717B" w:rsidP="006A2C55">
            <w:pPr>
              <w:jc w:val="right"/>
              <w:rPr>
                <w:rFonts w:cs="Arial"/>
                <w:b/>
                <w:bCs/>
                <w:color w:val="000000"/>
                <w:sz w:val="20"/>
                <w:szCs w:val="20"/>
                <w:lang w:eastAsia="en-GB"/>
              </w:rPr>
            </w:pPr>
            <w:r>
              <w:rPr>
                <w:rFonts w:cs="Arial"/>
                <w:b/>
                <w:bCs/>
                <w:color w:val="000000"/>
                <w:sz w:val="20"/>
                <w:szCs w:val="20"/>
                <w:lang w:eastAsia="en-GB"/>
              </w:rPr>
              <w:t>(</w:t>
            </w:r>
            <w:r w:rsidR="006A2C55" w:rsidRPr="006A2C55">
              <w:rPr>
                <w:rFonts w:cs="Arial"/>
                <w:b/>
                <w:bCs/>
                <w:color w:val="000000"/>
                <w:sz w:val="20"/>
                <w:szCs w:val="20"/>
                <w:lang w:eastAsia="en-GB"/>
              </w:rPr>
              <w:t>10,118</w:t>
            </w:r>
            <w:r>
              <w:rPr>
                <w:rFonts w:cs="Arial"/>
                <w:b/>
                <w:bCs/>
                <w:color w:val="000000"/>
                <w:sz w:val="20"/>
                <w:szCs w:val="20"/>
                <w:lang w:eastAsia="en-GB"/>
              </w:rPr>
              <w:t>)</w:t>
            </w:r>
          </w:p>
        </w:tc>
        <w:tc>
          <w:tcPr>
            <w:tcW w:w="961" w:type="dxa"/>
            <w:tcBorders>
              <w:top w:val="single" w:sz="4" w:space="0" w:color="auto"/>
              <w:left w:val="nil"/>
              <w:bottom w:val="nil"/>
              <w:right w:val="single" w:sz="4" w:space="0" w:color="auto"/>
            </w:tcBorders>
            <w:shd w:val="clear" w:color="000000" w:fill="FFFFFF"/>
            <w:noWrap/>
            <w:vAlign w:val="center"/>
            <w:hideMark/>
          </w:tcPr>
          <w:p w14:paraId="2ABC256C" w14:textId="3CC43A63"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8,</w:t>
            </w:r>
            <w:r w:rsidR="007177F6">
              <w:rPr>
                <w:rFonts w:cs="Arial"/>
                <w:b/>
                <w:bCs/>
                <w:color w:val="000000"/>
                <w:sz w:val="20"/>
                <w:szCs w:val="20"/>
                <w:lang w:eastAsia="en-GB"/>
              </w:rPr>
              <w:t>406</w:t>
            </w:r>
          </w:p>
        </w:tc>
      </w:tr>
      <w:tr w:rsidR="006A2C55" w:rsidRPr="006A2C55" w14:paraId="2681B449" w14:textId="77777777" w:rsidTr="00273B88">
        <w:trPr>
          <w:trHeight w:val="273"/>
        </w:trPr>
        <w:tc>
          <w:tcPr>
            <w:tcW w:w="828" w:type="dxa"/>
            <w:tcBorders>
              <w:top w:val="nil"/>
              <w:left w:val="single" w:sz="4" w:space="0" w:color="auto"/>
              <w:bottom w:val="nil"/>
              <w:right w:val="nil"/>
            </w:tcBorders>
            <w:shd w:val="clear" w:color="000000" w:fill="FFFFFF"/>
            <w:noWrap/>
            <w:vAlign w:val="center"/>
            <w:hideMark/>
          </w:tcPr>
          <w:p w14:paraId="50CE532B" w14:textId="77777777"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 </w:t>
            </w:r>
          </w:p>
        </w:tc>
        <w:tc>
          <w:tcPr>
            <w:tcW w:w="1152" w:type="dxa"/>
            <w:tcBorders>
              <w:top w:val="nil"/>
              <w:left w:val="nil"/>
              <w:bottom w:val="nil"/>
              <w:right w:val="nil"/>
            </w:tcBorders>
            <w:shd w:val="clear" w:color="000000" w:fill="FFFFFF"/>
            <w:noWrap/>
            <w:vAlign w:val="center"/>
            <w:hideMark/>
          </w:tcPr>
          <w:p w14:paraId="16596D25" w14:textId="77777777"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 </w:t>
            </w:r>
          </w:p>
        </w:tc>
        <w:tc>
          <w:tcPr>
            <w:tcW w:w="992" w:type="dxa"/>
            <w:tcBorders>
              <w:top w:val="nil"/>
              <w:left w:val="nil"/>
              <w:bottom w:val="nil"/>
              <w:right w:val="nil"/>
            </w:tcBorders>
            <w:shd w:val="clear" w:color="000000" w:fill="FFFFFF"/>
            <w:noWrap/>
            <w:vAlign w:val="center"/>
            <w:hideMark/>
          </w:tcPr>
          <w:p w14:paraId="7FBCD3B8" w14:textId="77777777"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 </w:t>
            </w:r>
          </w:p>
        </w:tc>
        <w:tc>
          <w:tcPr>
            <w:tcW w:w="3863" w:type="dxa"/>
            <w:tcBorders>
              <w:top w:val="nil"/>
              <w:left w:val="nil"/>
              <w:bottom w:val="nil"/>
              <w:right w:val="nil"/>
            </w:tcBorders>
            <w:shd w:val="clear" w:color="000000" w:fill="FFFFFF"/>
            <w:vAlign w:val="center"/>
            <w:hideMark/>
          </w:tcPr>
          <w:p w14:paraId="0A132B4A" w14:textId="77777777" w:rsidR="006A2C55" w:rsidRPr="006A2C55" w:rsidRDefault="006A2C55" w:rsidP="006A2C55">
            <w:pPr>
              <w:rPr>
                <w:rFonts w:cs="Arial"/>
                <w:b/>
                <w:bCs/>
                <w:color w:val="000000"/>
                <w:sz w:val="20"/>
                <w:szCs w:val="20"/>
                <w:lang w:eastAsia="en-GB"/>
              </w:rPr>
            </w:pPr>
            <w:r w:rsidRPr="006A2C55">
              <w:rPr>
                <w:rFonts w:cs="Arial"/>
                <w:b/>
                <w:bCs/>
                <w:color w:val="000000"/>
                <w:sz w:val="20"/>
                <w:szCs w:val="20"/>
                <w:lang w:eastAsia="en-GB"/>
              </w:rPr>
              <w:t> </w:t>
            </w:r>
          </w:p>
        </w:tc>
        <w:tc>
          <w:tcPr>
            <w:tcW w:w="796" w:type="dxa"/>
            <w:tcBorders>
              <w:top w:val="nil"/>
              <w:left w:val="nil"/>
              <w:bottom w:val="nil"/>
              <w:right w:val="nil"/>
            </w:tcBorders>
            <w:shd w:val="clear" w:color="000000" w:fill="FFFFFF"/>
            <w:vAlign w:val="center"/>
            <w:hideMark/>
          </w:tcPr>
          <w:p w14:paraId="1C7069A9" w14:textId="77777777" w:rsidR="006A2C55" w:rsidRPr="006A2C55" w:rsidRDefault="006A2C55" w:rsidP="006A2C55">
            <w:pPr>
              <w:jc w:val="center"/>
              <w:rPr>
                <w:rFonts w:cs="Arial"/>
                <w:b/>
                <w:bCs/>
                <w:color w:val="000000"/>
                <w:sz w:val="20"/>
                <w:szCs w:val="20"/>
                <w:lang w:eastAsia="en-GB"/>
              </w:rPr>
            </w:pPr>
            <w:r w:rsidRPr="006A2C55">
              <w:rPr>
                <w:rFonts w:cs="Arial"/>
                <w:b/>
                <w:bCs/>
                <w:color w:val="000000"/>
                <w:sz w:val="20"/>
                <w:szCs w:val="20"/>
                <w:lang w:eastAsia="en-GB"/>
              </w:rPr>
              <w:t> </w:t>
            </w:r>
          </w:p>
        </w:tc>
        <w:tc>
          <w:tcPr>
            <w:tcW w:w="866" w:type="dxa"/>
            <w:tcBorders>
              <w:top w:val="nil"/>
              <w:left w:val="nil"/>
              <w:bottom w:val="nil"/>
              <w:right w:val="nil"/>
            </w:tcBorders>
            <w:shd w:val="clear" w:color="000000" w:fill="FFFFFF"/>
            <w:noWrap/>
            <w:vAlign w:val="center"/>
            <w:hideMark/>
          </w:tcPr>
          <w:p w14:paraId="1F923F94" w14:textId="77777777"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 </w:t>
            </w:r>
          </w:p>
        </w:tc>
        <w:tc>
          <w:tcPr>
            <w:tcW w:w="961" w:type="dxa"/>
            <w:tcBorders>
              <w:top w:val="nil"/>
              <w:left w:val="nil"/>
              <w:bottom w:val="nil"/>
              <w:right w:val="nil"/>
            </w:tcBorders>
            <w:shd w:val="clear" w:color="000000" w:fill="FFFFFF"/>
            <w:noWrap/>
            <w:vAlign w:val="center"/>
            <w:hideMark/>
          </w:tcPr>
          <w:p w14:paraId="489DD9AC" w14:textId="77777777"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 </w:t>
            </w:r>
          </w:p>
        </w:tc>
        <w:tc>
          <w:tcPr>
            <w:tcW w:w="961" w:type="dxa"/>
            <w:tcBorders>
              <w:top w:val="nil"/>
              <w:left w:val="nil"/>
              <w:bottom w:val="nil"/>
              <w:right w:val="single" w:sz="4" w:space="0" w:color="auto"/>
            </w:tcBorders>
            <w:shd w:val="clear" w:color="000000" w:fill="FFFFFF"/>
            <w:noWrap/>
            <w:vAlign w:val="center"/>
            <w:hideMark/>
          </w:tcPr>
          <w:p w14:paraId="6AB46B35" w14:textId="77777777"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 </w:t>
            </w:r>
          </w:p>
        </w:tc>
      </w:tr>
      <w:tr w:rsidR="006A2C55" w:rsidRPr="006A2C55" w14:paraId="44DA1A6B" w14:textId="77777777" w:rsidTr="00273B88">
        <w:trPr>
          <w:trHeight w:val="273"/>
        </w:trPr>
        <w:tc>
          <w:tcPr>
            <w:tcW w:w="828" w:type="dxa"/>
            <w:tcBorders>
              <w:top w:val="nil"/>
              <w:left w:val="single" w:sz="4" w:space="0" w:color="auto"/>
              <w:bottom w:val="nil"/>
              <w:right w:val="nil"/>
            </w:tcBorders>
            <w:shd w:val="clear" w:color="000000" w:fill="FFFFFF"/>
            <w:vAlign w:val="center"/>
            <w:hideMark/>
          </w:tcPr>
          <w:p w14:paraId="58EE1ACD"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 </w:t>
            </w:r>
          </w:p>
        </w:tc>
        <w:tc>
          <w:tcPr>
            <w:tcW w:w="1152" w:type="dxa"/>
            <w:tcBorders>
              <w:top w:val="nil"/>
              <w:left w:val="nil"/>
              <w:bottom w:val="nil"/>
              <w:right w:val="nil"/>
            </w:tcBorders>
            <w:shd w:val="clear" w:color="000000" w:fill="FFFFFF"/>
            <w:vAlign w:val="center"/>
            <w:hideMark/>
          </w:tcPr>
          <w:p w14:paraId="418712D9"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 </w:t>
            </w:r>
          </w:p>
        </w:tc>
        <w:tc>
          <w:tcPr>
            <w:tcW w:w="992" w:type="dxa"/>
            <w:tcBorders>
              <w:top w:val="nil"/>
              <w:left w:val="nil"/>
              <w:bottom w:val="nil"/>
              <w:right w:val="nil"/>
            </w:tcBorders>
            <w:shd w:val="clear" w:color="000000" w:fill="FFFFFF"/>
            <w:vAlign w:val="center"/>
            <w:hideMark/>
          </w:tcPr>
          <w:p w14:paraId="75EAE9A4"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11</w:t>
            </w:r>
          </w:p>
        </w:tc>
        <w:tc>
          <w:tcPr>
            <w:tcW w:w="3863" w:type="dxa"/>
            <w:tcBorders>
              <w:top w:val="nil"/>
              <w:left w:val="nil"/>
              <w:bottom w:val="nil"/>
              <w:right w:val="nil"/>
            </w:tcBorders>
            <w:shd w:val="clear" w:color="000000" w:fill="FFFFFF"/>
            <w:vAlign w:val="center"/>
            <w:hideMark/>
          </w:tcPr>
          <w:p w14:paraId="50123E79"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Other Operating Expenditure</w:t>
            </w:r>
          </w:p>
        </w:tc>
        <w:tc>
          <w:tcPr>
            <w:tcW w:w="796" w:type="dxa"/>
            <w:tcBorders>
              <w:top w:val="nil"/>
              <w:left w:val="nil"/>
              <w:bottom w:val="nil"/>
              <w:right w:val="nil"/>
            </w:tcBorders>
            <w:shd w:val="clear" w:color="000000" w:fill="FFFFFF"/>
            <w:vAlign w:val="center"/>
            <w:hideMark/>
          </w:tcPr>
          <w:p w14:paraId="66F39892" w14:textId="77777777" w:rsidR="006A2C55" w:rsidRPr="006A2C55" w:rsidRDefault="006A2C55" w:rsidP="006A2C55">
            <w:pPr>
              <w:jc w:val="center"/>
              <w:rPr>
                <w:rFonts w:cs="Arial"/>
                <w:color w:val="000000"/>
                <w:sz w:val="20"/>
                <w:szCs w:val="20"/>
                <w:lang w:eastAsia="en-GB"/>
              </w:rPr>
            </w:pPr>
            <w:r w:rsidRPr="006A2C55">
              <w:rPr>
                <w:rFonts w:cs="Arial"/>
                <w:color w:val="000000"/>
                <w:sz w:val="20"/>
                <w:szCs w:val="20"/>
                <w:lang w:eastAsia="en-GB"/>
              </w:rPr>
              <w:t> </w:t>
            </w:r>
          </w:p>
        </w:tc>
        <w:tc>
          <w:tcPr>
            <w:tcW w:w="866" w:type="dxa"/>
            <w:tcBorders>
              <w:top w:val="nil"/>
              <w:left w:val="nil"/>
              <w:bottom w:val="nil"/>
              <w:right w:val="nil"/>
            </w:tcBorders>
            <w:shd w:val="clear" w:color="000000" w:fill="FFFFFF"/>
            <w:vAlign w:val="center"/>
            <w:hideMark/>
          </w:tcPr>
          <w:p w14:paraId="2A311978"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 </w:t>
            </w:r>
          </w:p>
        </w:tc>
        <w:tc>
          <w:tcPr>
            <w:tcW w:w="961" w:type="dxa"/>
            <w:tcBorders>
              <w:top w:val="nil"/>
              <w:left w:val="nil"/>
              <w:bottom w:val="nil"/>
              <w:right w:val="nil"/>
            </w:tcBorders>
            <w:shd w:val="clear" w:color="000000" w:fill="FFFFFF"/>
            <w:vAlign w:val="center"/>
            <w:hideMark/>
          </w:tcPr>
          <w:p w14:paraId="38AAD0CF"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 </w:t>
            </w:r>
          </w:p>
        </w:tc>
        <w:tc>
          <w:tcPr>
            <w:tcW w:w="961" w:type="dxa"/>
            <w:tcBorders>
              <w:top w:val="nil"/>
              <w:left w:val="nil"/>
              <w:bottom w:val="nil"/>
              <w:right w:val="single" w:sz="4" w:space="0" w:color="auto"/>
            </w:tcBorders>
            <w:shd w:val="clear" w:color="000000" w:fill="FFFFFF"/>
            <w:vAlign w:val="center"/>
            <w:hideMark/>
          </w:tcPr>
          <w:p w14:paraId="0C19623B"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0</w:t>
            </w:r>
          </w:p>
        </w:tc>
      </w:tr>
      <w:tr w:rsidR="006A2C55" w:rsidRPr="006A2C55" w14:paraId="5730A00B" w14:textId="77777777" w:rsidTr="00273B88">
        <w:trPr>
          <w:trHeight w:val="273"/>
        </w:trPr>
        <w:tc>
          <w:tcPr>
            <w:tcW w:w="828" w:type="dxa"/>
            <w:tcBorders>
              <w:top w:val="nil"/>
              <w:left w:val="single" w:sz="4" w:space="0" w:color="auto"/>
              <w:bottom w:val="nil"/>
              <w:right w:val="nil"/>
            </w:tcBorders>
            <w:shd w:val="clear" w:color="000000" w:fill="FFFFFF"/>
            <w:vAlign w:val="center"/>
            <w:hideMark/>
          </w:tcPr>
          <w:p w14:paraId="7E34626B"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 </w:t>
            </w:r>
          </w:p>
        </w:tc>
        <w:tc>
          <w:tcPr>
            <w:tcW w:w="1152" w:type="dxa"/>
            <w:tcBorders>
              <w:top w:val="nil"/>
              <w:left w:val="nil"/>
              <w:bottom w:val="nil"/>
              <w:right w:val="nil"/>
            </w:tcBorders>
            <w:shd w:val="clear" w:color="000000" w:fill="FFFFFF"/>
            <w:vAlign w:val="center"/>
            <w:hideMark/>
          </w:tcPr>
          <w:p w14:paraId="3AB0A420"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 </w:t>
            </w:r>
          </w:p>
        </w:tc>
        <w:tc>
          <w:tcPr>
            <w:tcW w:w="992" w:type="dxa"/>
            <w:tcBorders>
              <w:top w:val="nil"/>
              <w:left w:val="nil"/>
              <w:bottom w:val="nil"/>
              <w:right w:val="nil"/>
            </w:tcBorders>
            <w:shd w:val="clear" w:color="000000" w:fill="FFFFFF"/>
            <w:vAlign w:val="center"/>
            <w:hideMark/>
          </w:tcPr>
          <w:p w14:paraId="25951FD7" w14:textId="7D68D62B" w:rsidR="006A2C55" w:rsidRPr="006A2C55" w:rsidRDefault="0078717B" w:rsidP="006A2C55">
            <w:pPr>
              <w:jc w:val="right"/>
              <w:rPr>
                <w:rFonts w:cs="Arial"/>
                <w:color w:val="000000"/>
                <w:sz w:val="20"/>
                <w:szCs w:val="20"/>
                <w:lang w:eastAsia="en-GB"/>
              </w:rPr>
            </w:pPr>
            <w:r>
              <w:rPr>
                <w:rFonts w:cs="Arial"/>
                <w:color w:val="000000"/>
                <w:sz w:val="20"/>
                <w:szCs w:val="20"/>
                <w:lang w:eastAsia="en-GB"/>
              </w:rPr>
              <w:t>(</w:t>
            </w:r>
            <w:r w:rsidR="006A2C55" w:rsidRPr="006A2C55">
              <w:rPr>
                <w:rFonts w:cs="Arial"/>
                <w:color w:val="000000"/>
                <w:sz w:val="20"/>
                <w:szCs w:val="20"/>
                <w:lang w:eastAsia="en-GB"/>
              </w:rPr>
              <w:t>471</w:t>
            </w:r>
            <w:r>
              <w:rPr>
                <w:rFonts w:cs="Arial"/>
                <w:color w:val="000000"/>
                <w:sz w:val="20"/>
                <w:szCs w:val="20"/>
                <w:lang w:eastAsia="en-GB"/>
              </w:rPr>
              <w:t>)</w:t>
            </w:r>
          </w:p>
        </w:tc>
        <w:tc>
          <w:tcPr>
            <w:tcW w:w="3863" w:type="dxa"/>
            <w:tcBorders>
              <w:top w:val="nil"/>
              <w:left w:val="nil"/>
              <w:bottom w:val="nil"/>
              <w:right w:val="nil"/>
            </w:tcBorders>
            <w:shd w:val="clear" w:color="000000" w:fill="FFFFFF"/>
            <w:vAlign w:val="center"/>
            <w:hideMark/>
          </w:tcPr>
          <w:p w14:paraId="64F34821"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Financing &amp; Investment Income &amp; Exp</w:t>
            </w:r>
          </w:p>
        </w:tc>
        <w:tc>
          <w:tcPr>
            <w:tcW w:w="796" w:type="dxa"/>
            <w:tcBorders>
              <w:top w:val="nil"/>
              <w:left w:val="nil"/>
              <w:bottom w:val="nil"/>
              <w:right w:val="nil"/>
            </w:tcBorders>
            <w:shd w:val="clear" w:color="000000" w:fill="FFFFFF"/>
            <w:vAlign w:val="center"/>
            <w:hideMark/>
          </w:tcPr>
          <w:p w14:paraId="64230FB3" w14:textId="77777777" w:rsidR="006A2C55" w:rsidRPr="006A2C55" w:rsidRDefault="006A2C55" w:rsidP="006A2C55">
            <w:pPr>
              <w:jc w:val="center"/>
              <w:rPr>
                <w:rFonts w:cs="Arial"/>
                <w:color w:val="000000"/>
                <w:sz w:val="20"/>
                <w:szCs w:val="20"/>
                <w:lang w:eastAsia="en-GB"/>
              </w:rPr>
            </w:pPr>
            <w:r w:rsidRPr="006A2C55">
              <w:rPr>
                <w:rFonts w:cs="Arial"/>
                <w:color w:val="000000"/>
                <w:sz w:val="20"/>
                <w:szCs w:val="20"/>
                <w:lang w:eastAsia="en-GB"/>
              </w:rPr>
              <w:t>13</w:t>
            </w:r>
          </w:p>
        </w:tc>
        <w:tc>
          <w:tcPr>
            <w:tcW w:w="866" w:type="dxa"/>
            <w:tcBorders>
              <w:top w:val="nil"/>
              <w:left w:val="nil"/>
              <w:bottom w:val="nil"/>
              <w:right w:val="nil"/>
            </w:tcBorders>
            <w:shd w:val="clear" w:color="000000" w:fill="FFFFFF"/>
            <w:vAlign w:val="center"/>
            <w:hideMark/>
          </w:tcPr>
          <w:p w14:paraId="301E2D94"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 </w:t>
            </w:r>
          </w:p>
        </w:tc>
        <w:tc>
          <w:tcPr>
            <w:tcW w:w="961" w:type="dxa"/>
            <w:tcBorders>
              <w:top w:val="nil"/>
              <w:left w:val="nil"/>
              <w:bottom w:val="nil"/>
              <w:right w:val="nil"/>
            </w:tcBorders>
            <w:shd w:val="clear" w:color="000000" w:fill="FFFFFF"/>
            <w:noWrap/>
            <w:vAlign w:val="bottom"/>
            <w:hideMark/>
          </w:tcPr>
          <w:p w14:paraId="10C761A8" w14:textId="77777777" w:rsidR="006A2C55" w:rsidRPr="006A2C55" w:rsidRDefault="006A2C55" w:rsidP="006A2C55">
            <w:pPr>
              <w:rPr>
                <w:rFonts w:ascii="Calibri" w:hAnsi="Calibri" w:cs="Calibri"/>
                <w:color w:val="000000"/>
                <w:sz w:val="22"/>
                <w:szCs w:val="22"/>
                <w:lang w:eastAsia="en-GB"/>
              </w:rPr>
            </w:pPr>
            <w:r w:rsidRPr="006A2C55">
              <w:rPr>
                <w:rFonts w:ascii="Calibri" w:hAnsi="Calibri" w:cs="Calibri"/>
                <w:color w:val="000000"/>
                <w:sz w:val="22"/>
                <w:szCs w:val="22"/>
                <w:lang w:eastAsia="en-GB"/>
              </w:rPr>
              <w:t> </w:t>
            </w:r>
          </w:p>
        </w:tc>
        <w:tc>
          <w:tcPr>
            <w:tcW w:w="961" w:type="dxa"/>
            <w:tcBorders>
              <w:top w:val="nil"/>
              <w:left w:val="nil"/>
              <w:bottom w:val="nil"/>
              <w:right w:val="single" w:sz="4" w:space="0" w:color="auto"/>
            </w:tcBorders>
            <w:shd w:val="clear" w:color="000000" w:fill="FFFFFF"/>
            <w:vAlign w:val="center"/>
            <w:hideMark/>
          </w:tcPr>
          <w:p w14:paraId="4BFA2A2B"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203</w:t>
            </w:r>
          </w:p>
        </w:tc>
      </w:tr>
      <w:tr w:rsidR="006A2C55" w:rsidRPr="006A2C55" w14:paraId="3F664D59" w14:textId="77777777" w:rsidTr="00273B88">
        <w:trPr>
          <w:trHeight w:val="273"/>
        </w:trPr>
        <w:tc>
          <w:tcPr>
            <w:tcW w:w="828" w:type="dxa"/>
            <w:tcBorders>
              <w:top w:val="nil"/>
              <w:left w:val="single" w:sz="4" w:space="0" w:color="auto"/>
              <w:bottom w:val="nil"/>
              <w:right w:val="nil"/>
            </w:tcBorders>
            <w:shd w:val="clear" w:color="000000" w:fill="FFFFFF"/>
            <w:noWrap/>
            <w:vAlign w:val="center"/>
            <w:hideMark/>
          </w:tcPr>
          <w:p w14:paraId="7F789976"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 </w:t>
            </w:r>
          </w:p>
        </w:tc>
        <w:tc>
          <w:tcPr>
            <w:tcW w:w="1152" w:type="dxa"/>
            <w:tcBorders>
              <w:top w:val="nil"/>
              <w:left w:val="nil"/>
              <w:bottom w:val="nil"/>
              <w:right w:val="nil"/>
            </w:tcBorders>
            <w:shd w:val="clear" w:color="000000" w:fill="FFFFFF"/>
            <w:noWrap/>
            <w:vAlign w:val="center"/>
            <w:hideMark/>
          </w:tcPr>
          <w:p w14:paraId="50A45168"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 </w:t>
            </w:r>
          </w:p>
        </w:tc>
        <w:tc>
          <w:tcPr>
            <w:tcW w:w="992" w:type="dxa"/>
            <w:tcBorders>
              <w:top w:val="nil"/>
              <w:left w:val="nil"/>
              <w:bottom w:val="nil"/>
              <w:right w:val="nil"/>
            </w:tcBorders>
            <w:shd w:val="clear" w:color="000000" w:fill="FFFFFF"/>
            <w:vAlign w:val="center"/>
            <w:hideMark/>
          </w:tcPr>
          <w:p w14:paraId="4AD3E144" w14:textId="1D6F7794" w:rsidR="006A2C55" w:rsidRPr="006A2C55" w:rsidRDefault="0078717B" w:rsidP="006A2C55">
            <w:pPr>
              <w:jc w:val="right"/>
              <w:rPr>
                <w:rFonts w:cs="Arial"/>
                <w:color w:val="000000"/>
                <w:sz w:val="20"/>
                <w:szCs w:val="20"/>
                <w:lang w:eastAsia="en-GB"/>
              </w:rPr>
            </w:pPr>
            <w:r>
              <w:rPr>
                <w:rFonts w:cs="Arial"/>
                <w:color w:val="000000"/>
                <w:sz w:val="20"/>
                <w:szCs w:val="20"/>
                <w:lang w:eastAsia="en-GB"/>
              </w:rPr>
              <w:t>(</w:t>
            </w:r>
            <w:r w:rsidR="006A2C55" w:rsidRPr="006A2C55">
              <w:rPr>
                <w:rFonts w:cs="Arial"/>
                <w:color w:val="000000"/>
                <w:sz w:val="20"/>
                <w:szCs w:val="20"/>
                <w:lang w:eastAsia="en-GB"/>
              </w:rPr>
              <w:t>5,789</w:t>
            </w:r>
            <w:r>
              <w:rPr>
                <w:rFonts w:cs="Arial"/>
                <w:color w:val="000000"/>
                <w:sz w:val="20"/>
                <w:szCs w:val="20"/>
                <w:lang w:eastAsia="en-GB"/>
              </w:rPr>
              <w:t>)</w:t>
            </w:r>
          </w:p>
        </w:tc>
        <w:tc>
          <w:tcPr>
            <w:tcW w:w="3863" w:type="dxa"/>
            <w:tcBorders>
              <w:top w:val="nil"/>
              <w:left w:val="nil"/>
              <w:bottom w:val="nil"/>
              <w:right w:val="nil"/>
            </w:tcBorders>
            <w:shd w:val="clear" w:color="000000" w:fill="FFFFFF"/>
            <w:vAlign w:val="center"/>
            <w:hideMark/>
          </w:tcPr>
          <w:p w14:paraId="3D75C96A"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Non-specific grant income</w:t>
            </w:r>
          </w:p>
        </w:tc>
        <w:tc>
          <w:tcPr>
            <w:tcW w:w="796" w:type="dxa"/>
            <w:tcBorders>
              <w:top w:val="nil"/>
              <w:left w:val="nil"/>
              <w:bottom w:val="nil"/>
              <w:right w:val="nil"/>
            </w:tcBorders>
            <w:shd w:val="clear" w:color="000000" w:fill="FFFFFF"/>
            <w:vAlign w:val="center"/>
            <w:hideMark/>
          </w:tcPr>
          <w:p w14:paraId="6ABCCDEF" w14:textId="77777777" w:rsidR="006A2C55" w:rsidRPr="006A2C55" w:rsidRDefault="006A2C55" w:rsidP="006A2C55">
            <w:pPr>
              <w:jc w:val="center"/>
              <w:rPr>
                <w:rFonts w:cs="Arial"/>
                <w:color w:val="000000"/>
                <w:sz w:val="20"/>
                <w:szCs w:val="20"/>
                <w:lang w:eastAsia="en-GB"/>
              </w:rPr>
            </w:pPr>
            <w:r w:rsidRPr="006A2C55">
              <w:rPr>
                <w:rFonts w:cs="Arial"/>
                <w:color w:val="000000"/>
                <w:sz w:val="20"/>
                <w:szCs w:val="20"/>
                <w:lang w:eastAsia="en-GB"/>
              </w:rPr>
              <w:t>14</w:t>
            </w:r>
          </w:p>
        </w:tc>
        <w:tc>
          <w:tcPr>
            <w:tcW w:w="866" w:type="dxa"/>
            <w:tcBorders>
              <w:top w:val="nil"/>
              <w:left w:val="nil"/>
              <w:bottom w:val="nil"/>
              <w:right w:val="nil"/>
            </w:tcBorders>
            <w:shd w:val="clear" w:color="000000" w:fill="FFFFFF"/>
            <w:noWrap/>
            <w:vAlign w:val="center"/>
            <w:hideMark/>
          </w:tcPr>
          <w:p w14:paraId="68352F46" w14:textId="77777777" w:rsidR="006A2C55" w:rsidRPr="006A2C55" w:rsidRDefault="006A2C55" w:rsidP="006A2C55">
            <w:pPr>
              <w:jc w:val="right"/>
              <w:rPr>
                <w:rFonts w:cs="Arial"/>
                <w:color w:val="000000"/>
                <w:sz w:val="20"/>
                <w:szCs w:val="20"/>
                <w:lang w:eastAsia="en-GB"/>
              </w:rPr>
            </w:pPr>
            <w:r w:rsidRPr="006A2C55">
              <w:rPr>
                <w:rFonts w:cs="Arial"/>
                <w:color w:val="000000"/>
                <w:sz w:val="20"/>
                <w:szCs w:val="20"/>
                <w:lang w:eastAsia="en-GB"/>
              </w:rPr>
              <w:t> </w:t>
            </w:r>
          </w:p>
        </w:tc>
        <w:tc>
          <w:tcPr>
            <w:tcW w:w="961" w:type="dxa"/>
            <w:tcBorders>
              <w:top w:val="nil"/>
              <w:left w:val="nil"/>
              <w:bottom w:val="nil"/>
              <w:right w:val="nil"/>
            </w:tcBorders>
            <w:shd w:val="clear" w:color="000000" w:fill="FFFFFF"/>
            <w:noWrap/>
            <w:vAlign w:val="bottom"/>
            <w:hideMark/>
          </w:tcPr>
          <w:p w14:paraId="5B638E62" w14:textId="77777777" w:rsidR="006A2C55" w:rsidRPr="006A2C55" w:rsidRDefault="006A2C55" w:rsidP="006A2C55">
            <w:pPr>
              <w:rPr>
                <w:rFonts w:ascii="Calibri" w:hAnsi="Calibri" w:cs="Calibri"/>
                <w:color w:val="000000"/>
                <w:sz w:val="22"/>
                <w:szCs w:val="22"/>
                <w:lang w:eastAsia="en-GB"/>
              </w:rPr>
            </w:pPr>
            <w:r w:rsidRPr="006A2C55">
              <w:rPr>
                <w:rFonts w:ascii="Calibri" w:hAnsi="Calibri" w:cs="Calibri"/>
                <w:color w:val="000000"/>
                <w:sz w:val="22"/>
                <w:szCs w:val="22"/>
                <w:lang w:eastAsia="en-GB"/>
              </w:rPr>
              <w:t> </w:t>
            </w:r>
          </w:p>
        </w:tc>
        <w:tc>
          <w:tcPr>
            <w:tcW w:w="961" w:type="dxa"/>
            <w:tcBorders>
              <w:top w:val="nil"/>
              <w:left w:val="nil"/>
              <w:bottom w:val="nil"/>
              <w:right w:val="single" w:sz="4" w:space="0" w:color="auto"/>
            </w:tcBorders>
            <w:shd w:val="clear" w:color="000000" w:fill="FFFFFF"/>
            <w:vAlign w:val="center"/>
            <w:hideMark/>
          </w:tcPr>
          <w:p w14:paraId="155A2C68" w14:textId="7C96EE01" w:rsidR="006A2C55" w:rsidRPr="006A2C55" w:rsidRDefault="0078717B" w:rsidP="006A2C55">
            <w:pPr>
              <w:jc w:val="right"/>
              <w:rPr>
                <w:rFonts w:cs="Arial"/>
                <w:color w:val="000000"/>
                <w:sz w:val="20"/>
                <w:szCs w:val="20"/>
                <w:lang w:eastAsia="en-GB"/>
              </w:rPr>
            </w:pPr>
            <w:r>
              <w:rPr>
                <w:rFonts w:cs="Arial"/>
                <w:color w:val="000000"/>
                <w:sz w:val="20"/>
                <w:szCs w:val="20"/>
                <w:lang w:eastAsia="en-GB"/>
              </w:rPr>
              <w:t>(</w:t>
            </w:r>
            <w:r w:rsidR="006A2C55" w:rsidRPr="006A2C55">
              <w:rPr>
                <w:rFonts w:cs="Arial"/>
                <w:color w:val="000000"/>
                <w:sz w:val="20"/>
                <w:szCs w:val="20"/>
                <w:lang w:eastAsia="en-GB"/>
              </w:rPr>
              <w:t>6,150</w:t>
            </w:r>
            <w:r>
              <w:rPr>
                <w:rFonts w:cs="Arial"/>
                <w:color w:val="000000"/>
                <w:sz w:val="20"/>
                <w:szCs w:val="20"/>
                <w:lang w:eastAsia="en-GB"/>
              </w:rPr>
              <w:t>)</w:t>
            </w:r>
          </w:p>
        </w:tc>
      </w:tr>
      <w:tr w:rsidR="006A2C55" w:rsidRPr="006A2C55" w14:paraId="1A3D9953" w14:textId="77777777" w:rsidTr="00273B88">
        <w:trPr>
          <w:trHeight w:val="273"/>
        </w:trPr>
        <w:tc>
          <w:tcPr>
            <w:tcW w:w="828" w:type="dxa"/>
            <w:tcBorders>
              <w:top w:val="nil"/>
              <w:left w:val="single" w:sz="4" w:space="0" w:color="auto"/>
              <w:bottom w:val="nil"/>
              <w:right w:val="nil"/>
            </w:tcBorders>
            <w:shd w:val="clear" w:color="000000" w:fill="FFFFFF"/>
            <w:noWrap/>
            <w:vAlign w:val="center"/>
            <w:hideMark/>
          </w:tcPr>
          <w:p w14:paraId="52B238AE" w14:textId="77777777"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 </w:t>
            </w:r>
          </w:p>
        </w:tc>
        <w:tc>
          <w:tcPr>
            <w:tcW w:w="1152" w:type="dxa"/>
            <w:tcBorders>
              <w:top w:val="nil"/>
              <w:left w:val="nil"/>
              <w:bottom w:val="nil"/>
              <w:right w:val="nil"/>
            </w:tcBorders>
            <w:shd w:val="clear" w:color="000000" w:fill="FFFFFF"/>
            <w:noWrap/>
            <w:vAlign w:val="center"/>
            <w:hideMark/>
          </w:tcPr>
          <w:p w14:paraId="1A3553E3" w14:textId="77777777"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 </w:t>
            </w:r>
          </w:p>
        </w:tc>
        <w:tc>
          <w:tcPr>
            <w:tcW w:w="992" w:type="dxa"/>
            <w:tcBorders>
              <w:top w:val="single" w:sz="4" w:space="0" w:color="auto"/>
              <w:left w:val="nil"/>
              <w:bottom w:val="nil"/>
              <w:right w:val="nil"/>
            </w:tcBorders>
            <w:shd w:val="clear" w:color="000000" w:fill="FFFFFF"/>
            <w:noWrap/>
            <w:vAlign w:val="center"/>
            <w:hideMark/>
          </w:tcPr>
          <w:p w14:paraId="0ADFFBCB" w14:textId="77777777"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764</w:t>
            </w:r>
          </w:p>
        </w:tc>
        <w:tc>
          <w:tcPr>
            <w:tcW w:w="3863" w:type="dxa"/>
            <w:tcBorders>
              <w:top w:val="nil"/>
              <w:left w:val="nil"/>
              <w:bottom w:val="nil"/>
              <w:right w:val="nil"/>
            </w:tcBorders>
            <w:shd w:val="clear" w:color="000000" w:fill="FFFFFF"/>
            <w:vAlign w:val="center"/>
            <w:hideMark/>
          </w:tcPr>
          <w:p w14:paraId="4DCB436F" w14:textId="77777777" w:rsidR="006A2C55" w:rsidRPr="006A2C55" w:rsidRDefault="006A2C55" w:rsidP="006A2C55">
            <w:pPr>
              <w:rPr>
                <w:rFonts w:cs="Arial"/>
                <w:b/>
                <w:bCs/>
                <w:color w:val="000000"/>
                <w:sz w:val="20"/>
                <w:szCs w:val="20"/>
                <w:lang w:eastAsia="en-GB"/>
              </w:rPr>
            </w:pPr>
            <w:r w:rsidRPr="006A2C55">
              <w:rPr>
                <w:rFonts w:cs="Arial"/>
                <w:b/>
                <w:bCs/>
                <w:color w:val="000000"/>
                <w:sz w:val="20"/>
                <w:szCs w:val="20"/>
                <w:lang w:eastAsia="en-GB"/>
              </w:rPr>
              <w:t>(Surplus) or Deficit on Provision of Services</w:t>
            </w:r>
          </w:p>
        </w:tc>
        <w:tc>
          <w:tcPr>
            <w:tcW w:w="796" w:type="dxa"/>
            <w:tcBorders>
              <w:top w:val="nil"/>
              <w:left w:val="nil"/>
              <w:bottom w:val="nil"/>
              <w:right w:val="nil"/>
            </w:tcBorders>
            <w:shd w:val="clear" w:color="000000" w:fill="FFFFFF"/>
            <w:vAlign w:val="center"/>
            <w:hideMark/>
          </w:tcPr>
          <w:p w14:paraId="09E6C501" w14:textId="77777777" w:rsidR="006A2C55" w:rsidRPr="006A2C55" w:rsidRDefault="006A2C55" w:rsidP="006A2C55">
            <w:pPr>
              <w:jc w:val="center"/>
              <w:rPr>
                <w:rFonts w:cs="Arial"/>
                <w:color w:val="000000"/>
                <w:sz w:val="20"/>
                <w:szCs w:val="20"/>
                <w:lang w:eastAsia="en-GB"/>
              </w:rPr>
            </w:pPr>
            <w:r w:rsidRPr="006A2C55">
              <w:rPr>
                <w:rFonts w:cs="Arial"/>
                <w:color w:val="000000"/>
                <w:sz w:val="20"/>
                <w:szCs w:val="20"/>
                <w:lang w:eastAsia="en-GB"/>
              </w:rPr>
              <w:t>8</w:t>
            </w:r>
          </w:p>
        </w:tc>
        <w:tc>
          <w:tcPr>
            <w:tcW w:w="866" w:type="dxa"/>
            <w:tcBorders>
              <w:top w:val="nil"/>
              <w:left w:val="nil"/>
              <w:bottom w:val="nil"/>
              <w:right w:val="nil"/>
            </w:tcBorders>
            <w:shd w:val="clear" w:color="000000" w:fill="FFFFFF"/>
            <w:noWrap/>
            <w:vAlign w:val="center"/>
            <w:hideMark/>
          </w:tcPr>
          <w:p w14:paraId="75207C5F" w14:textId="77777777"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 </w:t>
            </w:r>
          </w:p>
        </w:tc>
        <w:tc>
          <w:tcPr>
            <w:tcW w:w="961" w:type="dxa"/>
            <w:tcBorders>
              <w:top w:val="nil"/>
              <w:left w:val="nil"/>
              <w:bottom w:val="nil"/>
              <w:right w:val="nil"/>
            </w:tcBorders>
            <w:shd w:val="clear" w:color="000000" w:fill="FFFFFF"/>
            <w:noWrap/>
            <w:vAlign w:val="center"/>
            <w:hideMark/>
          </w:tcPr>
          <w:p w14:paraId="7A502D83" w14:textId="77777777"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 </w:t>
            </w:r>
          </w:p>
        </w:tc>
        <w:tc>
          <w:tcPr>
            <w:tcW w:w="961" w:type="dxa"/>
            <w:tcBorders>
              <w:top w:val="single" w:sz="4" w:space="0" w:color="auto"/>
              <w:left w:val="nil"/>
              <w:bottom w:val="nil"/>
              <w:right w:val="single" w:sz="4" w:space="0" w:color="auto"/>
            </w:tcBorders>
            <w:shd w:val="clear" w:color="000000" w:fill="FFFFFF"/>
            <w:noWrap/>
            <w:vAlign w:val="center"/>
            <w:hideMark/>
          </w:tcPr>
          <w:p w14:paraId="70EEF518" w14:textId="096E48DD"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2,</w:t>
            </w:r>
            <w:r w:rsidR="007177F6">
              <w:rPr>
                <w:rFonts w:cs="Arial"/>
                <w:b/>
                <w:bCs/>
                <w:color w:val="000000"/>
                <w:sz w:val="20"/>
                <w:szCs w:val="20"/>
                <w:lang w:eastAsia="en-GB"/>
              </w:rPr>
              <w:t>459</w:t>
            </w:r>
          </w:p>
        </w:tc>
      </w:tr>
      <w:tr w:rsidR="006A2C55" w:rsidRPr="006A2C55" w14:paraId="6D9F61E2" w14:textId="77777777" w:rsidTr="00273B88">
        <w:trPr>
          <w:trHeight w:val="273"/>
        </w:trPr>
        <w:tc>
          <w:tcPr>
            <w:tcW w:w="828" w:type="dxa"/>
            <w:tcBorders>
              <w:top w:val="nil"/>
              <w:left w:val="single" w:sz="4" w:space="0" w:color="auto"/>
              <w:bottom w:val="nil"/>
              <w:right w:val="nil"/>
            </w:tcBorders>
            <w:shd w:val="clear" w:color="000000" w:fill="FFFFFF"/>
            <w:noWrap/>
            <w:vAlign w:val="center"/>
            <w:hideMark/>
          </w:tcPr>
          <w:p w14:paraId="482FC584" w14:textId="77777777"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 </w:t>
            </w:r>
          </w:p>
        </w:tc>
        <w:tc>
          <w:tcPr>
            <w:tcW w:w="1152" w:type="dxa"/>
            <w:tcBorders>
              <w:top w:val="nil"/>
              <w:left w:val="nil"/>
              <w:bottom w:val="nil"/>
              <w:right w:val="nil"/>
            </w:tcBorders>
            <w:shd w:val="clear" w:color="000000" w:fill="FFFFFF"/>
            <w:noWrap/>
            <w:vAlign w:val="center"/>
            <w:hideMark/>
          </w:tcPr>
          <w:p w14:paraId="6BB933EA" w14:textId="77777777"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 </w:t>
            </w:r>
          </w:p>
        </w:tc>
        <w:tc>
          <w:tcPr>
            <w:tcW w:w="992" w:type="dxa"/>
            <w:tcBorders>
              <w:top w:val="nil"/>
              <w:left w:val="nil"/>
              <w:bottom w:val="nil"/>
              <w:right w:val="nil"/>
            </w:tcBorders>
            <w:shd w:val="clear" w:color="000000" w:fill="FFFFFF"/>
            <w:noWrap/>
            <w:vAlign w:val="center"/>
            <w:hideMark/>
          </w:tcPr>
          <w:p w14:paraId="3B09857B" w14:textId="77777777"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 </w:t>
            </w:r>
          </w:p>
        </w:tc>
        <w:tc>
          <w:tcPr>
            <w:tcW w:w="3863" w:type="dxa"/>
            <w:tcBorders>
              <w:top w:val="nil"/>
              <w:left w:val="nil"/>
              <w:bottom w:val="nil"/>
              <w:right w:val="nil"/>
            </w:tcBorders>
            <w:shd w:val="clear" w:color="000000" w:fill="FFFFFF"/>
            <w:vAlign w:val="center"/>
            <w:hideMark/>
          </w:tcPr>
          <w:p w14:paraId="775281B1" w14:textId="77777777" w:rsidR="006A2C55" w:rsidRPr="006A2C55" w:rsidRDefault="006A2C55" w:rsidP="006A2C55">
            <w:pPr>
              <w:rPr>
                <w:rFonts w:cs="Arial"/>
                <w:b/>
                <w:bCs/>
                <w:color w:val="000000"/>
                <w:sz w:val="20"/>
                <w:szCs w:val="20"/>
                <w:lang w:eastAsia="en-GB"/>
              </w:rPr>
            </w:pPr>
            <w:r w:rsidRPr="006A2C55">
              <w:rPr>
                <w:rFonts w:cs="Arial"/>
                <w:b/>
                <w:bCs/>
                <w:color w:val="000000"/>
                <w:sz w:val="20"/>
                <w:szCs w:val="20"/>
                <w:lang w:eastAsia="en-GB"/>
              </w:rPr>
              <w:t> </w:t>
            </w:r>
          </w:p>
        </w:tc>
        <w:tc>
          <w:tcPr>
            <w:tcW w:w="796" w:type="dxa"/>
            <w:tcBorders>
              <w:top w:val="nil"/>
              <w:left w:val="nil"/>
              <w:bottom w:val="nil"/>
              <w:right w:val="nil"/>
            </w:tcBorders>
            <w:shd w:val="clear" w:color="000000" w:fill="FFFFFF"/>
            <w:vAlign w:val="center"/>
            <w:hideMark/>
          </w:tcPr>
          <w:p w14:paraId="3346647A" w14:textId="77777777" w:rsidR="006A2C55" w:rsidRPr="006A2C55" w:rsidRDefault="006A2C55" w:rsidP="006A2C55">
            <w:pPr>
              <w:jc w:val="center"/>
              <w:rPr>
                <w:rFonts w:cs="Arial"/>
                <w:color w:val="000000"/>
                <w:sz w:val="20"/>
                <w:szCs w:val="20"/>
                <w:lang w:eastAsia="en-GB"/>
              </w:rPr>
            </w:pPr>
            <w:r w:rsidRPr="006A2C55">
              <w:rPr>
                <w:rFonts w:cs="Arial"/>
                <w:color w:val="000000"/>
                <w:sz w:val="20"/>
                <w:szCs w:val="20"/>
                <w:lang w:eastAsia="en-GB"/>
              </w:rPr>
              <w:t> </w:t>
            </w:r>
          </w:p>
        </w:tc>
        <w:tc>
          <w:tcPr>
            <w:tcW w:w="866" w:type="dxa"/>
            <w:tcBorders>
              <w:top w:val="nil"/>
              <w:left w:val="nil"/>
              <w:bottom w:val="nil"/>
              <w:right w:val="nil"/>
            </w:tcBorders>
            <w:shd w:val="clear" w:color="000000" w:fill="FFFFFF"/>
            <w:noWrap/>
            <w:vAlign w:val="center"/>
            <w:hideMark/>
          </w:tcPr>
          <w:p w14:paraId="2E897BDB" w14:textId="77777777"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 </w:t>
            </w:r>
          </w:p>
        </w:tc>
        <w:tc>
          <w:tcPr>
            <w:tcW w:w="961" w:type="dxa"/>
            <w:tcBorders>
              <w:top w:val="nil"/>
              <w:left w:val="nil"/>
              <w:bottom w:val="nil"/>
              <w:right w:val="nil"/>
            </w:tcBorders>
            <w:shd w:val="clear" w:color="000000" w:fill="FFFFFF"/>
            <w:noWrap/>
            <w:vAlign w:val="center"/>
            <w:hideMark/>
          </w:tcPr>
          <w:p w14:paraId="6B614ABC" w14:textId="77777777"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 </w:t>
            </w:r>
          </w:p>
        </w:tc>
        <w:tc>
          <w:tcPr>
            <w:tcW w:w="961" w:type="dxa"/>
            <w:tcBorders>
              <w:top w:val="nil"/>
              <w:left w:val="nil"/>
              <w:bottom w:val="nil"/>
              <w:right w:val="single" w:sz="4" w:space="0" w:color="auto"/>
            </w:tcBorders>
            <w:shd w:val="clear" w:color="000000" w:fill="FFFFFF"/>
            <w:noWrap/>
            <w:vAlign w:val="center"/>
            <w:hideMark/>
          </w:tcPr>
          <w:p w14:paraId="0E7D07C2" w14:textId="77777777"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 </w:t>
            </w:r>
          </w:p>
        </w:tc>
      </w:tr>
      <w:tr w:rsidR="006A2C55" w:rsidRPr="006A2C55" w14:paraId="7A85FEFF" w14:textId="77777777" w:rsidTr="00273B88">
        <w:trPr>
          <w:trHeight w:val="501"/>
        </w:trPr>
        <w:tc>
          <w:tcPr>
            <w:tcW w:w="828" w:type="dxa"/>
            <w:tcBorders>
              <w:top w:val="nil"/>
              <w:left w:val="single" w:sz="4" w:space="0" w:color="auto"/>
              <w:bottom w:val="nil"/>
              <w:right w:val="nil"/>
            </w:tcBorders>
            <w:shd w:val="clear" w:color="000000" w:fill="FFFFFF"/>
            <w:noWrap/>
            <w:vAlign w:val="center"/>
            <w:hideMark/>
          </w:tcPr>
          <w:p w14:paraId="167B1516"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1152" w:type="dxa"/>
            <w:tcBorders>
              <w:top w:val="nil"/>
              <w:left w:val="nil"/>
              <w:bottom w:val="nil"/>
              <w:right w:val="nil"/>
            </w:tcBorders>
            <w:shd w:val="clear" w:color="000000" w:fill="FFFFFF"/>
            <w:noWrap/>
            <w:vAlign w:val="center"/>
            <w:hideMark/>
          </w:tcPr>
          <w:p w14:paraId="0AE4BBBF"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992" w:type="dxa"/>
            <w:tcBorders>
              <w:top w:val="nil"/>
              <w:left w:val="nil"/>
              <w:bottom w:val="nil"/>
              <w:right w:val="nil"/>
            </w:tcBorders>
            <w:shd w:val="clear" w:color="000000" w:fill="FFFFFF"/>
            <w:noWrap/>
            <w:vAlign w:val="center"/>
            <w:hideMark/>
          </w:tcPr>
          <w:p w14:paraId="04033E32" w14:textId="44C7A709" w:rsidR="006A2C55" w:rsidRPr="006A2C55" w:rsidRDefault="0078717B" w:rsidP="006A2C55">
            <w:pPr>
              <w:jc w:val="right"/>
              <w:rPr>
                <w:rFonts w:cs="Arial"/>
                <w:color w:val="000000"/>
                <w:sz w:val="20"/>
                <w:szCs w:val="20"/>
                <w:lang w:eastAsia="en-GB"/>
              </w:rPr>
            </w:pPr>
            <w:r>
              <w:rPr>
                <w:rFonts w:cs="Arial"/>
                <w:color w:val="000000"/>
                <w:sz w:val="20"/>
                <w:szCs w:val="20"/>
                <w:lang w:eastAsia="en-GB"/>
              </w:rPr>
              <w:t>(</w:t>
            </w:r>
            <w:r w:rsidR="006A2C55" w:rsidRPr="006A2C55">
              <w:rPr>
                <w:rFonts w:cs="Arial"/>
                <w:color w:val="000000"/>
                <w:sz w:val="20"/>
                <w:szCs w:val="20"/>
                <w:lang w:eastAsia="en-GB"/>
              </w:rPr>
              <w:t>4,926</w:t>
            </w:r>
            <w:r>
              <w:rPr>
                <w:rFonts w:cs="Arial"/>
                <w:color w:val="000000"/>
                <w:sz w:val="20"/>
                <w:szCs w:val="20"/>
                <w:lang w:eastAsia="en-GB"/>
              </w:rPr>
              <w:t>)</w:t>
            </w:r>
          </w:p>
        </w:tc>
        <w:tc>
          <w:tcPr>
            <w:tcW w:w="3863" w:type="dxa"/>
            <w:tcBorders>
              <w:top w:val="nil"/>
              <w:left w:val="nil"/>
              <w:bottom w:val="nil"/>
              <w:right w:val="nil"/>
            </w:tcBorders>
            <w:shd w:val="clear" w:color="000000" w:fill="FFFFFF"/>
            <w:vAlign w:val="center"/>
            <w:hideMark/>
          </w:tcPr>
          <w:p w14:paraId="0B75B34C"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(Surplus) or deficit on revaluation of non-current assets</w:t>
            </w:r>
          </w:p>
        </w:tc>
        <w:tc>
          <w:tcPr>
            <w:tcW w:w="796" w:type="dxa"/>
            <w:tcBorders>
              <w:top w:val="nil"/>
              <w:left w:val="nil"/>
              <w:bottom w:val="nil"/>
              <w:right w:val="nil"/>
            </w:tcBorders>
            <w:shd w:val="clear" w:color="000000" w:fill="FFFFFF"/>
            <w:vAlign w:val="center"/>
            <w:hideMark/>
          </w:tcPr>
          <w:p w14:paraId="3D6C27C0" w14:textId="77777777" w:rsidR="006A2C55" w:rsidRPr="006A2C55" w:rsidRDefault="006A2C55" w:rsidP="006A2C55">
            <w:pPr>
              <w:jc w:val="center"/>
              <w:rPr>
                <w:rFonts w:cs="Arial"/>
                <w:color w:val="000000"/>
                <w:sz w:val="20"/>
                <w:szCs w:val="20"/>
                <w:lang w:eastAsia="en-GB"/>
              </w:rPr>
            </w:pPr>
            <w:r w:rsidRPr="006A2C55">
              <w:rPr>
                <w:rFonts w:cs="Arial"/>
                <w:color w:val="000000"/>
                <w:sz w:val="20"/>
                <w:szCs w:val="20"/>
                <w:lang w:eastAsia="en-GB"/>
              </w:rPr>
              <w:t> </w:t>
            </w:r>
          </w:p>
        </w:tc>
        <w:tc>
          <w:tcPr>
            <w:tcW w:w="866" w:type="dxa"/>
            <w:tcBorders>
              <w:top w:val="nil"/>
              <w:left w:val="nil"/>
              <w:bottom w:val="nil"/>
              <w:right w:val="nil"/>
            </w:tcBorders>
            <w:shd w:val="clear" w:color="000000" w:fill="FFFFFF"/>
            <w:noWrap/>
            <w:vAlign w:val="center"/>
            <w:hideMark/>
          </w:tcPr>
          <w:p w14:paraId="793DD2FA"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961" w:type="dxa"/>
            <w:tcBorders>
              <w:top w:val="nil"/>
              <w:left w:val="nil"/>
              <w:bottom w:val="nil"/>
              <w:right w:val="nil"/>
            </w:tcBorders>
            <w:shd w:val="clear" w:color="000000" w:fill="FFFFFF"/>
            <w:noWrap/>
            <w:vAlign w:val="bottom"/>
            <w:hideMark/>
          </w:tcPr>
          <w:p w14:paraId="53D3C60B" w14:textId="77777777" w:rsidR="006A2C55" w:rsidRPr="006A2C55" w:rsidRDefault="006A2C55" w:rsidP="006A2C55">
            <w:pPr>
              <w:rPr>
                <w:rFonts w:ascii="Calibri" w:hAnsi="Calibri" w:cs="Calibri"/>
                <w:color w:val="000000"/>
                <w:sz w:val="22"/>
                <w:szCs w:val="22"/>
                <w:lang w:eastAsia="en-GB"/>
              </w:rPr>
            </w:pPr>
            <w:r w:rsidRPr="006A2C55">
              <w:rPr>
                <w:rFonts w:ascii="Calibri" w:hAnsi="Calibri" w:cs="Calibri"/>
                <w:color w:val="000000"/>
                <w:sz w:val="22"/>
                <w:szCs w:val="22"/>
                <w:lang w:eastAsia="en-GB"/>
              </w:rPr>
              <w:t> </w:t>
            </w:r>
          </w:p>
        </w:tc>
        <w:tc>
          <w:tcPr>
            <w:tcW w:w="961" w:type="dxa"/>
            <w:tcBorders>
              <w:top w:val="nil"/>
              <w:left w:val="nil"/>
              <w:bottom w:val="nil"/>
              <w:right w:val="single" w:sz="4" w:space="0" w:color="auto"/>
            </w:tcBorders>
            <w:shd w:val="clear" w:color="000000" w:fill="FFFFFF"/>
            <w:vAlign w:val="center"/>
            <w:hideMark/>
          </w:tcPr>
          <w:p w14:paraId="7E616C55" w14:textId="0E817649" w:rsidR="006A2C55" w:rsidRPr="006A2C55" w:rsidRDefault="0078717B" w:rsidP="006A2C55">
            <w:pPr>
              <w:jc w:val="right"/>
              <w:rPr>
                <w:rFonts w:cs="Arial"/>
                <w:color w:val="000000"/>
                <w:sz w:val="20"/>
                <w:szCs w:val="20"/>
                <w:lang w:eastAsia="en-GB"/>
              </w:rPr>
            </w:pPr>
            <w:r>
              <w:rPr>
                <w:rFonts w:cs="Arial"/>
                <w:color w:val="000000"/>
                <w:sz w:val="20"/>
                <w:szCs w:val="20"/>
                <w:lang w:eastAsia="en-GB"/>
              </w:rPr>
              <w:t>(</w:t>
            </w:r>
            <w:r w:rsidR="006A2C55" w:rsidRPr="006A2C55">
              <w:rPr>
                <w:rFonts w:cs="Arial"/>
                <w:color w:val="000000"/>
                <w:sz w:val="20"/>
                <w:szCs w:val="20"/>
                <w:lang w:eastAsia="en-GB"/>
              </w:rPr>
              <w:t>2,</w:t>
            </w:r>
            <w:r w:rsidR="007177F6">
              <w:rPr>
                <w:rFonts w:cs="Arial"/>
                <w:color w:val="000000"/>
                <w:sz w:val="20"/>
                <w:szCs w:val="20"/>
                <w:lang w:eastAsia="en-GB"/>
              </w:rPr>
              <w:t>3</w:t>
            </w:r>
            <w:r w:rsidR="005D6A99">
              <w:rPr>
                <w:rFonts w:cs="Arial"/>
                <w:color w:val="000000"/>
                <w:sz w:val="20"/>
                <w:szCs w:val="20"/>
                <w:lang w:eastAsia="en-GB"/>
              </w:rPr>
              <w:t>63</w:t>
            </w:r>
            <w:r>
              <w:rPr>
                <w:rFonts w:cs="Arial"/>
                <w:color w:val="000000"/>
                <w:sz w:val="20"/>
                <w:szCs w:val="20"/>
                <w:lang w:eastAsia="en-GB"/>
              </w:rPr>
              <w:t>)</w:t>
            </w:r>
          </w:p>
        </w:tc>
      </w:tr>
      <w:tr w:rsidR="006A2C55" w:rsidRPr="006A2C55" w14:paraId="0FCFFAB2" w14:textId="77777777" w:rsidTr="00273B88">
        <w:trPr>
          <w:trHeight w:val="273"/>
        </w:trPr>
        <w:tc>
          <w:tcPr>
            <w:tcW w:w="828" w:type="dxa"/>
            <w:tcBorders>
              <w:top w:val="nil"/>
              <w:left w:val="single" w:sz="4" w:space="0" w:color="auto"/>
              <w:bottom w:val="nil"/>
              <w:right w:val="nil"/>
            </w:tcBorders>
            <w:shd w:val="clear" w:color="000000" w:fill="FFFFFF"/>
            <w:noWrap/>
            <w:vAlign w:val="center"/>
            <w:hideMark/>
          </w:tcPr>
          <w:p w14:paraId="0194823D"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1152" w:type="dxa"/>
            <w:tcBorders>
              <w:top w:val="nil"/>
              <w:left w:val="nil"/>
              <w:bottom w:val="nil"/>
              <w:right w:val="nil"/>
            </w:tcBorders>
            <w:shd w:val="clear" w:color="000000" w:fill="FFFFFF"/>
            <w:noWrap/>
            <w:vAlign w:val="center"/>
            <w:hideMark/>
          </w:tcPr>
          <w:p w14:paraId="39550C8B"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992" w:type="dxa"/>
            <w:tcBorders>
              <w:top w:val="nil"/>
              <w:left w:val="nil"/>
              <w:bottom w:val="nil"/>
              <w:right w:val="nil"/>
            </w:tcBorders>
            <w:shd w:val="clear" w:color="000000" w:fill="FFFFFF"/>
            <w:noWrap/>
            <w:vAlign w:val="center"/>
            <w:hideMark/>
          </w:tcPr>
          <w:p w14:paraId="0ECEF4AF" w14:textId="779BAE3F" w:rsidR="006A2C55" w:rsidRPr="006A2C55" w:rsidRDefault="0078717B" w:rsidP="006A2C55">
            <w:pPr>
              <w:jc w:val="right"/>
              <w:rPr>
                <w:rFonts w:cs="Arial"/>
                <w:color w:val="000000"/>
                <w:sz w:val="20"/>
                <w:szCs w:val="20"/>
                <w:lang w:eastAsia="en-GB"/>
              </w:rPr>
            </w:pPr>
            <w:r>
              <w:rPr>
                <w:rFonts w:cs="Arial"/>
                <w:color w:val="000000"/>
                <w:sz w:val="20"/>
                <w:szCs w:val="20"/>
                <w:lang w:eastAsia="en-GB"/>
              </w:rPr>
              <w:t>(</w:t>
            </w:r>
            <w:r w:rsidR="006A2C55" w:rsidRPr="006A2C55">
              <w:rPr>
                <w:rFonts w:cs="Arial"/>
                <w:color w:val="000000"/>
                <w:sz w:val="20"/>
                <w:szCs w:val="20"/>
                <w:lang w:eastAsia="en-GB"/>
              </w:rPr>
              <w:t>6,390</w:t>
            </w:r>
            <w:r>
              <w:rPr>
                <w:rFonts w:cs="Arial"/>
                <w:color w:val="000000"/>
                <w:sz w:val="20"/>
                <w:szCs w:val="20"/>
                <w:lang w:eastAsia="en-GB"/>
              </w:rPr>
              <w:t>)</w:t>
            </w:r>
          </w:p>
        </w:tc>
        <w:tc>
          <w:tcPr>
            <w:tcW w:w="3863" w:type="dxa"/>
            <w:tcBorders>
              <w:top w:val="nil"/>
              <w:left w:val="nil"/>
              <w:bottom w:val="nil"/>
              <w:right w:val="nil"/>
            </w:tcBorders>
            <w:shd w:val="clear" w:color="000000" w:fill="FFFFFF"/>
            <w:vAlign w:val="center"/>
            <w:hideMark/>
          </w:tcPr>
          <w:p w14:paraId="348DA7C1"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Remeasurements of the defined benefit liability</w:t>
            </w:r>
          </w:p>
        </w:tc>
        <w:tc>
          <w:tcPr>
            <w:tcW w:w="796" w:type="dxa"/>
            <w:tcBorders>
              <w:top w:val="nil"/>
              <w:left w:val="nil"/>
              <w:bottom w:val="nil"/>
              <w:right w:val="nil"/>
            </w:tcBorders>
            <w:shd w:val="clear" w:color="000000" w:fill="FFFFFF"/>
            <w:vAlign w:val="center"/>
            <w:hideMark/>
          </w:tcPr>
          <w:p w14:paraId="39696A36" w14:textId="77777777" w:rsidR="006A2C55" w:rsidRPr="006A2C55" w:rsidRDefault="006A2C55" w:rsidP="006A2C55">
            <w:pPr>
              <w:jc w:val="center"/>
              <w:rPr>
                <w:rFonts w:cs="Arial"/>
                <w:color w:val="000000"/>
                <w:sz w:val="20"/>
                <w:szCs w:val="20"/>
                <w:lang w:eastAsia="en-GB"/>
              </w:rPr>
            </w:pPr>
            <w:r w:rsidRPr="006A2C55">
              <w:rPr>
                <w:rFonts w:cs="Arial"/>
                <w:color w:val="000000"/>
                <w:sz w:val="20"/>
                <w:szCs w:val="20"/>
                <w:lang w:eastAsia="en-GB"/>
              </w:rPr>
              <w:t>15</w:t>
            </w:r>
          </w:p>
        </w:tc>
        <w:tc>
          <w:tcPr>
            <w:tcW w:w="866" w:type="dxa"/>
            <w:tcBorders>
              <w:top w:val="nil"/>
              <w:left w:val="nil"/>
              <w:bottom w:val="nil"/>
              <w:right w:val="nil"/>
            </w:tcBorders>
            <w:shd w:val="clear" w:color="000000" w:fill="FFFFFF"/>
            <w:noWrap/>
            <w:vAlign w:val="center"/>
            <w:hideMark/>
          </w:tcPr>
          <w:p w14:paraId="1C1C5DF4"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961" w:type="dxa"/>
            <w:tcBorders>
              <w:top w:val="nil"/>
              <w:left w:val="nil"/>
              <w:bottom w:val="nil"/>
              <w:right w:val="nil"/>
            </w:tcBorders>
            <w:shd w:val="clear" w:color="000000" w:fill="FFFFFF"/>
            <w:noWrap/>
            <w:vAlign w:val="bottom"/>
            <w:hideMark/>
          </w:tcPr>
          <w:p w14:paraId="074D264C" w14:textId="77777777" w:rsidR="006A2C55" w:rsidRPr="006A2C55" w:rsidRDefault="006A2C55" w:rsidP="006A2C55">
            <w:pPr>
              <w:rPr>
                <w:rFonts w:ascii="Calibri" w:hAnsi="Calibri" w:cs="Calibri"/>
                <w:color w:val="000000"/>
                <w:sz w:val="22"/>
                <w:szCs w:val="22"/>
                <w:lang w:eastAsia="en-GB"/>
              </w:rPr>
            </w:pPr>
            <w:r w:rsidRPr="006A2C55">
              <w:rPr>
                <w:rFonts w:ascii="Calibri" w:hAnsi="Calibri" w:cs="Calibri"/>
                <w:color w:val="000000"/>
                <w:sz w:val="22"/>
                <w:szCs w:val="22"/>
                <w:lang w:eastAsia="en-GB"/>
              </w:rPr>
              <w:t> </w:t>
            </w:r>
          </w:p>
        </w:tc>
        <w:tc>
          <w:tcPr>
            <w:tcW w:w="961" w:type="dxa"/>
            <w:tcBorders>
              <w:top w:val="nil"/>
              <w:left w:val="nil"/>
              <w:bottom w:val="nil"/>
              <w:right w:val="single" w:sz="4" w:space="0" w:color="auto"/>
            </w:tcBorders>
            <w:shd w:val="clear" w:color="000000" w:fill="FFFFFF"/>
            <w:vAlign w:val="center"/>
            <w:hideMark/>
          </w:tcPr>
          <w:p w14:paraId="35C2DE1E" w14:textId="4FA45FED" w:rsidR="006A2C55" w:rsidRPr="006A2C55" w:rsidRDefault="0078717B" w:rsidP="006A2C55">
            <w:pPr>
              <w:jc w:val="right"/>
              <w:rPr>
                <w:rFonts w:cs="Arial"/>
                <w:color w:val="000000"/>
                <w:sz w:val="20"/>
                <w:szCs w:val="20"/>
                <w:lang w:eastAsia="en-GB"/>
              </w:rPr>
            </w:pPr>
            <w:r>
              <w:rPr>
                <w:rFonts w:cs="Arial"/>
                <w:color w:val="000000"/>
                <w:sz w:val="20"/>
                <w:szCs w:val="20"/>
                <w:lang w:eastAsia="en-GB"/>
              </w:rPr>
              <w:t>(</w:t>
            </w:r>
            <w:r w:rsidR="006A2C55" w:rsidRPr="006A2C55">
              <w:rPr>
                <w:rFonts w:cs="Arial"/>
                <w:color w:val="000000"/>
                <w:sz w:val="20"/>
                <w:szCs w:val="20"/>
                <w:lang w:eastAsia="en-GB"/>
              </w:rPr>
              <w:t>23,900</w:t>
            </w:r>
            <w:r>
              <w:rPr>
                <w:rFonts w:cs="Arial"/>
                <w:color w:val="000000"/>
                <w:sz w:val="20"/>
                <w:szCs w:val="20"/>
                <w:lang w:eastAsia="en-GB"/>
              </w:rPr>
              <w:t>)</w:t>
            </w:r>
          </w:p>
        </w:tc>
      </w:tr>
      <w:tr w:rsidR="006A2C55" w:rsidRPr="006A2C55" w14:paraId="6A6FCD49" w14:textId="77777777" w:rsidTr="00273B88">
        <w:trPr>
          <w:trHeight w:val="464"/>
        </w:trPr>
        <w:tc>
          <w:tcPr>
            <w:tcW w:w="828" w:type="dxa"/>
            <w:tcBorders>
              <w:top w:val="nil"/>
              <w:left w:val="single" w:sz="4" w:space="0" w:color="auto"/>
              <w:bottom w:val="nil"/>
              <w:right w:val="nil"/>
            </w:tcBorders>
            <w:shd w:val="clear" w:color="000000" w:fill="FFFFFF"/>
            <w:noWrap/>
            <w:vAlign w:val="center"/>
            <w:hideMark/>
          </w:tcPr>
          <w:p w14:paraId="38D13151"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1152" w:type="dxa"/>
            <w:tcBorders>
              <w:top w:val="nil"/>
              <w:left w:val="nil"/>
              <w:bottom w:val="nil"/>
              <w:right w:val="nil"/>
            </w:tcBorders>
            <w:shd w:val="clear" w:color="000000" w:fill="FFFFFF"/>
            <w:noWrap/>
            <w:vAlign w:val="center"/>
            <w:hideMark/>
          </w:tcPr>
          <w:p w14:paraId="4C5DC22C"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992" w:type="dxa"/>
            <w:tcBorders>
              <w:top w:val="single" w:sz="4" w:space="0" w:color="auto"/>
              <w:left w:val="nil"/>
              <w:bottom w:val="nil"/>
              <w:right w:val="nil"/>
            </w:tcBorders>
            <w:shd w:val="clear" w:color="000000" w:fill="FFFFFF"/>
            <w:noWrap/>
            <w:vAlign w:val="center"/>
            <w:hideMark/>
          </w:tcPr>
          <w:p w14:paraId="43EEF258" w14:textId="129E9128" w:rsidR="006A2C55" w:rsidRPr="006A2C55" w:rsidRDefault="0078717B" w:rsidP="006A2C55">
            <w:pPr>
              <w:jc w:val="right"/>
              <w:rPr>
                <w:rFonts w:cs="Arial"/>
                <w:b/>
                <w:bCs/>
                <w:color w:val="000000"/>
                <w:sz w:val="20"/>
                <w:szCs w:val="20"/>
                <w:lang w:eastAsia="en-GB"/>
              </w:rPr>
            </w:pPr>
            <w:r>
              <w:rPr>
                <w:rFonts w:cs="Arial"/>
                <w:b/>
                <w:bCs/>
                <w:color w:val="000000"/>
                <w:sz w:val="20"/>
                <w:szCs w:val="20"/>
                <w:lang w:eastAsia="en-GB"/>
              </w:rPr>
              <w:t>(</w:t>
            </w:r>
            <w:r w:rsidR="006A2C55" w:rsidRPr="006A2C55">
              <w:rPr>
                <w:rFonts w:cs="Arial"/>
                <w:b/>
                <w:bCs/>
                <w:color w:val="000000"/>
                <w:sz w:val="20"/>
                <w:szCs w:val="20"/>
                <w:lang w:eastAsia="en-GB"/>
              </w:rPr>
              <w:t>11,316</w:t>
            </w:r>
            <w:r>
              <w:rPr>
                <w:rFonts w:cs="Arial"/>
                <w:b/>
                <w:bCs/>
                <w:color w:val="000000"/>
                <w:sz w:val="20"/>
                <w:szCs w:val="20"/>
                <w:lang w:eastAsia="en-GB"/>
              </w:rPr>
              <w:t>)</w:t>
            </w:r>
          </w:p>
        </w:tc>
        <w:tc>
          <w:tcPr>
            <w:tcW w:w="3863" w:type="dxa"/>
            <w:tcBorders>
              <w:top w:val="nil"/>
              <w:left w:val="nil"/>
              <w:bottom w:val="nil"/>
              <w:right w:val="nil"/>
            </w:tcBorders>
            <w:shd w:val="clear" w:color="000000" w:fill="FFFFFF"/>
            <w:vAlign w:val="center"/>
            <w:hideMark/>
          </w:tcPr>
          <w:p w14:paraId="40D3E413" w14:textId="77777777" w:rsidR="006A2C55" w:rsidRPr="006A2C55" w:rsidRDefault="006A2C55" w:rsidP="006A2C55">
            <w:pPr>
              <w:rPr>
                <w:rFonts w:cs="Arial"/>
                <w:b/>
                <w:bCs/>
                <w:color w:val="000000"/>
                <w:sz w:val="20"/>
                <w:szCs w:val="20"/>
                <w:lang w:eastAsia="en-GB"/>
              </w:rPr>
            </w:pPr>
            <w:r w:rsidRPr="006A2C55">
              <w:rPr>
                <w:rFonts w:cs="Arial"/>
                <w:b/>
                <w:bCs/>
                <w:color w:val="000000"/>
                <w:sz w:val="20"/>
                <w:szCs w:val="20"/>
                <w:lang w:eastAsia="en-GB"/>
              </w:rPr>
              <w:t>Other Comprehensive (Income) &amp; Expenditure</w:t>
            </w:r>
          </w:p>
        </w:tc>
        <w:tc>
          <w:tcPr>
            <w:tcW w:w="796" w:type="dxa"/>
            <w:tcBorders>
              <w:top w:val="nil"/>
              <w:left w:val="nil"/>
              <w:bottom w:val="nil"/>
              <w:right w:val="nil"/>
            </w:tcBorders>
            <w:shd w:val="clear" w:color="000000" w:fill="FFFFFF"/>
            <w:vAlign w:val="center"/>
            <w:hideMark/>
          </w:tcPr>
          <w:p w14:paraId="1BE17908" w14:textId="77777777" w:rsidR="006A2C55" w:rsidRPr="006A2C55" w:rsidRDefault="006A2C55" w:rsidP="006A2C55">
            <w:pPr>
              <w:rPr>
                <w:rFonts w:cs="Arial"/>
                <w:b/>
                <w:bCs/>
                <w:color w:val="000000"/>
                <w:sz w:val="20"/>
                <w:szCs w:val="20"/>
                <w:lang w:eastAsia="en-GB"/>
              </w:rPr>
            </w:pPr>
            <w:r w:rsidRPr="006A2C55">
              <w:rPr>
                <w:rFonts w:cs="Arial"/>
                <w:b/>
                <w:bCs/>
                <w:color w:val="000000"/>
                <w:sz w:val="20"/>
                <w:szCs w:val="20"/>
                <w:lang w:eastAsia="en-GB"/>
              </w:rPr>
              <w:t> </w:t>
            </w:r>
          </w:p>
        </w:tc>
        <w:tc>
          <w:tcPr>
            <w:tcW w:w="866" w:type="dxa"/>
            <w:tcBorders>
              <w:top w:val="nil"/>
              <w:left w:val="nil"/>
              <w:bottom w:val="nil"/>
              <w:right w:val="nil"/>
            </w:tcBorders>
            <w:shd w:val="clear" w:color="000000" w:fill="FFFFFF"/>
            <w:noWrap/>
            <w:vAlign w:val="center"/>
            <w:hideMark/>
          </w:tcPr>
          <w:p w14:paraId="33ECF05D"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961" w:type="dxa"/>
            <w:tcBorders>
              <w:top w:val="nil"/>
              <w:left w:val="nil"/>
              <w:bottom w:val="nil"/>
              <w:right w:val="nil"/>
            </w:tcBorders>
            <w:shd w:val="clear" w:color="000000" w:fill="FFFFFF"/>
            <w:noWrap/>
            <w:vAlign w:val="center"/>
            <w:hideMark/>
          </w:tcPr>
          <w:p w14:paraId="23CDEC10"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961" w:type="dxa"/>
            <w:tcBorders>
              <w:top w:val="single" w:sz="4" w:space="0" w:color="auto"/>
              <w:left w:val="nil"/>
              <w:bottom w:val="nil"/>
              <w:right w:val="single" w:sz="4" w:space="0" w:color="auto"/>
            </w:tcBorders>
            <w:shd w:val="clear" w:color="000000" w:fill="FFFFFF"/>
            <w:noWrap/>
            <w:vAlign w:val="center"/>
            <w:hideMark/>
          </w:tcPr>
          <w:p w14:paraId="2DE5F835" w14:textId="3CB20EA2" w:rsidR="006A2C55" w:rsidRPr="006A2C55" w:rsidRDefault="0078717B" w:rsidP="006A2C55">
            <w:pPr>
              <w:jc w:val="right"/>
              <w:rPr>
                <w:rFonts w:cs="Arial"/>
                <w:b/>
                <w:bCs/>
                <w:color w:val="000000"/>
                <w:sz w:val="20"/>
                <w:szCs w:val="20"/>
                <w:lang w:eastAsia="en-GB"/>
              </w:rPr>
            </w:pPr>
            <w:r>
              <w:rPr>
                <w:rFonts w:cs="Arial"/>
                <w:b/>
                <w:bCs/>
                <w:color w:val="000000"/>
                <w:sz w:val="20"/>
                <w:szCs w:val="20"/>
                <w:lang w:eastAsia="en-GB"/>
              </w:rPr>
              <w:t>(</w:t>
            </w:r>
            <w:r w:rsidR="006A2C55" w:rsidRPr="006A2C55">
              <w:rPr>
                <w:rFonts w:cs="Arial"/>
                <w:b/>
                <w:bCs/>
                <w:color w:val="000000"/>
                <w:sz w:val="20"/>
                <w:szCs w:val="20"/>
                <w:lang w:eastAsia="en-GB"/>
              </w:rPr>
              <w:t>26,</w:t>
            </w:r>
            <w:r w:rsidR="007177F6">
              <w:rPr>
                <w:rFonts w:cs="Arial"/>
                <w:b/>
                <w:bCs/>
                <w:color w:val="000000"/>
                <w:sz w:val="20"/>
                <w:szCs w:val="20"/>
                <w:lang w:eastAsia="en-GB"/>
              </w:rPr>
              <w:t>2</w:t>
            </w:r>
            <w:r w:rsidR="005D6A99">
              <w:rPr>
                <w:rFonts w:cs="Arial"/>
                <w:b/>
                <w:bCs/>
                <w:color w:val="000000"/>
                <w:sz w:val="20"/>
                <w:szCs w:val="20"/>
                <w:lang w:eastAsia="en-GB"/>
              </w:rPr>
              <w:t>63</w:t>
            </w:r>
            <w:r>
              <w:rPr>
                <w:rFonts w:cs="Arial"/>
                <w:b/>
                <w:bCs/>
                <w:color w:val="000000"/>
                <w:sz w:val="20"/>
                <w:szCs w:val="20"/>
                <w:lang w:eastAsia="en-GB"/>
              </w:rPr>
              <w:t>)</w:t>
            </w:r>
          </w:p>
        </w:tc>
      </w:tr>
      <w:tr w:rsidR="006A2C55" w:rsidRPr="006A2C55" w14:paraId="3EC5090D" w14:textId="77777777" w:rsidTr="00273B88">
        <w:trPr>
          <w:trHeight w:val="273"/>
        </w:trPr>
        <w:tc>
          <w:tcPr>
            <w:tcW w:w="828" w:type="dxa"/>
            <w:tcBorders>
              <w:top w:val="nil"/>
              <w:left w:val="single" w:sz="4" w:space="0" w:color="auto"/>
              <w:bottom w:val="nil"/>
              <w:right w:val="nil"/>
            </w:tcBorders>
            <w:shd w:val="clear" w:color="000000" w:fill="FFFFFF"/>
            <w:noWrap/>
            <w:vAlign w:val="center"/>
            <w:hideMark/>
          </w:tcPr>
          <w:p w14:paraId="5E236706"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1152" w:type="dxa"/>
            <w:tcBorders>
              <w:top w:val="nil"/>
              <w:left w:val="nil"/>
              <w:bottom w:val="nil"/>
              <w:right w:val="nil"/>
            </w:tcBorders>
            <w:shd w:val="clear" w:color="000000" w:fill="FFFFFF"/>
            <w:noWrap/>
            <w:vAlign w:val="center"/>
            <w:hideMark/>
          </w:tcPr>
          <w:p w14:paraId="0F34348A"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992" w:type="dxa"/>
            <w:tcBorders>
              <w:top w:val="nil"/>
              <w:left w:val="nil"/>
              <w:bottom w:val="nil"/>
              <w:right w:val="nil"/>
            </w:tcBorders>
            <w:shd w:val="clear" w:color="000000" w:fill="FFFFFF"/>
            <w:noWrap/>
            <w:vAlign w:val="center"/>
            <w:hideMark/>
          </w:tcPr>
          <w:p w14:paraId="60D04010" w14:textId="77777777"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 </w:t>
            </w:r>
          </w:p>
        </w:tc>
        <w:tc>
          <w:tcPr>
            <w:tcW w:w="3863" w:type="dxa"/>
            <w:tcBorders>
              <w:top w:val="nil"/>
              <w:left w:val="nil"/>
              <w:bottom w:val="nil"/>
              <w:right w:val="nil"/>
            </w:tcBorders>
            <w:shd w:val="clear" w:color="000000" w:fill="FFFFFF"/>
            <w:vAlign w:val="center"/>
            <w:hideMark/>
          </w:tcPr>
          <w:p w14:paraId="30368CEA" w14:textId="77777777" w:rsidR="006A2C55" w:rsidRPr="006A2C55" w:rsidRDefault="006A2C55" w:rsidP="006A2C55">
            <w:pPr>
              <w:rPr>
                <w:rFonts w:cs="Arial"/>
                <w:b/>
                <w:bCs/>
                <w:color w:val="000000"/>
                <w:sz w:val="20"/>
                <w:szCs w:val="20"/>
                <w:lang w:eastAsia="en-GB"/>
              </w:rPr>
            </w:pPr>
            <w:r w:rsidRPr="006A2C55">
              <w:rPr>
                <w:rFonts w:cs="Arial"/>
                <w:b/>
                <w:bCs/>
                <w:color w:val="000000"/>
                <w:sz w:val="20"/>
                <w:szCs w:val="20"/>
                <w:lang w:eastAsia="en-GB"/>
              </w:rPr>
              <w:t> </w:t>
            </w:r>
          </w:p>
        </w:tc>
        <w:tc>
          <w:tcPr>
            <w:tcW w:w="796" w:type="dxa"/>
            <w:tcBorders>
              <w:top w:val="nil"/>
              <w:left w:val="nil"/>
              <w:bottom w:val="nil"/>
              <w:right w:val="nil"/>
            </w:tcBorders>
            <w:shd w:val="clear" w:color="000000" w:fill="FFFFFF"/>
            <w:vAlign w:val="center"/>
            <w:hideMark/>
          </w:tcPr>
          <w:p w14:paraId="37C8C473" w14:textId="77777777" w:rsidR="006A2C55" w:rsidRPr="006A2C55" w:rsidRDefault="006A2C55" w:rsidP="006A2C55">
            <w:pPr>
              <w:rPr>
                <w:rFonts w:cs="Arial"/>
                <w:b/>
                <w:bCs/>
                <w:color w:val="000000"/>
                <w:sz w:val="20"/>
                <w:szCs w:val="20"/>
                <w:lang w:eastAsia="en-GB"/>
              </w:rPr>
            </w:pPr>
            <w:r w:rsidRPr="006A2C55">
              <w:rPr>
                <w:rFonts w:cs="Arial"/>
                <w:b/>
                <w:bCs/>
                <w:color w:val="000000"/>
                <w:sz w:val="20"/>
                <w:szCs w:val="20"/>
                <w:lang w:eastAsia="en-GB"/>
              </w:rPr>
              <w:t> </w:t>
            </w:r>
          </w:p>
        </w:tc>
        <w:tc>
          <w:tcPr>
            <w:tcW w:w="866" w:type="dxa"/>
            <w:tcBorders>
              <w:top w:val="nil"/>
              <w:left w:val="nil"/>
              <w:bottom w:val="nil"/>
              <w:right w:val="nil"/>
            </w:tcBorders>
            <w:shd w:val="clear" w:color="000000" w:fill="FFFFFF"/>
            <w:noWrap/>
            <w:vAlign w:val="center"/>
            <w:hideMark/>
          </w:tcPr>
          <w:p w14:paraId="2C2548A5"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961" w:type="dxa"/>
            <w:tcBorders>
              <w:top w:val="nil"/>
              <w:left w:val="nil"/>
              <w:bottom w:val="nil"/>
              <w:right w:val="nil"/>
            </w:tcBorders>
            <w:shd w:val="clear" w:color="000000" w:fill="FFFFFF"/>
            <w:noWrap/>
            <w:vAlign w:val="center"/>
            <w:hideMark/>
          </w:tcPr>
          <w:p w14:paraId="2D60A5C1"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961" w:type="dxa"/>
            <w:tcBorders>
              <w:top w:val="nil"/>
              <w:left w:val="nil"/>
              <w:bottom w:val="nil"/>
              <w:right w:val="single" w:sz="4" w:space="0" w:color="auto"/>
            </w:tcBorders>
            <w:shd w:val="clear" w:color="000000" w:fill="FFFFFF"/>
            <w:noWrap/>
            <w:vAlign w:val="center"/>
            <w:hideMark/>
          </w:tcPr>
          <w:p w14:paraId="6FC39F59" w14:textId="77777777" w:rsidR="006A2C55" w:rsidRPr="006A2C55" w:rsidRDefault="006A2C55" w:rsidP="006A2C55">
            <w:pPr>
              <w:jc w:val="right"/>
              <w:rPr>
                <w:rFonts w:cs="Arial"/>
                <w:b/>
                <w:bCs/>
                <w:color w:val="000000"/>
                <w:sz w:val="20"/>
                <w:szCs w:val="20"/>
                <w:lang w:eastAsia="en-GB"/>
              </w:rPr>
            </w:pPr>
            <w:r w:rsidRPr="006A2C55">
              <w:rPr>
                <w:rFonts w:cs="Arial"/>
                <w:b/>
                <w:bCs/>
                <w:color w:val="000000"/>
                <w:sz w:val="20"/>
                <w:szCs w:val="20"/>
                <w:lang w:eastAsia="en-GB"/>
              </w:rPr>
              <w:t> </w:t>
            </w:r>
          </w:p>
        </w:tc>
      </w:tr>
      <w:tr w:rsidR="006A2C55" w:rsidRPr="006A2C55" w14:paraId="63A151C7" w14:textId="77777777" w:rsidTr="00273B88">
        <w:trPr>
          <w:trHeight w:val="273"/>
        </w:trPr>
        <w:tc>
          <w:tcPr>
            <w:tcW w:w="828" w:type="dxa"/>
            <w:tcBorders>
              <w:top w:val="nil"/>
              <w:left w:val="single" w:sz="4" w:space="0" w:color="auto"/>
              <w:bottom w:val="single" w:sz="4" w:space="0" w:color="auto"/>
              <w:right w:val="nil"/>
            </w:tcBorders>
            <w:shd w:val="clear" w:color="000000" w:fill="FFFFFF"/>
            <w:noWrap/>
            <w:vAlign w:val="center"/>
            <w:hideMark/>
          </w:tcPr>
          <w:p w14:paraId="27F90AF8"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1152" w:type="dxa"/>
            <w:tcBorders>
              <w:top w:val="nil"/>
              <w:left w:val="nil"/>
              <w:bottom w:val="single" w:sz="4" w:space="0" w:color="auto"/>
              <w:right w:val="nil"/>
            </w:tcBorders>
            <w:shd w:val="clear" w:color="000000" w:fill="FFFFFF"/>
            <w:noWrap/>
            <w:vAlign w:val="center"/>
            <w:hideMark/>
          </w:tcPr>
          <w:p w14:paraId="18269E5E"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992" w:type="dxa"/>
            <w:tcBorders>
              <w:top w:val="single" w:sz="4" w:space="0" w:color="auto"/>
              <w:left w:val="nil"/>
              <w:bottom w:val="single" w:sz="4" w:space="0" w:color="auto"/>
              <w:right w:val="nil"/>
            </w:tcBorders>
            <w:shd w:val="clear" w:color="000000" w:fill="FFFFFF"/>
            <w:noWrap/>
            <w:vAlign w:val="center"/>
            <w:hideMark/>
          </w:tcPr>
          <w:p w14:paraId="1C96408F" w14:textId="50B1E0A1" w:rsidR="006A2C55" w:rsidRPr="006A2C55" w:rsidRDefault="0078717B" w:rsidP="006A2C55">
            <w:pPr>
              <w:jc w:val="right"/>
              <w:rPr>
                <w:rFonts w:cs="Arial"/>
                <w:b/>
                <w:bCs/>
                <w:color w:val="000000"/>
                <w:sz w:val="20"/>
                <w:szCs w:val="20"/>
                <w:lang w:eastAsia="en-GB"/>
              </w:rPr>
            </w:pPr>
            <w:r>
              <w:rPr>
                <w:rFonts w:cs="Arial"/>
                <w:b/>
                <w:bCs/>
                <w:color w:val="000000"/>
                <w:sz w:val="20"/>
                <w:szCs w:val="20"/>
                <w:lang w:eastAsia="en-GB"/>
              </w:rPr>
              <w:t>(</w:t>
            </w:r>
            <w:r w:rsidR="006A2C55" w:rsidRPr="006A2C55">
              <w:rPr>
                <w:rFonts w:cs="Arial"/>
                <w:b/>
                <w:bCs/>
                <w:color w:val="000000"/>
                <w:sz w:val="20"/>
                <w:szCs w:val="20"/>
                <w:lang w:eastAsia="en-GB"/>
              </w:rPr>
              <w:t>10,552</w:t>
            </w:r>
            <w:r>
              <w:rPr>
                <w:rFonts w:cs="Arial"/>
                <w:b/>
                <w:bCs/>
                <w:color w:val="000000"/>
                <w:sz w:val="20"/>
                <w:szCs w:val="20"/>
                <w:lang w:eastAsia="en-GB"/>
              </w:rPr>
              <w:t>)</w:t>
            </w:r>
          </w:p>
        </w:tc>
        <w:tc>
          <w:tcPr>
            <w:tcW w:w="3863" w:type="dxa"/>
            <w:tcBorders>
              <w:top w:val="nil"/>
              <w:left w:val="nil"/>
              <w:bottom w:val="single" w:sz="4" w:space="0" w:color="auto"/>
              <w:right w:val="nil"/>
            </w:tcBorders>
            <w:shd w:val="clear" w:color="000000" w:fill="FFFFFF"/>
            <w:vAlign w:val="center"/>
            <w:hideMark/>
          </w:tcPr>
          <w:p w14:paraId="4B378192" w14:textId="77777777" w:rsidR="006A2C55" w:rsidRPr="006A2C55" w:rsidRDefault="006A2C55" w:rsidP="006A2C55">
            <w:pPr>
              <w:rPr>
                <w:rFonts w:cs="Arial"/>
                <w:b/>
                <w:bCs/>
                <w:color w:val="000000"/>
                <w:sz w:val="20"/>
                <w:szCs w:val="20"/>
                <w:lang w:eastAsia="en-GB"/>
              </w:rPr>
            </w:pPr>
            <w:r w:rsidRPr="006A2C55">
              <w:rPr>
                <w:rFonts w:cs="Arial"/>
                <w:b/>
                <w:bCs/>
                <w:color w:val="000000"/>
                <w:sz w:val="20"/>
                <w:szCs w:val="20"/>
                <w:lang w:eastAsia="en-GB"/>
              </w:rPr>
              <w:t>Total Comprehensive (Income) &amp; Expenditure</w:t>
            </w:r>
          </w:p>
        </w:tc>
        <w:tc>
          <w:tcPr>
            <w:tcW w:w="796" w:type="dxa"/>
            <w:tcBorders>
              <w:top w:val="nil"/>
              <w:left w:val="nil"/>
              <w:bottom w:val="single" w:sz="4" w:space="0" w:color="auto"/>
              <w:right w:val="nil"/>
            </w:tcBorders>
            <w:shd w:val="clear" w:color="000000" w:fill="FFFFFF"/>
            <w:vAlign w:val="center"/>
            <w:hideMark/>
          </w:tcPr>
          <w:p w14:paraId="2B728CCA" w14:textId="77777777" w:rsidR="006A2C55" w:rsidRPr="006A2C55" w:rsidRDefault="006A2C55" w:rsidP="006A2C55">
            <w:pPr>
              <w:rPr>
                <w:rFonts w:cs="Arial"/>
                <w:b/>
                <w:bCs/>
                <w:color w:val="000000"/>
                <w:sz w:val="20"/>
                <w:szCs w:val="20"/>
                <w:lang w:eastAsia="en-GB"/>
              </w:rPr>
            </w:pPr>
            <w:r w:rsidRPr="006A2C55">
              <w:rPr>
                <w:rFonts w:cs="Arial"/>
                <w:b/>
                <w:bCs/>
                <w:color w:val="000000"/>
                <w:sz w:val="20"/>
                <w:szCs w:val="20"/>
                <w:lang w:eastAsia="en-GB"/>
              </w:rPr>
              <w:t> </w:t>
            </w:r>
          </w:p>
        </w:tc>
        <w:tc>
          <w:tcPr>
            <w:tcW w:w="866" w:type="dxa"/>
            <w:tcBorders>
              <w:top w:val="nil"/>
              <w:left w:val="nil"/>
              <w:bottom w:val="single" w:sz="4" w:space="0" w:color="auto"/>
              <w:right w:val="nil"/>
            </w:tcBorders>
            <w:shd w:val="clear" w:color="000000" w:fill="FFFFFF"/>
            <w:noWrap/>
            <w:vAlign w:val="center"/>
            <w:hideMark/>
          </w:tcPr>
          <w:p w14:paraId="648FF78C"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961" w:type="dxa"/>
            <w:tcBorders>
              <w:top w:val="nil"/>
              <w:left w:val="nil"/>
              <w:bottom w:val="single" w:sz="4" w:space="0" w:color="auto"/>
              <w:right w:val="nil"/>
            </w:tcBorders>
            <w:shd w:val="clear" w:color="000000" w:fill="FFFFFF"/>
            <w:noWrap/>
            <w:vAlign w:val="center"/>
            <w:hideMark/>
          </w:tcPr>
          <w:p w14:paraId="0218B1B8" w14:textId="77777777" w:rsidR="006A2C55" w:rsidRPr="006A2C55" w:rsidRDefault="006A2C55" w:rsidP="006A2C55">
            <w:pPr>
              <w:rPr>
                <w:rFonts w:cs="Arial"/>
                <w:color w:val="000000"/>
                <w:sz w:val="20"/>
                <w:szCs w:val="20"/>
                <w:lang w:eastAsia="en-GB"/>
              </w:rPr>
            </w:pPr>
            <w:r w:rsidRPr="006A2C55">
              <w:rPr>
                <w:rFonts w:cs="Arial"/>
                <w:color w:val="000000"/>
                <w:sz w:val="20"/>
                <w:szCs w:val="20"/>
                <w:lang w:eastAsia="en-GB"/>
              </w:rPr>
              <w:t> </w:t>
            </w:r>
          </w:p>
        </w:tc>
        <w:tc>
          <w:tcPr>
            <w:tcW w:w="961" w:type="dxa"/>
            <w:tcBorders>
              <w:top w:val="single" w:sz="4" w:space="0" w:color="auto"/>
              <w:left w:val="nil"/>
              <w:bottom w:val="single" w:sz="4" w:space="0" w:color="auto"/>
              <w:right w:val="single" w:sz="4" w:space="0" w:color="auto"/>
            </w:tcBorders>
            <w:shd w:val="clear" w:color="000000" w:fill="FFFFFF"/>
            <w:noWrap/>
            <w:vAlign w:val="center"/>
            <w:hideMark/>
          </w:tcPr>
          <w:p w14:paraId="08669CFD" w14:textId="7F4F478C" w:rsidR="006A2C55" w:rsidRPr="006A2C55" w:rsidRDefault="0078717B" w:rsidP="006A2C55">
            <w:pPr>
              <w:jc w:val="right"/>
              <w:rPr>
                <w:rFonts w:cs="Arial"/>
                <w:b/>
                <w:bCs/>
                <w:color w:val="000000"/>
                <w:sz w:val="20"/>
                <w:szCs w:val="20"/>
                <w:lang w:eastAsia="en-GB"/>
              </w:rPr>
            </w:pPr>
            <w:r>
              <w:rPr>
                <w:rFonts w:cs="Arial"/>
                <w:b/>
                <w:bCs/>
                <w:color w:val="000000"/>
                <w:sz w:val="20"/>
                <w:szCs w:val="20"/>
                <w:lang w:eastAsia="en-GB"/>
              </w:rPr>
              <w:t>(</w:t>
            </w:r>
            <w:r w:rsidR="006A2C55" w:rsidRPr="006A2C55">
              <w:rPr>
                <w:rFonts w:cs="Arial"/>
                <w:b/>
                <w:bCs/>
                <w:color w:val="000000"/>
                <w:sz w:val="20"/>
                <w:szCs w:val="20"/>
                <w:lang w:eastAsia="en-GB"/>
              </w:rPr>
              <w:t>23,</w:t>
            </w:r>
            <w:r w:rsidR="005D6A99">
              <w:rPr>
                <w:rFonts w:cs="Arial"/>
                <w:b/>
                <w:bCs/>
                <w:color w:val="000000"/>
                <w:sz w:val="20"/>
                <w:szCs w:val="20"/>
                <w:lang w:eastAsia="en-GB"/>
              </w:rPr>
              <w:t>804</w:t>
            </w:r>
            <w:r>
              <w:rPr>
                <w:rFonts w:cs="Arial"/>
                <w:b/>
                <w:bCs/>
                <w:color w:val="000000"/>
                <w:sz w:val="20"/>
                <w:szCs w:val="20"/>
                <w:lang w:eastAsia="en-GB"/>
              </w:rPr>
              <w:t>)</w:t>
            </w:r>
          </w:p>
        </w:tc>
      </w:tr>
    </w:tbl>
    <w:p w14:paraId="316DC7CD" w14:textId="3ECB3525" w:rsidR="007310A3" w:rsidRDefault="006A2C55" w:rsidP="00D34473">
      <w:pPr>
        <w:jc w:val="center"/>
        <w:rPr>
          <w:color w:val="FF0000"/>
          <w:highlight w:val="yellow"/>
        </w:rPr>
      </w:pPr>
      <w:r>
        <w:rPr>
          <w:color w:val="FF0000"/>
          <w:highlight w:val="yellow"/>
        </w:rPr>
        <w:fldChar w:fldCharType="end"/>
      </w:r>
    </w:p>
    <w:p w14:paraId="23AD439D" w14:textId="49079EEC" w:rsidR="008A18DE" w:rsidRPr="004D5CA8" w:rsidRDefault="008A18DE" w:rsidP="006D2EED">
      <w:pPr>
        <w:pStyle w:val="HEADING"/>
        <w:jc w:val="center"/>
        <w:rPr>
          <w:highlight w:val="yellow"/>
        </w:rPr>
      </w:pPr>
    </w:p>
    <w:p w14:paraId="2AC2A9C3" w14:textId="77777777" w:rsidR="00BA639D" w:rsidRPr="009C13C9" w:rsidRDefault="00BA639D" w:rsidP="00BA639D">
      <w:pPr>
        <w:tabs>
          <w:tab w:val="left" w:pos="360"/>
        </w:tabs>
        <w:ind w:left="360"/>
      </w:pPr>
      <w:r w:rsidRPr="009C13C9">
        <w:t>This Statement shows the accounting cost in the year of providing services in accordance with the Code, rather than the amount to be funded from taxation. Some local authorities raise taxation to cover expenditure in accordance with regulations; this may be different from the accounting cost. The taxation position is shown in the Movement in Reserves Statement. This authority does not routinely exercise its powers to raise local taxation and instead relies upon Defra grant and income from chargeable activities.</w:t>
      </w:r>
    </w:p>
    <w:p w14:paraId="4468A91D" w14:textId="280EC601" w:rsidR="008A18DE" w:rsidRPr="004D5CA8" w:rsidRDefault="008A18DE" w:rsidP="006D2EED">
      <w:pPr>
        <w:pStyle w:val="HEADING"/>
        <w:jc w:val="center"/>
        <w:rPr>
          <w:highlight w:val="yellow"/>
        </w:rPr>
      </w:pPr>
    </w:p>
    <w:p w14:paraId="485A4597" w14:textId="02462EAC" w:rsidR="00976EED" w:rsidRPr="004D5CA8" w:rsidRDefault="00976EED" w:rsidP="006D2EED">
      <w:pPr>
        <w:pStyle w:val="HEADING"/>
        <w:jc w:val="center"/>
        <w:rPr>
          <w:highlight w:val="yellow"/>
        </w:rPr>
      </w:pPr>
    </w:p>
    <w:p w14:paraId="485A4598" w14:textId="77777777" w:rsidR="00976EED" w:rsidRPr="004D5CA8" w:rsidRDefault="00976EED" w:rsidP="006D2EED">
      <w:pPr>
        <w:pStyle w:val="HEADING"/>
        <w:jc w:val="center"/>
        <w:rPr>
          <w:highlight w:val="yellow"/>
        </w:rPr>
      </w:pPr>
    </w:p>
    <w:p w14:paraId="485A4599" w14:textId="77777777" w:rsidR="00976EED" w:rsidRPr="004D5CA8" w:rsidRDefault="00976EED" w:rsidP="006D2EED">
      <w:pPr>
        <w:pStyle w:val="HEADING"/>
        <w:jc w:val="center"/>
        <w:rPr>
          <w:highlight w:val="yellow"/>
        </w:rPr>
      </w:pPr>
    </w:p>
    <w:p w14:paraId="485A459A" w14:textId="77777777" w:rsidR="00976EED" w:rsidRPr="004D5CA8" w:rsidRDefault="00976EED" w:rsidP="006D2EED">
      <w:pPr>
        <w:pStyle w:val="HEADING"/>
        <w:jc w:val="center"/>
        <w:rPr>
          <w:highlight w:val="yellow"/>
        </w:rPr>
      </w:pPr>
    </w:p>
    <w:p w14:paraId="485A459B" w14:textId="77777777" w:rsidR="00976EED" w:rsidRPr="004D5CA8" w:rsidRDefault="00976EED" w:rsidP="006D2EED">
      <w:pPr>
        <w:pStyle w:val="HEADING"/>
        <w:jc w:val="center"/>
        <w:rPr>
          <w:highlight w:val="yellow"/>
        </w:rPr>
      </w:pPr>
    </w:p>
    <w:p w14:paraId="485A459C" w14:textId="77777777" w:rsidR="00976EED" w:rsidRPr="004D5CA8" w:rsidRDefault="00976EED" w:rsidP="006D2EED">
      <w:pPr>
        <w:pStyle w:val="HEADING"/>
        <w:jc w:val="center"/>
        <w:rPr>
          <w:highlight w:val="yellow"/>
        </w:rPr>
      </w:pPr>
    </w:p>
    <w:p w14:paraId="485A459D" w14:textId="77777777" w:rsidR="00976EED" w:rsidRPr="004D5CA8" w:rsidRDefault="00976EED" w:rsidP="006D2EED">
      <w:pPr>
        <w:pStyle w:val="HEADING"/>
        <w:jc w:val="center"/>
        <w:rPr>
          <w:highlight w:val="yellow"/>
        </w:rPr>
      </w:pPr>
    </w:p>
    <w:p w14:paraId="485A459E" w14:textId="77777777" w:rsidR="00976EED" w:rsidRDefault="002C7B2E" w:rsidP="00CA7A05">
      <w:pPr>
        <w:tabs>
          <w:tab w:val="left" w:pos="0"/>
        </w:tabs>
        <w:jc w:val="center"/>
        <w:rPr>
          <w:rFonts w:cs="Arial"/>
          <w:b/>
          <w:sz w:val="28"/>
          <w:szCs w:val="28"/>
        </w:rPr>
      </w:pPr>
      <w:r w:rsidRPr="004D5CA8">
        <w:rPr>
          <w:rFonts w:cs="Arial"/>
          <w:b/>
          <w:sz w:val="28"/>
          <w:szCs w:val="28"/>
          <w:highlight w:val="yellow"/>
        </w:rPr>
        <w:br w:type="page"/>
      </w:r>
      <w:r w:rsidR="00976EED" w:rsidRPr="009C13C9">
        <w:rPr>
          <w:rFonts w:cs="Arial"/>
          <w:b/>
          <w:sz w:val="28"/>
          <w:szCs w:val="28"/>
        </w:rPr>
        <w:lastRenderedPageBreak/>
        <w:t>MOVEMENT IN RESERVES STATEMENT</w:t>
      </w:r>
    </w:p>
    <w:p w14:paraId="6996B0B0" w14:textId="77777777" w:rsidR="00CC37BA" w:rsidRDefault="00CC37BA" w:rsidP="00CA7A05">
      <w:pPr>
        <w:tabs>
          <w:tab w:val="left" w:pos="0"/>
        </w:tabs>
        <w:jc w:val="center"/>
        <w:rPr>
          <w:rFonts w:cs="Arial"/>
          <w:b/>
          <w:sz w:val="28"/>
          <w:szCs w:val="28"/>
        </w:rPr>
      </w:pPr>
    </w:p>
    <w:tbl>
      <w:tblPr>
        <w:tblW w:w="10148" w:type="dxa"/>
        <w:jc w:val="center"/>
        <w:tblLook w:val="04A0" w:firstRow="1" w:lastRow="0" w:firstColumn="1" w:lastColumn="0" w:noHBand="0" w:noVBand="1"/>
      </w:tblPr>
      <w:tblGrid>
        <w:gridCol w:w="3681"/>
        <w:gridCol w:w="435"/>
        <w:gridCol w:w="917"/>
        <w:gridCol w:w="967"/>
        <w:gridCol w:w="1087"/>
        <w:gridCol w:w="1017"/>
        <w:gridCol w:w="1027"/>
        <w:gridCol w:w="1017"/>
      </w:tblGrid>
      <w:tr w:rsidR="00CC37BA" w:rsidRPr="00CC37BA" w14:paraId="202DB6C9" w14:textId="77777777" w:rsidTr="00B65D49">
        <w:trPr>
          <w:trHeight w:val="940"/>
          <w:jc w:val="center"/>
        </w:trPr>
        <w:tc>
          <w:tcPr>
            <w:tcW w:w="3681" w:type="dxa"/>
            <w:tcBorders>
              <w:top w:val="single" w:sz="4" w:space="0" w:color="auto"/>
              <w:left w:val="single" w:sz="4" w:space="0" w:color="auto"/>
              <w:bottom w:val="single" w:sz="4" w:space="0" w:color="auto"/>
              <w:right w:val="nil"/>
            </w:tcBorders>
            <w:shd w:val="clear" w:color="000000" w:fill="000000"/>
            <w:noWrap/>
            <w:vAlign w:val="bottom"/>
            <w:hideMark/>
          </w:tcPr>
          <w:p w14:paraId="5E01B895" w14:textId="25186AAC" w:rsidR="00CC37BA" w:rsidRPr="00CC37BA" w:rsidRDefault="00CC37BA" w:rsidP="003662C5">
            <w:pPr>
              <w:jc w:val="center"/>
              <w:rPr>
                <w:rFonts w:cs="Arial"/>
                <w:color w:val="000000"/>
                <w:sz w:val="22"/>
                <w:szCs w:val="22"/>
                <w:lang w:eastAsia="en-GB"/>
              </w:rPr>
            </w:pPr>
          </w:p>
        </w:tc>
        <w:tc>
          <w:tcPr>
            <w:tcW w:w="435" w:type="dxa"/>
            <w:vMerge w:val="restart"/>
            <w:tcBorders>
              <w:top w:val="single" w:sz="4" w:space="0" w:color="auto"/>
              <w:left w:val="nil"/>
              <w:bottom w:val="single" w:sz="4" w:space="0" w:color="auto"/>
              <w:right w:val="nil"/>
            </w:tcBorders>
            <w:shd w:val="clear" w:color="000000" w:fill="000000"/>
            <w:noWrap/>
            <w:textDirection w:val="btLr"/>
            <w:vAlign w:val="bottom"/>
            <w:hideMark/>
          </w:tcPr>
          <w:p w14:paraId="031321B2" w14:textId="77777777" w:rsidR="00CC37BA" w:rsidRPr="00CC37BA" w:rsidRDefault="00CC37BA" w:rsidP="00CC37BA">
            <w:pPr>
              <w:jc w:val="center"/>
              <w:rPr>
                <w:rFonts w:cs="Arial"/>
                <w:b/>
                <w:bCs/>
                <w:color w:val="FFFFFF"/>
                <w:sz w:val="18"/>
                <w:szCs w:val="18"/>
                <w:lang w:eastAsia="en-GB"/>
              </w:rPr>
            </w:pPr>
            <w:r w:rsidRPr="00CC37BA">
              <w:rPr>
                <w:rFonts w:cs="Arial"/>
                <w:b/>
                <w:bCs/>
                <w:color w:val="FFFFFF"/>
                <w:sz w:val="18"/>
                <w:szCs w:val="18"/>
                <w:lang w:eastAsia="en-GB"/>
              </w:rPr>
              <w:t>Note</w:t>
            </w:r>
          </w:p>
        </w:tc>
        <w:tc>
          <w:tcPr>
            <w:tcW w:w="917" w:type="dxa"/>
            <w:tcBorders>
              <w:top w:val="single" w:sz="4" w:space="0" w:color="auto"/>
              <w:left w:val="single" w:sz="4" w:space="0" w:color="auto"/>
              <w:bottom w:val="single" w:sz="4" w:space="0" w:color="auto"/>
              <w:right w:val="single" w:sz="4" w:space="0" w:color="auto"/>
            </w:tcBorders>
            <w:shd w:val="clear" w:color="000000" w:fill="000000"/>
            <w:vAlign w:val="bottom"/>
            <w:hideMark/>
          </w:tcPr>
          <w:p w14:paraId="10005CEB" w14:textId="77777777" w:rsidR="00CC37BA" w:rsidRPr="00CC37BA" w:rsidRDefault="00CC37BA" w:rsidP="00CC37BA">
            <w:pPr>
              <w:jc w:val="center"/>
              <w:rPr>
                <w:rFonts w:cs="Arial"/>
                <w:b/>
                <w:bCs/>
                <w:color w:val="FFFFFF"/>
                <w:sz w:val="18"/>
                <w:szCs w:val="18"/>
                <w:lang w:eastAsia="en-GB"/>
              </w:rPr>
            </w:pPr>
            <w:r w:rsidRPr="00CC37BA">
              <w:rPr>
                <w:rFonts w:cs="Arial"/>
                <w:b/>
                <w:bCs/>
                <w:color w:val="FFFFFF"/>
                <w:sz w:val="18"/>
                <w:szCs w:val="18"/>
                <w:lang w:eastAsia="en-GB"/>
              </w:rPr>
              <w:t>General Reserve Balance</w:t>
            </w:r>
          </w:p>
        </w:tc>
        <w:tc>
          <w:tcPr>
            <w:tcW w:w="967" w:type="dxa"/>
            <w:tcBorders>
              <w:top w:val="single" w:sz="4" w:space="0" w:color="auto"/>
              <w:left w:val="nil"/>
              <w:bottom w:val="single" w:sz="4" w:space="0" w:color="auto"/>
              <w:right w:val="nil"/>
            </w:tcBorders>
            <w:shd w:val="clear" w:color="000000" w:fill="000000"/>
            <w:vAlign w:val="bottom"/>
            <w:hideMark/>
          </w:tcPr>
          <w:p w14:paraId="78F96023" w14:textId="77777777" w:rsidR="00CC37BA" w:rsidRPr="00CC37BA" w:rsidRDefault="00CC37BA" w:rsidP="00CC37BA">
            <w:pPr>
              <w:jc w:val="center"/>
              <w:rPr>
                <w:rFonts w:cs="Arial"/>
                <w:b/>
                <w:bCs/>
                <w:color w:val="FFFFFF"/>
                <w:sz w:val="18"/>
                <w:szCs w:val="18"/>
                <w:lang w:eastAsia="en-GB"/>
              </w:rPr>
            </w:pPr>
            <w:r w:rsidRPr="00CC37BA">
              <w:rPr>
                <w:rFonts w:cs="Arial"/>
                <w:b/>
                <w:bCs/>
                <w:color w:val="FFFFFF"/>
                <w:sz w:val="18"/>
                <w:szCs w:val="18"/>
                <w:lang w:eastAsia="en-GB"/>
              </w:rPr>
              <w:t>Capital Receipts Reserve</w:t>
            </w:r>
          </w:p>
        </w:tc>
        <w:tc>
          <w:tcPr>
            <w:tcW w:w="1087" w:type="dxa"/>
            <w:tcBorders>
              <w:top w:val="single" w:sz="4" w:space="0" w:color="auto"/>
              <w:left w:val="single" w:sz="4" w:space="0" w:color="auto"/>
              <w:bottom w:val="single" w:sz="4" w:space="0" w:color="auto"/>
              <w:right w:val="single" w:sz="4" w:space="0" w:color="auto"/>
            </w:tcBorders>
            <w:shd w:val="clear" w:color="000000" w:fill="000000"/>
            <w:vAlign w:val="bottom"/>
            <w:hideMark/>
          </w:tcPr>
          <w:p w14:paraId="11EA1B79" w14:textId="77777777" w:rsidR="00CC37BA" w:rsidRPr="00CC37BA" w:rsidRDefault="00CC37BA" w:rsidP="00CC37BA">
            <w:pPr>
              <w:jc w:val="center"/>
              <w:rPr>
                <w:rFonts w:cs="Arial"/>
                <w:b/>
                <w:bCs/>
                <w:color w:val="FFFFFF"/>
                <w:sz w:val="18"/>
                <w:szCs w:val="18"/>
                <w:lang w:eastAsia="en-GB"/>
              </w:rPr>
            </w:pPr>
            <w:r w:rsidRPr="00CC37BA">
              <w:rPr>
                <w:rFonts w:cs="Arial"/>
                <w:b/>
                <w:bCs/>
                <w:color w:val="FFFFFF"/>
                <w:sz w:val="18"/>
                <w:szCs w:val="18"/>
                <w:lang w:eastAsia="en-GB"/>
              </w:rPr>
              <w:t>Capital Grants Unapplied</w:t>
            </w:r>
          </w:p>
        </w:tc>
        <w:tc>
          <w:tcPr>
            <w:tcW w:w="1017" w:type="dxa"/>
            <w:tcBorders>
              <w:top w:val="single" w:sz="4" w:space="0" w:color="auto"/>
              <w:left w:val="nil"/>
              <w:bottom w:val="single" w:sz="4" w:space="0" w:color="auto"/>
              <w:right w:val="nil"/>
            </w:tcBorders>
            <w:shd w:val="clear" w:color="000000" w:fill="000000"/>
            <w:vAlign w:val="bottom"/>
            <w:hideMark/>
          </w:tcPr>
          <w:p w14:paraId="5D2CB511" w14:textId="77777777" w:rsidR="00CC37BA" w:rsidRPr="00CC37BA" w:rsidRDefault="00CC37BA" w:rsidP="00CC37BA">
            <w:pPr>
              <w:jc w:val="center"/>
              <w:rPr>
                <w:rFonts w:cs="Arial"/>
                <w:b/>
                <w:bCs/>
                <w:color w:val="FFFFFF"/>
                <w:sz w:val="18"/>
                <w:szCs w:val="18"/>
                <w:lang w:eastAsia="en-GB"/>
              </w:rPr>
            </w:pPr>
            <w:r w:rsidRPr="00CC37BA">
              <w:rPr>
                <w:rFonts w:cs="Arial"/>
                <w:b/>
                <w:bCs/>
                <w:color w:val="FFFFFF"/>
                <w:sz w:val="18"/>
                <w:szCs w:val="18"/>
                <w:lang w:eastAsia="en-GB"/>
              </w:rPr>
              <w:t>Total Useable Reserves</w:t>
            </w:r>
          </w:p>
        </w:tc>
        <w:tc>
          <w:tcPr>
            <w:tcW w:w="1027" w:type="dxa"/>
            <w:tcBorders>
              <w:top w:val="single" w:sz="4" w:space="0" w:color="auto"/>
              <w:left w:val="single" w:sz="4" w:space="0" w:color="auto"/>
              <w:bottom w:val="single" w:sz="4" w:space="0" w:color="auto"/>
              <w:right w:val="single" w:sz="4" w:space="0" w:color="auto"/>
            </w:tcBorders>
            <w:shd w:val="clear" w:color="000000" w:fill="000000"/>
            <w:vAlign w:val="bottom"/>
            <w:hideMark/>
          </w:tcPr>
          <w:p w14:paraId="172B2B4A" w14:textId="77777777" w:rsidR="00CC37BA" w:rsidRPr="00CC37BA" w:rsidRDefault="00CC37BA" w:rsidP="00CC37BA">
            <w:pPr>
              <w:jc w:val="center"/>
              <w:rPr>
                <w:rFonts w:cs="Arial"/>
                <w:b/>
                <w:bCs/>
                <w:color w:val="FFFFFF"/>
                <w:sz w:val="18"/>
                <w:szCs w:val="18"/>
                <w:lang w:eastAsia="en-GB"/>
              </w:rPr>
            </w:pPr>
            <w:r w:rsidRPr="00CC37BA">
              <w:rPr>
                <w:rFonts w:cs="Arial"/>
                <w:b/>
                <w:bCs/>
                <w:color w:val="FFFFFF"/>
                <w:sz w:val="18"/>
                <w:szCs w:val="18"/>
                <w:lang w:eastAsia="en-GB"/>
              </w:rPr>
              <w:t>Unusable Reserves</w:t>
            </w:r>
          </w:p>
        </w:tc>
        <w:tc>
          <w:tcPr>
            <w:tcW w:w="1017" w:type="dxa"/>
            <w:tcBorders>
              <w:top w:val="single" w:sz="4" w:space="0" w:color="auto"/>
              <w:left w:val="nil"/>
              <w:bottom w:val="single" w:sz="4" w:space="0" w:color="auto"/>
              <w:right w:val="single" w:sz="4" w:space="0" w:color="auto"/>
            </w:tcBorders>
            <w:shd w:val="clear" w:color="000000" w:fill="000000"/>
            <w:vAlign w:val="bottom"/>
            <w:hideMark/>
          </w:tcPr>
          <w:p w14:paraId="6E286EC0" w14:textId="77777777" w:rsidR="00CC37BA" w:rsidRPr="00CC37BA" w:rsidRDefault="00CC37BA" w:rsidP="00CC37BA">
            <w:pPr>
              <w:jc w:val="center"/>
              <w:rPr>
                <w:rFonts w:cs="Arial"/>
                <w:b/>
                <w:bCs/>
                <w:color w:val="FFFFFF"/>
                <w:sz w:val="18"/>
                <w:szCs w:val="18"/>
                <w:lang w:eastAsia="en-GB"/>
              </w:rPr>
            </w:pPr>
            <w:r w:rsidRPr="00CC37BA">
              <w:rPr>
                <w:rFonts w:cs="Arial"/>
                <w:b/>
                <w:bCs/>
                <w:color w:val="FFFFFF"/>
                <w:sz w:val="18"/>
                <w:szCs w:val="18"/>
                <w:lang w:eastAsia="en-GB"/>
              </w:rPr>
              <w:t>Total Authority Reserves</w:t>
            </w:r>
          </w:p>
        </w:tc>
      </w:tr>
      <w:tr w:rsidR="00CC37BA" w:rsidRPr="00CC37BA" w14:paraId="4D935D43" w14:textId="77777777" w:rsidTr="00B65D49">
        <w:trPr>
          <w:trHeight w:val="290"/>
          <w:jc w:val="center"/>
        </w:trPr>
        <w:tc>
          <w:tcPr>
            <w:tcW w:w="3681" w:type="dxa"/>
            <w:tcBorders>
              <w:top w:val="single" w:sz="4" w:space="0" w:color="auto"/>
              <w:left w:val="single" w:sz="4" w:space="0" w:color="auto"/>
              <w:bottom w:val="single" w:sz="4" w:space="0" w:color="auto"/>
              <w:right w:val="nil"/>
            </w:tcBorders>
            <w:shd w:val="clear" w:color="000000" w:fill="000000"/>
            <w:noWrap/>
            <w:vAlign w:val="bottom"/>
            <w:hideMark/>
          </w:tcPr>
          <w:p w14:paraId="14C9FA64" w14:textId="77777777" w:rsidR="00CC37BA" w:rsidRPr="00CC37BA" w:rsidRDefault="00CC37BA" w:rsidP="00CC37BA">
            <w:pPr>
              <w:rPr>
                <w:rFonts w:cs="Arial"/>
                <w:color w:val="000000"/>
                <w:sz w:val="22"/>
                <w:szCs w:val="22"/>
                <w:lang w:eastAsia="en-GB"/>
              </w:rPr>
            </w:pPr>
            <w:r w:rsidRPr="00CC37BA">
              <w:rPr>
                <w:rFonts w:cs="Arial"/>
                <w:color w:val="000000"/>
                <w:sz w:val="22"/>
                <w:szCs w:val="22"/>
                <w:lang w:eastAsia="en-GB"/>
              </w:rPr>
              <w:t> </w:t>
            </w:r>
          </w:p>
        </w:tc>
        <w:tc>
          <w:tcPr>
            <w:tcW w:w="435" w:type="dxa"/>
            <w:vMerge/>
            <w:tcBorders>
              <w:top w:val="single" w:sz="4" w:space="0" w:color="auto"/>
              <w:left w:val="nil"/>
              <w:bottom w:val="nil"/>
              <w:right w:val="nil"/>
            </w:tcBorders>
            <w:vAlign w:val="center"/>
            <w:hideMark/>
          </w:tcPr>
          <w:p w14:paraId="239778BD" w14:textId="77777777" w:rsidR="00CC37BA" w:rsidRPr="00CC37BA" w:rsidRDefault="00CC37BA" w:rsidP="00CC37BA">
            <w:pPr>
              <w:rPr>
                <w:rFonts w:cs="Arial"/>
                <w:b/>
                <w:bCs/>
                <w:color w:val="FFFFFF"/>
                <w:sz w:val="18"/>
                <w:szCs w:val="18"/>
                <w:lang w:eastAsia="en-GB"/>
              </w:rPr>
            </w:pPr>
          </w:p>
        </w:tc>
        <w:tc>
          <w:tcPr>
            <w:tcW w:w="917" w:type="dxa"/>
            <w:tcBorders>
              <w:top w:val="single" w:sz="4" w:space="0" w:color="auto"/>
              <w:left w:val="single" w:sz="4" w:space="0" w:color="auto"/>
              <w:bottom w:val="nil"/>
              <w:right w:val="single" w:sz="4" w:space="0" w:color="auto"/>
            </w:tcBorders>
            <w:shd w:val="clear" w:color="000000" w:fill="000000"/>
            <w:noWrap/>
            <w:vAlign w:val="bottom"/>
            <w:hideMark/>
          </w:tcPr>
          <w:p w14:paraId="04FFBD29" w14:textId="1B421095" w:rsidR="00CC37BA" w:rsidRPr="00CC37BA" w:rsidRDefault="00CC37BA" w:rsidP="00CC37BA">
            <w:pPr>
              <w:jc w:val="center"/>
              <w:rPr>
                <w:rFonts w:cs="Arial"/>
                <w:b/>
                <w:bCs/>
                <w:color w:val="FFFFFF"/>
                <w:sz w:val="18"/>
                <w:szCs w:val="18"/>
                <w:lang w:eastAsia="en-GB"/>
              </w:rPr>
            </w:pPr>
            <w:r w:rsidRPr="00CC37BA">
              <w:rPr>
                <w:rFonts w:cs="Arial"/>
                <w:b/>
                <w:bCs/>
                <w:color w:val="FFFFFF"/>
                <w:sz w:val="18"/>
                <w:szCs w:val="18"/>
                <w:lang w:eastAsia="en-GB"/>
              </w:rPr>
              <w:t>£0</w:t>
            </w:r>
            <w:r w:rsidR="00B65D49">
              <w:rPr>
                <w:rFonts w:cs="Arial"/>
                <w:b/>
                <w:bCs/>
                <w:color w:val="FFFFFF"/>
                <w:sz w:val="18"/>
                <w:szCs w:val="18"/>
                <w:lang w:eastAsia="en-GB"/>
              </w:rPr>
              <w:t>00</w:t>
            </w:r>
          </w:p>
        </w:tc>
        <w:tc>
          <w:tcPr>
            <w:tcW w:w="967" w:type="dxa"/>
            <w:tcBorders>
              <w:top w:val="single" w:sz="4" w:space="0" w:color="auto"/>
              <w:left w:val="nil"/>
              <w:bottom w:val="nil"/>
              <w:right w:val="nil"/>
            </w:tcBorders>
            <w:shd w:val="clear" w:color="000000" w:fill="000000"/>
            <w:noWrap/>
            <w:vAlign w:val="bottom"/>
            <w:hideMark/>
          </w:tcPr>
          <w:p w14:paraId="620880D8" w14:textId="47429F39" w:rsidR="00CC37BA" w:rsidRPr="00CC37BA" w:rsidRDefault="00CC37BA" w:rsidP="00CC37BA">
            <w:pPr>
              <w:jc w:val="center"/>
              <w:rPr>
                <w:rFonts w:cs="Arial"/>
                <w:b/>
                <w:bCs/>
                <w:color w:val="FFFFFF"/>
                <w:sz w:val="18"/>
                <w:szCs w:val="18"/>
                <w:lang w:eastAsia="en-GB"/>
              </w:rPr>
            </w:pPr>
            <w:r w:rsidRPr="00CC37BA">
              <w:rPr>
                <w:rFonts w:cs="Arial"/>
                <w:b/>
                <w:bCs/>
                <w:color w:val="FFFFFF"/>
                <w:sz w:val="18"/>
                <w:szCs w:val="18"/>
                <w:lang w:eastAsia="en-GB"/>
              </w:rPr>
              <w:t>£0</w:t>
            </w:r>
            <w:r w:rsidR="00B65D49">
              <w:rPr>
                <w:rFonts w:cs="Arial"/>
                <w:b/>
                <w:bCs/>
                <w:color w:val="FFFFFF"/>
                <w:sz w:val="18"/>
                <w:szCs w:val="18"/>
                <w:lang w:eastAsia="en-GB"/>
              </w:rPr>
              <w:t>00</w:t>
            </w:r>
          </w:p>
        </w:tc>
        <w:tc>
          <w:tcPr>
            <w:tcW w:w="1087" w:type="dxa"/>
            <w:tcBorders>
              <w:top w:val="single" w:sz="4" w:space="0" w:color="auto"/>
              <w:left w:val="single" w:sz="4" w:space="0" w:color="auto"/>
              <w:bottom w:val="nil"/>
              <w:right w:val="single" w:sz="4" w:space="0" w:color="auto"/>
            </w:tcBorders>
            <w:shd w:val="clear" w:color="000000" w:fill="000000"/>
            <w:noWrap/>
            <w:vAlign w:val="bottom"/>
            <w:hideMark/>
          </w:tcPr>
          <w:p w14:paraId="7B43CC16" w14:textId="5FD055CB" w:rsidR="00CC37BA" w:rsidRPr="00CC37BA" w:rsidRDefault="00CC37BA" w:rsidP="00CC37BA">
            <w:pPr>
              <w:jc w:val="center"/>
              <w:rPr>
                <w:rFonts w:cs="Arial"/>
                <w:b/>
                <w:bCs/>
                <w:color w:val="FFFFFF"/>
                <w:sz w:val="18"/>
                <w:szCs w:val="18"/>
                <w:lang w:eastAsia="en-GB"/>
              </w:rPr>
            </w:pPr>
            <w:r w:rsidRPr="00CC37BA">
              <w:rPr>
                <w:rFonts w:cs="Arial"/>
                <w:b/>
                <w:bCs/>
                <w:color w:val="FFFFFF"/>
                <w:sz w:val="18"/>
                <w:szCs w:val="18"/>
                <w:lang w:eastAsia="en-GB"/>
              </w:rPr>
              <w:t>£0</w:t>
            </w:r>
            <w:r w:rsidR="00B65D49">
              <w:rPr>
                <w:rFonts w:cs="Arial"/>
                <w:b/>
                <w:bCs/>
                <w:color w:val="FFFFFF"/>
                <w:sz w:val="18"/>
                <w:szCs w:val="18"/>
                <w:lang w:eastAsia="en-GB"/>
              </w:rPr>
              <w:t>00</w:t>
            </w:r>
          </w:p>
        </w:tc>
        <w:tc>
          <w:tcPr>
            <w:tcW w:w="1017" w:type="dxa"/>
            <w:tcBorders>
              <w:top w:val="single" w:sz="4" w:space="0" w:color="auto"/>
              <w:left w:val="nil"/>
              <w:bottom w:val="nil"/>
              <w:right w:val="nil"/>
            </w:tcBorders>
            <w:shd w:val="clear" w:color="000000" w:fill="000000"/>
            <w:noWrap/>
            <w:vAlign w:val="bottom"/>
            <w:hideMark/>
          </w:tcPr>
          <w:p w14:paraId="72F95E3A" w14:textId="5B2511E3" w:rsidR="00CC37BA" w:rsidRPr="00CC37BA" w:rsidRDefault="00CC37BA" w:rsidP="00CC37BA">
            <w:pPr>
              <w:jc w:val="center"/>
              <w:rPr>
                <w:rFonts w:cs="Arial"/>
                <w:b/>
                <w:bCs/>
                <w:color w:val="FFFFFF"/>
                <w:sz w:val="18"/>
                <w:szCs w:val="18"/>
                <w:lang w:eastAsia="en-GB"/>
              </w:rPr>
            </w:pPr>
            <w:r w:rsidRPr="00CC37BA">
              <w:rPr>
                <w:rFonts w:cs="Arial"/>
                <w:b/>
                <w:bCs/>
                <w:color w:val="FFFFFF"/>
                <w:sz w:val="18"/>
                <w:szCs w:val="18"/>
                <w:lang w:eastAsia="en-GB"/>
              </w:rPr>
              <w:t>£0</w:t>
            </w:r>
            <w:r w:rsidR="00B65D49">
              <w:rPr>
                <w:rFonts w:cs="Arial"/>
                <w:b/>
                <w:bCs/>
                <w:color w:val="FFFFFF"/>
                <w:sz w:val="18"/>
                <w:szCs w:val="18"/>
                <w:lang w:eastAsia="en-GB"/>
              </w:rPr>
              <w:t>00</w:t>
            </w:r>
          </w:p>
        </w:tc>
        <w:tc>
          <w:tcPr>
            <w:tcW w:w="1027" w:type="dxa"/>
            <w:tcBorders>
              <w:top w:val="single" w:sz="4" w:space="0" w:color="auto"/>
              <w:left w:val="single" w:sz="4" w:space="0" w:color="auto"/>
              <w:bottom w:val="nil"/>
              <w:right w:val="single" w:sz="4" w:space="0" w:color="auto"/>
            </w:tcBorders>
            <w:shd w:val="clear" w:color="000000" w:fill="000000"/>
            <w:noWrap/>
            <w:vAlign w:val="bottom"/>
            <w:hideMark/>
          </w:tcPr>
          <w:p w14:paraId="63A0C92F" w14:textId="0D613983" w:rsidR="00CC37BA" w:rsidRPr="00CC37BA" w:rsidRDefault="00CC37BA" w:rsidP="00CC37BA">
            <w:pPr>
              <w:jc w:val="center"/>
              <w:rPr>
                <w:rFonts w:cs="Arial"/>
                <w:b/>
                <w:bCs/>
                <w:color w:val="FFFFFF"/>
                <w:sz w:val="18"/>
                <w:szCs w:val="18"/>
                <w:lang w:eastAsia="en-GB"/>
              </w:rPr>
            </w:pPr>
            <w:r w:rsidRPr="00CC37BA">
              <w:rPr>
                <w:rFonts w:cs="Arial"/>
                <w:b/>
                <w:bCs/>
                <w:color w:val="FFFFFF"/>
                <w:sz w:val="18"/>
                <w:szCs w:val="18"/>
                <w:lang w:eastAsia="en-GB"/>
              </w:rPr>
              <w:t>£0</w:t>
            </w:r>
            <w:r w:rsidR="00B65D49">
              <w:rPr>
                <w:rFonts w:cs="Arial"/>
                <w:b/>
                <w:bCs/>
                <w:color w:val="FFFFFF"/>
                <w:sz w:val="18"/>
                <w:szCs w:val="18"/>
                <w:lang w:eastAsia="en-GB"/>
              </w:rPr>
              <w:t>00</w:t>
            </w:r>
          </w:p>
        </w:tc>
        <w:tc>
          <w:tcPr>
            <w:tcW w:w="1017" w:type="dxa"/>
            <w:tcBorders>
              <w:top w:val="single" w:sz="4" w:space="0" w:color="auto"/>
              <w:left w:val="nil"/>
              <w:bottom w:val="nil"/>
              <w:right w:val="single" w:sz="4" w:space="0" w:color="auto"/>
            </w:tcBorders>
            <w:shd w:val="clear" w:color="000000" w:fill="000000"/>
            <w:noWrap/>
            <w:vAlign w:val="bottom"/>
            <w:hideMark/>
          </w:tcPr>
          <w:p w14:paraId="2A53027E" w14:textId="10728FE3" w:rsidR="00CC37BA" w:rsidRPr="00CC37BA" w:rsidRDefault="00CC37BA" w:rsidP="00CC37BA">
            <w:pPr>
              <w:jc w:val="center"/>
              <w:rPr>
                <w:rFonts w:cs="Arial"/>
                <w:b/>
                <w:bCs/>
                <w:color w:val="FFFFFF"/>
                <w:sz w:val="18"/>
                <w:szCs w:val="18"/>
                <w:lang w:eastAsia="en-GB"/>
              </w:rPr>
            </w:pPr>
            <w:r w:rsidRPr="00CC37BA">
              <w:rPr>
                <w:rFonts w:cs="Arial"/>
                <w:b/>
                <w:bCs/>
                <w:color w:val="FFFFFF"/>
                <w:sz w:val="18"/>
                <w:szCs w:val="18"/>
                <w:lang w:eastAsia="en-GB"/>
              </w:rPr>
              <w:t>£0</w:t>
            </w:r>
            <w:r w:rsidR="00B65D49">
              <w:rPr>
                <w:rFonts w:cs="Arial"/>
                <w:b/>
                <w:bCs/>
                <w:color w:val="FFFFFF"/>
                <w:sz w:val="18"/>
                <w:szCs w:val="18"/>
                <w:lang w:eastAsia="en-GB"/>
              </w:rPr>
              <w:t>00</w:t>
            </w:r>
          </w:p>
        </w:tc>
      </w:tr>
      <w:tr w:rsidR="00CC37BA" w:rsidRPr="00CC37BA" w14:paraId="17CEA6BD" w14:textId="77777777" w:rsidTr="003662C5">
        <w:trPr>
          <w:trHeight w:val="490"/>
          <w:jc w:val="center"/>
        </w:trPr>
        <w:tc>
          <w:tcPr>
            <w:tcW w:w="36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6DA3BD" w14:textId="77777777" w:rsidR="00CC37BA" w:rsidRPr="00CC37BA" w:rsidRDefault="00CC37BA" w:rsidP="00CC37BA">
            <w:pPr>
              <w:rPr>
                <w:rFonts w:cs="Arial"/>
                <w:b/>
                <w:bCs/>
                <w:sz w:val="20"/>
                <w:szCs w:val="20"/>
                <w:lang w:eastAsia="en-GB"/>
              </w:rPr>
            </w:pPr>
            <w:r w:rsidRPr="00CC37BA">
              <w:rPr>
                <w:rFonts w:cs="Arial"/>
                <w:b/>
                <w:bCs/>
                <w:sz w:val="20"/>
                <w:szCs w:val="20"/>
                <w:lang w:eastAsia="en-GB"/>
              </w:rPr>
              <w:t>Balance at 31 March 2022</w:t>
            </w:r>
          </w:p>
        </w:tc>
        <w:tc>
          <w:tcPr>
            <w:tcW w:w="435" w:type="dxa"/>
            <w:tcBorders>
              <w:top w:val="nil"/>
              <w:left w:val="single" w:sz="4" w:space="0" w:color="auto"/>
              <w:bottom w:val="single" w:sz="4" w:space="0" w:color="auto"/>
              <w:right w:val="nil"/>
            </w:tcBorders>
            <w:shd w:val="clear" w:color="000000" w:fill="FFFFFF"/>
            <w:noWrap/>
            <w:vAlign w:val="center"/>
            <w:hideMark/>
          </w:tcPr>
          <w:p w14:paraId="6E2F5FAD" w14:textId="77777777" w:rsidR="00CC37BA" w:rsidRPr="00CC37BA" w:rsidRDefault="00CC37BA" w:rsidP="00CC37BA">
            <w:pPr>
              <w:jc w:val="center"/>
              <w:rPr>
                <w:rFonts w:cs="Arial"/>
                <w:b/>
                <w:bCs/>
                <w:color w:val="000000"/>
                <w:sz w:val="20"/>
                <w:szCs w:val="20"/>
                <w:lang w:eastAsia="en-GB"/>
              </w:rPr>
            </w:pPr>
            <w:r w:rsidRPr="00CC37BA">
              <w:rPr>
                <w:rFonts w:cs="Arial"/>
                <w:b/>
                <w:bCs/>
                <w:color w:val="000000"/>
                <w:sz w:val="20"/>
                <w:szCs w:val="20"/>
                <w:lang w:eastAsia="en-GB"/>
              </w:rPr>
              <w:t> </w:t>
            </w:r>
          </w:p>
        </w:tc>
        <w:tc>
          <w:tcPr>
            <w:tcW w:w="917" w:type="dxa"/>
            <w:tcBorders>
              <w:top w:val="nil"/>
              <w:left w:val="single" w:sz="4" w:space="0" w:color="auto"/>
              <w:bottom w:val="single" w:sz="4" w:space="0" w:color="auto"/>
              <w:right w:val="single" w:sz="4" w:space="0" w:color="auto"/>
            </w:tcBorders>
            <w:shd w:val="clear" w:color="000000" w:fill="FFFFFF"/>
            <w:noWrap/>
            <w:vAlign w:val="center"/>
            <w:hideMark/>
          </w:tcPr>
          <w:p w14:paraId="2A765DC5" w14:textId="541B7215" w:rsidR="00CC37BA" w:rsidRPr="00CC37BA" w:rsidRDefault="00CC37BA" w:rsidP="00CC37BA">
            <w:pPr>
              <w:jc w:val="right"/>
              <w:rPr>
                <w:rFonts w:cs="Arial"/>
                <w:b/>
                <w:bCs/>
                <w:sz w:val="20"/>
                <w:szCs w:val="20"/>
                <w:lang w:eastAsia="en-GB"/>
              </w:rPr>
            </w:pPr>
            <w:r w:rsidRPr="00CC37BA">
              <w:rPr>
                <w:rFonts w:cs="Arial"/>
                <w:b/>
                <w:bCs/>
                <w:sz w:val="20"/>
                <w:szCs w:val="20"/>
                <w:lang w:eastAsia="en-GB"/>
              </w:rPr>
              <w:t>3,535</w:t>
            </w:r>
          </w:p>
        </w:tc>
        <w:tc>
          <w:tcPr>
            <w:tcW w:w="967" w:type="dxa"/>
            <w:tcBorders>
              <w:top w:val="nil"/>
              <w:left w:val="nil"/>
              <w:bottom w:val="single" w:sz="4" w:space="0" w:color="auto"/>
              <w:right w:val="nil"/>
            </w:tcBorders>
            <w:shd w:val="clear" w:color="000000" w:fill="FFFFFF"/>
            <w:noWrap/>
            <w:vAlign w:val="center"/>
            <w:hideMark/>
          </w:tcPr>
          <w:p w14:paraId="19F81407" w14:textId="77777777" w:rsidR="00CC37BA" w:rsidRPr="00CC37BA" w:rsidRDefault="00CC37BA" w:rsidP="00CC37BA">
            <w:pPr>
              <w:jc w:val="right"/>
              <w:rPr>
                <w:rFonts w:cs="Arial"/>
                <w:b/>
                <w:bCs/>
                <w:sz w:val="20"/>
                <w:szCs w:val="20"/>
                <w:lang w:eastAsia="en-GB"/>
              </w:rPr>
            </w:pPr>
            <w:r w:rsidRPr="00CC37BA">
              <w:rPr>
                <w:rFonts w:cs="Arial"/>
                <w:b/>
                <w:bCs/>
                <w:sz w:val="20"/>
                <w:szCs w:val="20"/>
                <w:lang w:eastAsia="en-GB"/>
              </w:rPr>
              <w:t>0</w:t>
            </w:r>
          </w:p>
        </w:tc>
        <w:tc>
          <w:tcPr>
            <w:tcW w:w="1087" w:type="dxa"/>
            <w:tcBorders>
              <w:top w:val="nil"/>
              <w:left w:val="single" w:sz="4" w:space="0" w:color="auto"/>
              <w:bottom w:val="single" w:sz="4" w:space="0" w:color="auto"/>
              <w:right w:val="single" w:sz="4" w:space="0" w:color="auto"/>
            </w:tcBorders>
            <w:shd w:val="clear" w:color="000000" w:fill="FFFFFF"/>
            <w:noWrap/>
            <w:vAlign w:val="center"/>
            <w:hideMark/>
          </w:tcPr>
          <w:p w14:paraId="5D2512A1" w14:textId="3BF477A1" w:rsidR="00CC37BA" w:rsidRPr="00CC37BA" w:rsidRDefault="00CC37BA" w:rsidP="00CC37BA">
            <w:pPr>
              <w:jc w:val="right"/>
              <w:rPr>
                <w:rFonts w:cs="Arial"/>
                <w:b/>
                <w:bCs/>
                <w:sz w:val="20"/>
                <w:szCs w:val="20"/>
                <w:lang w:eastAsia="en-GB"/>
              </w:rPr>
            </w:pPr>
            <w:r w:rsidRPr="00CC37BA">
              <w:rPr>
                <w:rFonts w:cs="Arial"/>
                <w:b/>
                <w:bCs/>
                <w:sz w:val="20"/>
                <w:szCs w:val="20"/>
                <w:lang w:eastAsia="en-GB"/>
              </w:rPr>
              <w:t>283</w:t>
            </w:r>
          </w:p>
        </w:tc>
        <w:tc>
          <w:tcPr>
            <w:tcW w:w="1017" w:type="dxa"/>
            <w:tcBorders>
              <w:top w:val="nil"/>
              <w:left w:val="nil"/>
              <w:bottom w:val="single" w:sz="4" w:space="0" w:color="auto"/>
              <w:right w:val="nil"/>
            </w:tcBorders>
            <w:shd w:val="clear" w:color="000000" w:fill="FFFFFF"/>
            <w:noWrap/>
            <w:vAlign w:val="center"/>
            <w:hideMark/>
          </w:tcPr>
          <w:p w14:paraId="72488C44" w14:textId="2C9E39D3" w:rsidR="00CC37BA" w:rsidRPr="00CC37BA" w:rsidRDefault="00CC37BA" w:rsidP="00CC37BA">
            <w:pPr>
              <w:jc w:val="right"/>
              <w:rPr>
                <w:rFonts w:cs="Arial"/>
                <w:b/>
                <w:bCs/>
                <w:sz w:val="20"/>
                <w:szCs w:val="20"/>
                <w:lang w:eastAsia="en-GB"/>
              </w:rPr>
            </w:pPr>
            <w:r w:rsidRPr="00CC37BA">
              <w:rPr>
                <w:rFonts w:cs="Arial"/>
                <w:b/>
                <w:bCs/>
                <w:sz w:val="20"/>
                <w:szCs w:val="20"/>
                <w:lang w:eastAsia="en-GB"/>
              </w:rPr>
              <w:t>3,818</w:t>
            </w:r>
          </w:p>
        </w:tc>
        <w:tc>
          <w:tcPr>
            <w:tcW w:w="1027" w:type="dxa"/>
            <w:tcBorders>
              <w:top w:val="nil"/>
              <w:left w:val="single" w:sz="4" w:space="0" w:color="auto"/>
              <w:bottom w:val="single" w:sz="4" w:space="0" w:color="auto"/>
              <w:right w:val="single" w:sz="4" w:space="0" w:color="auto"/>
            </w:tcBorders>
            <w:shd w:val="clear" w:color="000000" w:fill="FFFFFF"/>
            <w:noWrap/>
            <w:vAlign w:val="center"/>
            <w:hideMark/>
          </w:tcPr>
          <w:p w14:paraId="643A0E7A" w14:textId="4D1D216D" w:rsidR="00CC37BA" w:rsidRPr="00CC37BA" w:rsidRDefault="00CC37BA" w:rsidP="00CC37BA">
            <w:pPr>
              <w:jc w:val="right"/>
              <w:rPr>
                <w:rFonts w:cs="Arial"/>
                <w:b/>
                <w:bCs/>
                <w:sz w:val="20"/>
                <w:szCs w:val="20"/>
                <w:lang w:eastAsia="en-GB"/>
              </w:rPr>
            </w:pPr>
            <w:r w:rsidRPr="00CC37BA">
              <w:rPr>
                <w:rFonts w:cs="Arial"/>
                <w:b/>
                <w:bCs/>
                <w:sz w:val="20"/>
                <w:szCs w:val="20"/>
                <w:lang w:eastAsia="en-GB"/>
              </w:rPr>
              <w:t>17,513</w:t>
            </w:r>
          </w:p>
        </w:tc>
        <w:tc>
          <w:tcPr>
            <w:tcW w:w="1017" w:type="dxa"/>
            <w:tcBorders>
              <w:top w:val="nil"/>
              <w:left w:val="nil"/>
              <w:bottom w:val="single" w:sz="4" w:space="0" w:color="auto"/>
              <w:right w:val="single" w:sz="4" w:space="0" w:color="auto"/>
            </w:tcBorders>
            <w:shd w:val="clear" w:color="000000" w:fill="FFFFFF"/>
            <w:noWrap/>
            <w:vAlign w:val="center"/>
            <w:hideMark/>
          </w:tcPr>
          <w:p w14:paraId="224A4F3D" w14:textId="71984144" w:rsidR="00CC37BA" w:rsidRPr="00CC37BA" w:rsidRDefault="00CC37BA" w:rsidP="00CC37BA">
            <w:pPr>
              <w:jc w:val="right"/>
              <w:rPr>
                <w:rFonts w:cs="Arial"/>
                <w:b/>
                <w:bCs/>
                <w:sz w:val="20"/>
                <w:szCs w:val="20"/>
                <w:lang w:eastAsia="en-GB"/>
              </w:rPr>
            </w:pPr>
            <w:r w:rsidRPr="00CC37BA">
              <w:rPr>
                <w:rFonts w:cs="Arial"/>
                <w:b/>
                <w:bCs/>
                <w:sz w:val="20"/>
                <w:szCs w:val="20"/>
                <w:lang w:eastAsia="en-GB"/>
              </w:rPr>
              <w:t>21,331</w:t>
            </w:r>
          </w:p>
        </w:tc>
      </w:tr>
      <w:tr w:rsidR="00CC37BA" w:rsidRPr="00CC37BA" w14:paraId="318254B2" w14:textId="77777777" w:rsidTr="003662C5">
        <w:trPr>
          <w:trHeight w:val="490"/>
          <w:jc w:val="center"/>
        </w:trPr>
        <w:tc>
          <w:tcPr>
            <w:tcW w:w="3681" w:type="dxa"/>
            <w:tcBorders>
              <w:top w:val="nil"/>
              <w:left w:val="single" w:sz="4" w:space="0" w:color="auto"/>
              <w:bottom w:val="nil"/>
              <w:right w:val="single" w:sz="4" w:space="0" w:color="auto"/>
            </w:tcBorders>
            <w:shd w:val="clear" w:color="auto" w:fill="auto"/>
            <w:noWrap/>
            <w:vAlign w:val="center"/>
            <w:hideMark/>
          </w:tcPr>
          <w:p w14:paraId="6DDF5063" w14:textId="77777777" w:rsidR="00CC37BA" w:rsidRPr="00CC37BA" w:rsidRDefault="00CC37BA" w:rsidP="00CC37BA">
            <w:pPr>
              <w:rPr>
                <w:rFonts w:cs="Arial"/>
                <w:color w:val="000000"/>
                <w:sz w:val="20"/>
                <w:szCs w:val="20"/>
                <w:lang w:eastAsia="en-GB"/>
              </w:rPr>
            </w:pPr>
            <w:r w:rsidRPr="00CC37BA">
              <w:rPr>
                <w:rFonts w:cs="Arial"/>
                <w:color w:val="000000"/>
                <w:sz w:val="20"/>
                <w:szCs w:val="20"/>
                <w:lang w:eastAsia="en-GB"/>
              </w:rPr>
              <w:t>Movement in reserves during 2022/23</w:t>
            </w:r>
          </w:p>
        </w:tc>
        <w:tc>
          <w:tcPr>
            <w:tcW w:w="435" w:type="dxa"/>
            <w:tcBorders>
              <w:top w:val="nil"/>
              <w:left w:val="single" w:sz="4" w:space="0" w:color="auto"/>
              <w:bottom w:val="nil"/>
              <w:right w:val="nil"/>
            </w:tcBorders>
            <w:shd w:val="clear" w:color="auto" w:fill="auto"/>
            <w:noWrap/>
            <w:vAlign w:val="center"/>
            <w:hideMark/>
          </w:tcPr>
          <w:p w14:paraId="2B1BDADB" w14:textId="77777777" w:rsidR="00CC37BA" w:rsidRPr="00CC37BA" w:rsidRDefault="00CC37BA" w:rsidP="00CC37BA">
            <w:pPr>
              <w:rPr>
                <w:rFonts w:cs="Arial"/>
                <w:color w:val="000000"/>
                <w:sz w:val="20"/>
                <w:szCs w:val="20"/>
                <w:lang w:eastAsia="en-GB"/>
              </w:rPr>
            </w:pPr>
          </w:p>
        </w:tc>
        <w:tc>
          <w:tcPr>
            <w:tcW w:w="917" w:type="dxa"/>
            <w:tcBorders>
              <w:top w:val="nil"/>
              <w:left w:val="single" w:sz="4" w:space="0" w:color="auto"/>
              <w:bottom w:val="nil"/>
              <w:right w:val="single" w:sz="4" w:space="0" w:color="auto"/>
            </w:tcBorders>
            <w:shd w:val="clear" w:color="auto" w:fill="auto"/>
            <w:noWrap/>
            <w:vAlign w:val="center"/>
            <w:hideMark/>
          </w:tcPr>
          <w:p w14:paraId="66A7C4D2" w14:textId="77777777" w:rsidR="00CC37BA" w:rsidRPr="00CC37BA" w:rsidRDefault="00CC37BA" w:rsidP="00CC37BA">
            <w:pPr>
              <w:rPr>
                <w:rFonts w:cs="Arial"/>
                <w:color w:val="000000"/>
                <w:sz w:val="20"/>
                <w:szCs w:val="20"/>
                <w:lang w:eastAsia="en-GB"/>
              </w:rPr>
            </w:pPr>
            <w:r w:rsidRPr="00CC37BA">
              <w:rPr>
                <w:rFonts w:cs="Arial"/>
                <w:color w:val="000000"/>
                <w:sz w:val="20"/>
                <w:szCs w:val="20"/>
                <w:lang w:eastAsia="en-GB"/>
              </w:rPr>
              <w:t> </w:t>
            </w:r>
          </w:p>
        </w:tc>
        <w:tc>
          <w:tcPr>
            <w:tcW w:w="967" w:type="dxa"/>
            <w:tcBorders>
              <w:top w:val="nil"/>
              <w:left w:val="nil"/>
              <w:bottom w:val="nil"/>
              <w:right w:val="nil"/>
            </w:tcBorders>
            <w:shd w:val="clear" w:color="auto" w:fill="auto"/>
            <w:noWrap/>
            <w:vAlign w:val="center"/>
            <w:hideMark/>
          </w:tcPr>
          <w:p w14:paraId="4D368E25" w14:textId="77777777" w:rsidR="00CC37BA" w:rsidRPr="00CC37BA" w:rsidRDefault="00CC37BA" w:rsidP="00CC37BA">
            <w:pPr>
              <w:rPr>
                <w:rFonts w:cs="Arial"/>
                <w:color w:val="000000"/>
                <w:sz w:val="20"/>
                <w:szCs w:val="20"/>
                <w:lang w:eastAsia="en-GB"/>
              </w:rPr>
            </w:pPr>
          </w:p>
        </w:tc>
        <w:tc>
          <w:tcPr>
            <w:tcW w:w="1087" w:type="dxa"/>
            <w:tcBorders>
              <w:top w:val="nil"/>
              <w:left w:val="single" w:sz="4" w:space="0" w:color="auto"/>
              <w:bottom w:val="nil"/>
              <w:right w:val="single" w:sz="4" w:space="0" w:color="auto"/>
            </w:tcBorders>
            <w:shd w:val="clear" w:color="auto" w:fill="auto"/>
            <w:noWrap/>
            <w:vAlign w:val="center"/>
            <w:hideMark/>
          </w:tcPr>
          <w:p w14:paraId="40F803D3" w14:textId="77777777" w:rsidR="00CC37BA" w:rsidRPr="00CC37BA" w:rsidRDefault="00CC37BA" w:rsidP="00CC37BA">
            <w:pPr>
              <w:rPr>
                <w:rFonts w:cs="Arial"/>
                <w:color w:val="000000"/>
                <w:sz w:val="20"/>
                <w:szCs w:val="20"/>
                <w:lang w:eastAsia="en-GB"/>
              </w:rPr>
            </w:pPr>
            <w:r w:rsidRPr="00CC37BA">
              <w:rPr>
                <w:rFonts w:cs="Arial"/>
                <w:color w:val="000000"/>
                <w:sz w:val="20"/>
                <w:szCs w:val="20"/>
                <w:lang w:eastAsia="en-GB"/>
              </w:rPr>
              <w:t> </w:t>
            </w:r>
          </w:p>
        </w:tc>
        <w:tc>
          <w:tcPr>
            <w:tcW w:w="1017" w:type="dxa"/>
            <w:tcBorders>
              <w:top w:val="nil"/>
              <w:left w:val="nil"/>
              <w:bottom w:val="nil"/>
              <w:right w:val="nil"/>
            </w:tcBorders>
            <w:shd w:val="clear" w:color="auto" w:fill="auto"/>
            <w:noWrap/>
            <w:vAlign w:val="center"/>
            <w:hideMark/>
          </w:tcPr>
          <w:p w14:paraId="05B77C17" w14:textId="77777777" w:rsidR="00CC37BA" w:rsidRPr="00CC37BA" w:rsidRDefault="00CC37BA" w:rsidP="00CC37BA">
            <w:pPr>
              <w:rPr>
                <w:rFonts w:cs="Arial"/>
                <w:color w:val="000000"/>
                <w:sz w:val="20"/>
                <w:szCs w:val="20"/>
                <w:lang w:eastAsia="en-GB"/>
              </w:rPr>
            </w:pPr>
          </w:p>
        </w:tc>
        <w:tc>
          <w:tcPr>
            <w:tcW w:w="1027" w:type="dxa"/>
            <w:tcBorders>
              <w:top w:val="nil"/>
              <w:left w:val="single" w:sz="4" w:space="0" w:color="auto"/>
              <w:bottom w:val="nil"/>
              <w:right w:val="single" w:sz="4" w:space="0" w:color="auto"/>
            </w:tcBorders>
            <w:shd w:val="clear" w:color="auto" w:fill="auto"/>
            <w:noWrap/>
            <w:vAlign w:val="center"/>
            <w:hideMark/>
          </w:tcPr>
          <w:p w14:paraId="6B2027F0" w14:textId="77777777" w:rsidR="00CC37BA" w:rsidRPr="00CC37BA" w:rsidRDefault="00CC37BA" w:rsidP="00CC37BA">
            <w:pPr>
              <w:rPr>
                <w:rFonts w:cs="Arial"/>
                <w:color w:val="000000"/>
                <w:sz w:val="20"/>
                <w:szCs w:val="20"/>
                <w:lang w:eastAsia="en-GB"/>
              </w:rPr>
            </w:pPr>
            <w:r w:rsidRPr="00CC37BA">
              <w:rPr>
                <w:rFonts w:cs="Arial"/>
                <w:color w:val="000000"/>
                <w:sz w:val="20"/>
                <w:szCs w:val="20"/>
                <w:lang w:eastAsia="en-GB"/>
              </w:rPr>
              <w:t> </w:t>
            </w:r>
          </w:p>
        </w:tc>
        <w:tc>
          <w:tcPr>
            <w:tcW w:w="1017" w:type="dxa"/>
            <w:tcBorders>
              <w:top w:val="nil"/>
              <w:left w:val="nil"/>
              <w:bottom w:val="nil"/>
              <w:right w:val="single" w:sz="4" w:space="0" w:color="auto"/>
            </w:tcBorders>
            <w:shd w:val="clear" w:color="auto" w:fill="auto"/>
            <w:noWrap/>
            <w:vAlign w:val="center"/>
            <w:hideMark/>
          </w:tcPr>
          <w:p w14:paraId="4BA91B1F" w14:textId="77777777" w:rsidR="00CC37BA" w:rsidRPr="00CC37BA" w:rsidRDefault="00CC37BA" w:rsidP="00CC37BA">
            <w:pPr>
              <w:rPr>
                <w:rFonts w:cs="Arial"/>
                <w:b/>
                <w:bCs/>
                <w:color w:val="000000"/>
                <w:sz w:val="20"/>
                <w:szCs w:val="20"/>
                <w:lang w:eastAsia="en-GB"/>
              </w:rPr>
            </w:pPr>
            <w:r w:rsidRPr="00CC37BA">
              <w:rPr>
                <w:rFonts w:cs="Arial"/>
                <w:b/>
                <w:bCs/>
                <w:color w:val="000000"/>
                <w:sz w:val="20"/>
                <w:szCs w:val="20"/>
                <w:lang w:eastAsia="en-GB"/>
              </w:rPr>
              <w:t> </w:t>
            </w:r>
          </w:p>
        </w:tc>
      </w:tr>
      <w:tr w:rsidR="00CC37BA" w:rsidRPr="00CC37BA" w14:paraId="2879FA60" w14:textId="77777777" w:rsidTr="003662C5">
        <w:trPr>
          <w:trHeight w:val="490"/>
          <w:jc w:val="center"/>
        </w:trPr>
        <w:tc>
          <w:tcPr>
            <w:tcW w:w="3681" w:type="dxa"/>
            <w:tcBorders>
              <w:top w:val="nil"/>
              <w:left w:val="single" w:sz="4" w:space="0" w:color="auto"/>
              <w:bottom w:val="nil"/>
              <w:right w:val="single" w:sz="4" w:space="0" w:color="auto"/>
            </w:tcBorders>
            <w:shd w:val="clear" w:color="auto" w:fill="auto"/>
            <w:noWrap/>
            <w:vAlign w:val="center"/>
            <w:hideMark/>
          </w:tcPr>
          <w:p w14:paraId="6FF801BC" w14:textId="77777777" w:rsidR="00CC37BA" w:rsidRPr="00CC37BA" w:rsidRDefault="00CC37BA" w:rsidP="00CC37BA">
            <w:pPr>
              <w:rPr>
                <w:rFonts w:cs="Arial"/>
                <w:color w:val="000000"/>
                <w:sz w:val="20"/>
                <w:szCs w:val="20"/>
                <w:lang w:eastAsia="en-GB"/>
              </w:rPr>
            </w:pPr>
            <w:r w:rsidRPr="00CC37BA">
              <w:rPr>
                <w:rFonts w:cs="Arial"/>
                <w:color w:val="000000"/>
                <w:sz w:val="20"/>
                <w:szCs w:val="20"/>
                <w:lang w:eastAsia="en-GB"/>
              </w:rPr>
              <w:t>Total Comprehensive Income and Expenditure</w:t>
            </w:r>
          </w:p>
        </w:tc>
        <w:tc>
          <w:tcPr>
            <w:tcW w:w="435" w:type="dxa"/>
            <w:tcBorders>
              <w:top w:val="nil"/>
              <w:left w:val="single" w:sz="4" w:space="0" w:color="auto"/>
              <w:bottom w:val="nil"/>
              <w:right w:val="nil"/>
            </w:tcBorders>
            <w:shd w:val="clear" w:color="auto" w:fill="auto"/>
            <w:noWrap/>
            <w:vAlign w:val="center"/>
            <w:hideMark/>
          </w:tcPr>
          <w:p w14:paraId="186777AB" w14:textId="77777777" w:rsidR="00CC37BA" w:rsidRPr="00CC37BA" w:rsidRDefault="00CC37BA" w:rsidP="00CC37BA">
            <w:pPr>
              <w:rPr>
                <w:rFonts w:cs="Arial"/>
                <w:color w:val="000000"/>
                <w:sz w:val="20"/>
                <w:szCs w:val="20"/>
                <w:lang w:eastAsia="en-GB"/>
              </w:rPr>
            </w:pPr>
          </w:p>
        </w:tc>
        <w:tc>
          <w:tcPr>
            <w:tcW w:w="917" w:type="dxa"/>
            <w:tcBorders>
              <w:top w:val="nil"/>
              <w:left w:val="single" w:sz="4" w:space="0" w:color="auto"/>
              <w:bottom w:val="nil"/>
              <w:right w:val="single" w:sz="4" w:space="0" w:color="auto"/>
            </w:tcBorders>
            <w:shd w:val="clear" w:color="auto" w:fill="auto"/>
            <w:noWrap/>
            <w:vAlign w:val="center"/>
            <w:hideMark/>
          </w:tcPr>
          <w:p w14:paraId="5466A407" w14:textId="77251E6A" w:rsidR="00CC37BA" w:rsidRPr="00CC37BA" w:rsidRDefault="00355132" w:rsidP="00CC37BA">
            <w:pPr>
              <w:jc w:val="right"/>
              <w:rPr>
                <w:rFonts w:cs="Arial"/>
                <w:color w:val="000000"/>
                <w:sz w:val="20"/>
                <w:szCs w:val="20"/>
                <w:lang w:eastAsia="en-GB"/>
              </w:rPr>
            </w:pPr>
            <w:r>
              <w:rPr>
                <w:rFonts w:cs="Arial"/>
                <w:color w:val="000000"/>
                <w:sz w:val="20"/>
                <w:szCs w:val="20"/>
                <w:lang w:eastAsia="en-GB"/>
              </w:rPr>
              <w:t>(</w:t>
            </w:r>
            <w:r w:rsidR="00CC37BA" w:rsidRPr="00CC37BA">
              <w:rPr>
                <w:rFonts w:cs="Arial"/>
                <w:color w:val="000000"/>
                <w:sz w:val="20"/>
                <w:szCs w:val="20"/>
                <w:lang w:eastAsia="en-GB"/>
              </w:rPr>
              <w:t>2,</w:t>
            </w:r>
            <w:r w:rsidR="00414686">
              <w:rPr>
                <w:rFonts w:cs="Arial"/>
                <w:color w:val="000000"/>
                <w:sz w:val="20"/>
                <w:szCs w:val="20"/>
                <w:lang w:eastAsia="en-GB"/>
              </w:rPr>
              <w:t>459</w:t>
            </w:r>
            <w:r>
              <w:rPr>
                <w:rFonts w:cs="Arial"/>
                <w:color w:val="000000"/>
                <w:sz w:val="20"/>
                <w:szCs w:val="20"/>
                <w:lang w:eastAsia="en-GB"/>
              </w:rPr>
              <w:t>)</w:t>
            </w:r>
          </w:p>
        </w:tc>
        <w:tc>
          <w:tcPr>
            <w:tcW w:w="967" w:type="dxa"/>
            <w:tcBorders>
              <w:top w:val="nil"/>
              <w:left w:val="nil"/>
              <w:bottom w:val="nil"/>
              <w:right w:val="nil"/>
            </w:tcBorders>
            <w:shd w:val="clear" w:color="auto" w:fill="auto"/>
            <w:noWrap/>
            <w:vAlign w:val="center"/>
            <w:hideMark/>
          </w:tcPr>
          <w:p w14:paraId="00AF7045" w14:textId="77777777" w:rsidR="00CC37BA" w:rsidRPr="00CC37BA" w:rsidRDefault="00CC37BA" w:rsidP="00CC37BA">
            <w:pPr>
              <w:jc w:val="right"/>
              <w:rPr>
                <w:rFonts w:cs="Arial"/>
                <w:color w:val="000000"/>
                <w:sz w:val="20"/>
                <w:szCs w:val="20"/>
                <w:lang w:eastAsia="en-GB"/>
              </w:rPr>
            </w:pPr>
          </w:p>
        </w:tc>
        <w:tc>
          <w:tcPr>
            <w:tcW w:w="1087" w:type="dxa"/>
            <w:tcBorders>
              <w:top w:val="nil"/>
              <w:left w:val="single" w:sz="4" w:space="0" w:color="auto"/>
              <w:bottom w:val="nil"/>
              <w:right w:val="single" w:sz="4" w:space="0" w:color="auto"/>
            </w:tcBorders>
            <w:shd w:val="clear" w:color="auto" w:fill="auto"/>
            <w:noWrap/>
            <w:vAlign w:val="center"/>
            <w:hideMark/>
          </w:tcPr>
          <w:p w14:paraId="6572C4BB" w14:textId="77777777" w:rsidR="00CC37BA" w:rsidRPr="00CC37BA" w:rsidRDefault="00CC37BA" w:rsidP="00CC37BA">
            <w:pPr>
              <w:rPr>
                <w:rFonts w:cs="Arial"/>
                <w:color w:val="000000"/>
                <w:sz w:val="20"/>
                <w:szCs w:val="20"/>
                <w:lang w:eastAsia="en-GB"/>
              </w:rPr>
            </w:pPr>
            <w:r w:rsidRPr="00CC37BA">
              <w:rPr>
                <w:rFonts w:cs="Arial"/>
                <w:color w:val="000000"/>
                <w:sz w:val="20"/>
                <w:szCs w:val="20"/>
                <w:lang w:eastAsia="en-GB"/>
              </w:rPr>
              <w:t> </w:t>
            </w:r>
          </w:p>
        </w:tc>
        <w:tc>
          <w:tcPr>
            <w:tcW w:w="1017" w:type="dxa"/>
            <w:tcBorders>
              <w:top w:val="nil"/>
              <w:left w:val="nil"/>
              <w:bottom w:val="nil"/>
              <w:right w:val="nil"/>
            </w:tcBorders>
            <w:shd w:val="clear" w:color="000000" w:fill="FFFFFF"/>
            <w:noWrap/>
            <w:vAlign w:val="center"/>
            <w:hideMark/>
          </w:tcPr>
          <w:p w14:paraId="7EF22694" w14:textId="101E66AA" w:rsidR="00CC37BA" w:rsidRPr="00CC37BA" w:rsidRDefault="00355132" w:rsidP="00CC37BA">
            <w:pPr>
              <w:jc w:val="right"/>
              <w:rPr>
                <w:rFonts w:cs="Arial"/>
                <w:b/>
                <w:bCs/>
                <w:sz w:val="20"/>
                <w:szCs w:val="20"/>
                <w:lang w:eastAsia="en-GB"/>
              </w:rPr>
            </w:pPr>
            <w:r>
              <w:rPr>
                <w:rFonts w:cs="Arial"/>
                <w:b/>
                <w:bCs/>
                <w:sz w:val="20"/>
                <w:szCs w:val="20"/>
                <w:lang w:eastAsia="en-GB"/>
              </w:rPr>
              <w:t>(</w:t>
            </w:r>
            <w:r w:rsidR="00CC37BA" w:rsidRPr="00CC37BA">
              <w:rPr>
                <w:rFonts w:cs="Arial"/>
                <w:b/>
                <w:bCs/>
                <w:sz w:val="20"/>
                <w:szCs w:val="20"/>
                <w:lang w:eastAsia="en-GB"/>
              </w:rPr>
              <w:t>2,</w:t>
            </w:r>
            <w:r w:rsidR="00414686">
              <w:rPr>
                <w:rFonts w:cs="Arial"/>
                <w:b/>
                <w:bCs/>
                <w:sz w:val="20"/>
                <w:szCs w:val="20"/>
                <w:lang w:eastAsia="en-GB"/>
              </w:rPr>
              <w:t>459</w:t>
            </w:r>
            <w:r>
              <w:rPr>
                <w:rFonts w:cs="Arial"/>
                <w:b/>
                <w:bCs/>
                <w:sz w:val="20"/>
                <w:szCs w:val="20"/>
                <w:lang w:eastAsia="en-GB"/>
              </w:rPr>
              <w:t>)</w:t>
            </w:r>
          </w:p>
        </w:tc>
        <w:tc>
          <w:tcPr>
            <w:tcW w:w="1027" w:type="dxa"/>
            <w:tcBorders>
              <w:top w:val="nil"/>
              <w:left w:val="single" w:sz="4" w:space="0" w:color="auto"/>
              <w:bottom w:val="nil"/>
              <w:right w:val="single" w:sz="4" w:space="0" w:color="auto"/>
            </w:tcBorders>
            <w:shd w:val="clear" w:color="auto" w:fill="auto"/>
            <w:noWrap/>
            <w:vAlign w:val="center"/>
            <w:hideMark/>
          </w:tcPr>
          <w:p w14:paraId="2ABEEF9B" w14:textId="12E7D18F" w:rsidR="00CC37BA" w:rsidRPr="00CC37BA" w:rsidRDefault="00CC37BA" w:rsidP="00CC37BA">
            <w:pPr>
              <w:jc w:val="right"/>
              <w:rPr>
                <w:rFonts w:cs="Arial"/>
                <w:color w:val="000000"/>
                <w:sz w:val="20"/>
                <w:szCs w:val="20"/>
                <w:lang w:eastAsia="en-GB"/>
              </w:rPr>
            </w:pPr>
            <w:r w:rsidRPr="00CC37BA">
              <w:rPr>
                <w:rFonts w:cs="Arial"/>
                <w:color w:val="000000"/>
                <w:sz w:val="20"/>
                <w:szCs w:val="20"/>
                <w:lang w:eastAsia="en-GB"/>
              </w:rPr>
              <w:t>26,</w:t>
            </w:r>
            <w:r w:rsidR="00414686">
              <w:rPr>
                <w:rFonts w:cs="Arial"/>
                <w:color w:val="000000"/>
                <w:sz w:val="20"/>
                <w:szCs w:val="20"/>
                <w:lang w:eastAsia="en-GB"/>
              </w:rPr>
              <w:t>2</w:t>
            </w:r>
            <w:r w:rsidR="005D6A99">
              <w:rPr>
                <w:rFonts w:cs="Arial"/>
                <w:color w:val="000000"/>
                <w:sz w:val="20"/>
                <w:szCs w:val="20"/>
                <w:lang w:eastAsia="en-GB"/>
              </w:rPr>
              <w:t>63</w:t>
            </w:r>
          </w:p>
        </w:tc>
        <w:tc>
          <w:tcPr>
            <w:tcW w:w="1017" w:type="dxa"/>
            <w:tcBorders>
              <w:top w:val="nil"/>
              <w:left w:val="nil"/>
              <w:bottom w:val="nil"/>
              <w:right w:val="single" w:sz="4" w:space="0" w:color="auto"/>
            </w:tcBorders>
            <w:shd w:val="clear" w:color="000000" w:fill="FFFFFF"/>
            <w:noWrap/>
            <w:vAlign w:val="center"/>
            <w:hideMark/>
          </w:tcPr>
          <w:p w14:paraId="79FAE040" w14:textId="5D778D7F" w:rsidR="00CC37BA" w:rsidRPr="00CC37BA" w:rsidRDefault="00CC37BA" w:rsidP="00CC37BA">
            <w:pPr>
              <w:jc w:val="right"/>
              <w:rPr>
                <w:rFonts w:cs="Arial"/>
                <w:b/>
                <w:bCs/>
                <w:sz w:val="20"/>
                <w:szCs w:val="20"/>
                <w:lang w:eastAsia="en-GB"/>
              </w:rPr>
            </w:pPr>
            <w:r w:rsidRPr="00CC37BA">
              <w:rPr>
                <w:rFonts w:cs="Arial"/>
                <w:b/>
                <w:bCs/>
                <w:sz w:val="20"/>
                <w:szCs w:val="20"/>
                <w:lang w:eastAsia="en-GB"/>
              </w:rPr>
              <w:t>2</w:t>
            </w:r>
            <w:r w:rsidR="00414686">
              <w:rPr>
                <w:rFonts w:cs="Arial"/>
                <w:b/>
                <w:bCs/>
                <w:sz w:val="20"/>
                <w:szCs w:val="20"/>
                <w:lang w:eastAsia="en-GB"/>
              </w:rPr>
              <w:t>3,</w:t>
            </w:r>
            <w:r w:rsidR="005D6A99">
              <w:rPr>
                <w:rFonts w:cs="Arial"/>
                <w:b/>
                <w:bCs/>
                <w:sz w:val="20"/>
                <w:szCs w:val="20"/>
                <w:lang w:eastAsia="en-GB"/>
              </w:rPr>
              <w:t>804</w:t>
            </w:r>
          </w:p>
        </w:tc>
      </w:tr>
      <w:tr w:rsidR="00CC37BA" w:rsidRPr="00CC37BA" w14:paraId="10CAFA75" w14:textId="77777777" w:rsidTr="003662C5">
        <w:trPr>
          <w:trHeight w:val="490"/>
          <w:jc w:val="center"/>
        </w:trPr>
        <w:tc>
          <w:tcPr>
            <w:tcW w:w="3681" w:type="dxa"/>
            <w:tcBorders>
              <w:top w:val="nil"/>
              <w:left w:val="single" w:sz="4" w:space="0" w:color="auto"/>
              <w:bottom w:val="nil"/>
              <w:right w:val="single" w:sz="4" w:space="0" w:color="auto"/>
            </w:tcBorders>
            <w:shd w:val="clear" w:color="auto" w:fill="auto"/>
            <w:noWrap/>
            <w:vAlign w:val="center"/>
            <w:hideMark/>
          </w:tcPr>
          <w:p w14:paraId="6A8709EB" w14:textId="77777777" w:rsidR="00CC37BA" w:rsidRPr="00CC37BA" w:rsidRDefault="00CC37BA" w:rsidP="00CC37BA">
            <w:pPr>
              <w:rPr>
                <w:rFonts w:cs="Arial"/>
                <w:color w:val="000000"/>
                <w:sz w:val="20"/>
                <w:szCs w:val="20"/>
                <w:lang w:eastAsia="en-GB"/>
              </w:rPr>
            </w:pPr>
            <w:r w:rsidRPr="00CC37BA">
              <w:rPr>
                <w:rFonts w:cs="Arial"/>
                <w:color w:val="000000"/>
                <w:sz w:val="20"/>
                <w:szCs w:val="20"/>
                <w:lang w:eastAsia="en-GB"/>
              </w:rPr>
              <w:t>Adjustments between accounting basis and funding basis under regulations</w:t>
            </w:r>
          </w:p>
        </w:tc>
        <w:tc>
          <w:tcPr>
            <w:tcW w:w="435" w:type="dxa"/>
            <w:tcBorders>
              <w:top w:val="nil"/>
              <w:left w:val="single" w:sz="4" w:space="0" w:color="auto"/>
              <w:bottom w:val="nil"/>
              <w:right w:val="nil"/>
            </w:tcBorders>
            <w:shd w:val="clear" w:color="auto" w:fill="auto"/>
            <w:noWrap/>
            <w:vAlign w:val="center"/>
            <w:hideMark/>
          </w:tcPr>
          <w:p w14:paraId="59945C6E" w14:textId="77777777" w:rsidR="00CC37BA" w:rsidRPr="00CC37BA" w:rsidRDefault="00CC37BA" w:rsidP="00CC37BA">
            <w:pPr>
              <w:jc w:val="center"/>
              <w:rPr>
                <w:rFonts w:cs="Arial"/>
                <w:color w:val="000000"/>
                <w:sz w:val="20"/>
                <w:szCs w:val="20"/>
                <w:lang w:eastAsia="en-GB"/>
              </w:rPr>
            </w:pPr>
            <w:r w:rsidRPr="00CC37BA">
              <w:rPr>
                <w:rFonts w:cs="Arial"/>
                <w:color w:val="000000"/>
                <w:sz w:val="20"/>
                <w:szCs w:val="20"/>
                <w:lang w:eastAsia="en-GB"/>
              </w:rPr>
              <w:t>9</w:t>
            </w:r>
          </w:p>
        </w:tc>
        <w:tc>
          <w:tcPr>
            <w:tcW w:w="917" w:type="dxa"/>
            <w:tcBorders>
              <w:top w:val="nil"/>
              <w:left w:val="single" w:sz="4" w:space="0" w:color="auto"/>
              <w:bottom w:val="nil"/>
              <w:right w:val="single" w:sz="4" w:space="0" w:color="auto"/>
            </w:tcBorders>
            <w:shd w:val="clear" w:color="auto" w:fill="auto"/>
            <w:noWrap/>
            <w:vAlign w:val="center"/>
            <w:hideMark/>
          </w:tcPr>
          <w:p w14:paraId="2BAABC8E" w14:textId="4587047E" w:rsidR="00CC37BA" w:rsidRPr="00CC37BA" w:rsidRDefault="00CC37BA" w:rsidP="00CC37BA">
            <w:pPr>
              <w:jc w:val="right"/>
              <w:rPr>
                <w:rFonts w:cs="Arial"/>
                <w:color w:val="000000"/>
                <w:sz w:val="20"/>
                <w:szCs w:val="20"/>
                <w:lang w:eastAsia="en-GB"/>
              </w:rPr>
            </w:pPr>
            <w:r w:rsidRPr="00CC37BA">
              <w:rPr>
                <w:rFonts w:cs="Arial"/>
                <w:color w:val="000000"/>
                <w:sz w:val="20"/>
                <w:szCs w:val="20"/>
                <w:lang w:eastAsia="en-GB"/>
              </w:rPr>
              <w:t>2,</w:t>
            </w:r>
            <w:r w:rsidR="00414686">
              <w:rPr>
                <w:rFonts w:cs="Arial"/>
                <w:color w:val="000000"/>
                <w:sz w:val="20"/>
                <w:szCs w:val="20"/>
                <w:lang w:eastAsia="en-GB"/>
              </w:rPr>
              <w:t>33</w:t>
            </w:r>
            <w:r w:rsidR="00355132">
              <w:rPr>
                <w:rFonts w:cs="Arial"/>
                <w:color w:val="000000"/>
                <w:sz w:val="20"/>
                <w:szCs w:val="20"/>
                <w:lang w:eastAsia="en-GB"/>
              </w:rPr>
              <w:t>5</w:t>
            </w:r>
          </w:p>
        </w:tc>
        <w:tc>
          <w:tcPr>
            <w:tcW w:w="967" w:type="dxa"/>
            <w:tcBorders>
              <w:top w:val="nil"/>
              <w:left w:val="nil"/>
              <w:bottom w:val="nil"/>
              <w:right w:val="nil"/>
            </w:tcBorders>
            <w:shd w:val="clear" w:color="auto" w:fill="auto"/>
            <w:noWrap/>
            <w:vAlign w:val="center"/>
            <w:hideMark/>
          </w:tcPr>
          <w:p w14:paraId="50107032" w14:textId="4F10007A" w:rsidR="00CC37BA" w:rsidRPr="00CC37BA" w:rsidRDefault="00CC37BA" w:rsidP="00CC37BA">
            <w:pPr>
              <w:jc w:val="right"/>
              <w:rPr>
                <w:rFonts w:cs="Arial"/>
                <w:color w:val="000000"/>
                <w:sz w:val="20"/>
                <w:szCs w:val="20"/>
                <w:lang w:eastAsia="en-GB"/>
              </w:rPr>
            </w:pPr>
            <w:r w:rsidRPr="00CC37BA">
              <w:rPr>
                <w:rFonts w:cs="Arial"/>
                <w:color w:val="000000"/>
                <w:sz w:val="20"/>
                <w:szCs w:val="20"/>
                <w:lang w:eastAsia="en-GB"/>
              </w:rPr>
              <w:t>1,275</w:t>
            </w:r>
          </w:p>
        </w:tc>
        <w:tc>
          <w:tcPr>
            <w:tcW w:w="1087" w:type="dxa"/>
            <w:tcBorders>
              <w:top w:val="nil"/>
              <w:left w:val="single" w:sz="4" w:space="0" w:color="auto"/>
              <w:bottom w:val="nil"/>
              <w:right w:val="single" w:sz="4" w:space="0" w:color="auto"/>
            </w:tcBorders>
            <w:shd w:val="clear" w:color="auto" w:fill="auto"/>
            <w:noWrap/>
            <w:vAlign w:val="center"/>
            <w:hideMark/>
          </w:tcPr>
          <w:p w14:paraId="21AD1B7D" w14:textId="29950D38" w:rsidR="00CC37BA" w:rsidRPr="00CC37BA" w:rsidRDefault="00355132" w:rsidP="00CC37BA">
            <w:pPr>
              <w:jc w:val="right"/>
              <w:rPr>
                <w:rFonts w:cs="Arial"/>
                <w:color w:val="000000"/>
                <w:sz w:val="20"/>
                <w:szCs w:val="20"/>
                <w:lang w:eastAsia="en-GB"/>
              </w:rPr>
            </w:pPr>
            <w:r>
              <w:rPr>
                <w:rFonts w:cs="Arial"/>
                <w:color w:val="000000"/>
                <w:sz w:val="20"/>
                <w:szCs w:val="20"/>
                <w:lang w:eastAsia="en-GB"/>
              </w:rPr>
              <w:t>(</w:t>
            </w:r>
            <w:r w:rsidR="00CC37BA" w:rsidRPr="00CC37BA">
              <w:rPr>
                <w:rFonts w:cs="Arial"/>
                <w:color w:val="000000"/>
                <w:sz w:val="20"/>
                <w:szCs w:val="20"/>
                <w:lang w:eastAsia="en-GB"/>
              </w:rPr>
              <w:t>28</w:t>
            </w:r>
            <w:r>
              <w:rPr>
                <w:rFonts w:cs="Arial"/>
                <w:color w:val="000000"/>
                <w:sz w:val="20"/>
                <w:szCs w:val="20"/>
                <w:lang w:eastAsia="en-GB"/>
              </w:rPr>
              <w:t>)</w:t>
            </w:r>
          </w:p>
        </w:tc>
        <w:tc>
          <w:tcPr>
            <w:tcW w:w="1017" w:type="dxa"/>
            <w:tcBorders>
              <w:top w:val="nil"/>
              <w:left w:val="nil"/>
              <w:bottom w:val="nil"/>
              <w:right w:val="nil"/>
            </w:tcBorders>
            <w:shd w:val="clear" w:color="000000" w:fill="FFFFFF"/>
            <w:noWrap/>
            <w:vAlign w:val="center"/>
            <w:hideMark/>
          </w:tcPr>
          <w:p w14:paraId="09043E6A" w14:textId="67C41EE7" w:rsidR="00CC37BA" w:rsidRPr="00CC37BA" w:rsidRDefault="00CC37BA" w:rsidP="00CC37BA">
            <w:pPr>
              <w:jc w:val="right"/>
              <w:rPr>
                <w:rFonts w:cs="Arial"/>
                <w:b/>
                <w:bCs/>
                <w:sz w:val="20"/>
                <w:szCs w:val="20"/>
                <w:lang w:eastAsia="en-GB"/>
              </w:rPr>
            </w:pPr>
            <w:r w:rsidRPr="00CC37BA">
              <w:rPr>
                <w:rFonts w:cs="Arial"/>
                <w:b/>
                <w:bCs/>
                <w:sz w:val="20"/>
                <w:szCs w:val="20"/>
                <w:lang w:eastAsia="en-GB"/>
              </w:rPr>
              <w:t>3,</w:t>
            </w:r>
            <w:r w:rsidR="00414686">
              <w:rPr>
                <w:rFonts w:cs="Arial"/>
                <w:b/>
                <w:bCs/>
                <w:sz w:val="20"/>
                <w:szCs w:val="20"/>
                <w:lang w:eastAsia="en-GB"/>
              </w:rPr>
              <w:t>582</w:t>
            </w:r>
          </w:p>
        </w:tc>
        <w:tc>
          <w:tcPr>
            <w:tcW w:w="1027" w:type="dxa"/>
            <w:tcBorders>
              <w:top w:val="nil"/>
              <w:left w:val="single" w:sz="4" w:space="0" w:color="auto"/>
              <w:bottom w:val="nil"/>
              <w:right w:val="single" w:sz="4" w:space="0" w:color="auto"/>
            </w:tcBorders>
            <w:shd w:val="clear" w:color="auto" w:fill="auto"/>
            <w:noWrap/>
            <w:vAlign w:val="center"/>
            <w:hideMark/>
          </w:tcPr>
          <w:p w14:paraId="02DB1E3C" w14:textId="6DF5D8C1" w:rsidR="00CC37BA" w:rsidRPr="00CC37BA" w:rsidRDefault="00CC37BA" w:rsidP="00CC37BA">
            <w:pPr>
              <w:jc w:val="right"/>
              <w:rPr>
                <w:rFonts w:cs="Arial"/>
                <w:color w:val="000000"/>
                <w:sz w:val="20"/>
                <w:szCs w:val="20"/>
                <w:lang w:eastAsia="en-GB"/>
              </w:rPr>
            </w:pPr>
            <w:r w:rsidRPr="00CC37BA">
              <w:rPr>
                <w:rFonts w:cs="Arial"/>
                <w:color w:val="000000"/>
                <w:sz w:val="20"/>
                <w:szCs w:val="20"/>
                <w:lang w:eastAsia="en-GB"/>
              </w:rPr>
              <w:t>3,</w:t>
            </w:r>
            <w:r w:rsidR="00414686">
              <w:rPr>
                <w:rFonts w:cs="Arial"/>
                <w:color w:val="000000"/>
                <w:sz w:val="20"/>
                <w:szCs w:val="20"/>
                <w:lang w:eastAsia="en-GB"/>
              </w:rPr>
              <w:t>582</w:t>
            </w:r>
          </w:p>
        </w:tc>
        <w:tc>
          <w:tcPr>
            <w:tcW w:w="1017" w:type="dxa"/>
            <w:tcBorders>
              <w:top w:val="nil"/>
              <w:left w:val="nil"/>
              <w:bottom w:val="nil"/>
              <w:right w:val="single" w:sz="4" w:space="0" w:color="auto"/>
            </w:tcBorders>
            <w:shd w:val="clear" w:color="000000" w:fill="FFFFFF"/>
            <w:noWrap/>
            <w:vAlign w:val="center"/>
            <w:hideMark/>
          </w:tcPr>
          <w:p w14:paraId="2B23A057" w14:textId="77777777" w:rsidR="00CC37BA" w:rsidRPr="00CC37BA" w:rsidRDefault="00CC37BA" w:rsidP="00CC37BA">
            <w:pPr>
              <w:jc w:val="right"/>
              <w:rPr>
                <w:rFonts w:cs="Arial"/>
                <w:b/>
                <w:bCs/>
                <w:sz w:val="20"/>
                <w:szCs w:val="20"/>
                <w:lang w:eastAsia="en-GB"/>
              </w:rPr>
            </w:pPr>
            <w:r w:rsidRPr="00CC37BA">
              <w:rPr>
                <w:rFonts w:cs="Arial"/>
                <w:b/>
                <w:bCs/>
                <w:sz w:val="20"/>
                <w:szCs w:val="20"/>
                <w:lang w:eastAsia="en-GB"/>
              </w:rPr>
              <w:t>0</w:t>
            </w:r>
          </w:p>
        </w:tc>
      </w:tr>
      <w:tr w:rsidR="00CC37BA" w:rsidRPr="00CC37BA" w14:paraId="71106E39" w14:textId="77777777" w:rsidTr="003662C5">
        <w:trPr>
          <w:trHeight w:val="490"/>
          <w:jc w:val="center"/>
        </w:trPr>
        <w:tc>
          <w:tcPr>
            <w:tcW w:w="3681" w:type="dxa"/>
            <w:tcBorders>
              <w:top w:val="nil"/>
              <w:left w:val="single" w:sz="4" w:space="0" w:color="auto"/>
              <w:bottom w:val="nil"/>
              <w:right w:val="single" w:sz="4" w:space="0" w:color="auto"/>
            </w:tcBorders>
            <w:shd w:val="clear" w:color="auto" w:fill="auto"/>
            <w:noWrap/>
            <w:vAlign w:val="center"/>
            <w:hideMark/>
          </w:tcPr>
          <w:p w14:paraId="55F7249B" w14:textId="77777777" w:rsidR="00CC37BA" w:rsidRPr="00CC37BA" w:rsidRDefault="00CC37BA" w:rsidP="00CC37BA">
            <w:pPr>
              <w:rPr>
                <w:rFonts w:cs="Arial"/>
                <w:color w:val="000000"/>
                <w:sz w:val="20"/>
                <w:szCs w:val="20"/>
                <w:lang w:eastAsia="en-GB"/>
              </w:rPr>
            </w:pPr>
            <w:r w:rsidRPr="00CC37BA">
              <w:rPr>
                <w:rFonts w:cs="Arial"/>
                <w:color w:val="000000"/>
                <w:sz w:val="20"/>
                <w:szCs w:val="20"/>
                <w:lang w:eastAsia="en-GB"/>
              </w:rPr>
              <w:t>Increase/decrease for 2022/23</w:t>
            </w:r>
          </w:p>
        </w:tc>
        <w:tc>
          <w:tcPr>
            <w:tcW w:w="435" w:type="dxa"/>
            <w:tcBorders>
              <w:top w:val="nil"/>
              <w:left w:val="single" w:sz="4" w:space="0" w:color="auto"/>
              <w:bottom w:val="nil"/>
              <w:right w:val="nil"/>
            </w:tcBorders>
            <w:shd w:val="clear" w:color="auto" w:fill="auto"/>
            <w:noWrap/>
            <w:vAlign w:val="center"/>
            <w:hideMark/>
          </w:tcPr>
          <w:p w14:paraId="054440CE" w14:textId="77777777" w:rsidR="00CC37BA" w:rsidRPr="00CC37BA" w:rsidRDefault="00CC37BA" w:rsidP="00CC37BA">
            <w:pPr>
              <w:rPr>
                <w:rFonts w:cs="Arial"/>
                <w:color w:val="000000"/>
                <w:sz w:val="20"/>
                <w:szCs w:val="20"/>
                <w:lang w:eastAsia="en-GB"/>
              </w:rPr>
            </w:pPr>
          </w:p>
        </w:tc>
        <w:tc>
          <w:tcPr>
            <w:tcW w:w="917" w:type="dxa"/>
            <w:tcBorders>
              <w:top w:val="nil"/>
              <w:left w:val="single" w:sz="4" w:space="0" w:color="auto"/>
              <w:bottom w:val="nil"/>
              <w:right w:val="single" w:sz="4" w:space="0" w:color="auto"/>
            </w:tcBorders>
            <w:shd w:val="clear" w:color="auto" w:fill="auto"/>
            <w:noWrap/>
            <w:vAlign w:val="center"/>
            <w:hideMark/>
          </w:tcPr>
          <w:p w14:paraId="2676C0EE" w14:textId="5D21F473" w:rsidR="00CC37BA" w:rsidRPr="00CC37BA" w:rsidRDefault="00355132" w:rsidP="00CC37BA">
            <w:pPr>
              <w:jc w:val="right"/>
              <w:rPr>
                <w:rFonts w:cs="Arial"/>
                <w:color w:val="000000"/>
                <w:sz w:val="20"/>
                <w:szCs w:val="20"/>
                <w:lang w:eastAsia="en-GB"/>
              </w:rPr>
            </w:pPr>
            <w:r>
              <w:rPr>
                <w:rFonts w:cs="Arial"/>
                <w:color w:val="000000"/>
                <w:sz w:val="20"/>
                <w:szCs w:val="20"/>
                <w:lang w:eastAsia="en-GB"/>
              </w:rPr>
              <w:t>(</w:t>
            </w:r>
            <w:r w:rsidR="00CC37BA" w:rsidRPr="00CC37BA">
              <w:rPr>
                <w:rFonts w:cs="Arial"/>
                <w:color w:val="000000"/>
                <w:sz w:val="20"/>
                <w:szCs w:val="20"/>
                <w:lang w:eastAsia="en-GB"/>
              </w:rPr>
              <w:t>124</w:t>
            </w:r>
            <w:r>
              <w:rPr>
                <w:rFonts w:cs="Arial"/>
                <w:color w:val="000000"/>
                <w:sz w:val="20"/>
                <w:szCs w:val="20"/>
                <w:lang w:eastAsia="en-GB"/>
              </w:rPr>
              <w:t>)</w:t>
            </w:r>
          </w:p>
        </w:tc>
        <w:tc>
          <w:tcPr>
            <w:tcW w:w="967" w:type="dxa"/>
            <w:tcBorders>
              <w:top w:val="nil"/>
              <w:left w:val="nil"/>
              <w:bottom w:val="nil"/>
              <w:right w:val="nil"/>
            </w:tcBorders>
            <w:shd w:val="clear" w:color="auto" w:fill="auto"/>
            <w:noWrap/>
            <w:vAlign w:val="center"/>
            <w:hideMark/>
          </w:tcPr>
          <w:p w14:paraId="34D436BD" w14:textId="33EF39C3" w:rsidR="00CC37BA" w:rsidRPr="00CC37BA" w:rsidRDefault="00CC37BA" w:rsidP="00CC37BA">
            <w:pPr>
              <w:jc w:val="right"/>
              <w:rPr>
                <w:rFonts w:cs="Arial"/>
                <w:color w:val="000000"/>
                <w:sz w:val="20"/>
                <w:szCs w:val="20"/>
                <w:lang w:eastAsia="en-GB"/>
              </w:rPr>
            </w:pPr>
            <w:r w:rsidRPr="00CC37BA">
              <w:rPr>
                <w:rFonts w:cs="Arial"/>
                <w:color w:val="000000"/>
                <w:sz w:val="20"/>
                <w:szCs w:val="20"/>
                <w:lang w:eastAsia="en-GB"/>
              </w:rPr>
              <w:t>1,275</w:t>
            </w:r>
          </w:p>
        </w:tc>
        <w:tc>
          <w:tcPr>
            <w:tcW w:w="1087" w:type="dxa"/>
            <w:tcBorders>
              <w:top w:val="nil"/>
              <w:left w:val="single" w:sz="4" w:space="0" w:color="auto"/>
              <w:bottom w:val="nil"/>
              <w:right w:val="single" w:sz="4" w:space="0" w:color="auto"/>
            </w:tcBorders>
            <w:shd w:val="clear" w:color="auto" w:fill="auto"/>
            <w:noWrap/>
            <w:vAlign w:val="center"/>
            <w:hideMark/>
          </w:tcPr>
          <w:p w14:paraId="4C44C70D" w14:textId="7894C64D" w:rsidR="00CC37BA" w:rsidRPr="00CC37BA" w:rsidRDefault="00355132" w:rsidP="00CC37BA">
            <w:pPr>
              <w:jc w:val="right"/>
              <w:rPr>
                <w:rFonts w:cs="Arial"/>
                <w:color w:val="000000"/>
                <w:sz w:val="20"/>
                <w:szCs w:val="20"/>
                <w:lang w:eastAsia="en-GB"/>
              </w:rPr>
            </w:pPr>
            <w:r>
              <w:rPr>
                <w:rFonts w:cs="Arial"/>
                <w:color w:val="000000"/>
                <w:sz w:val="20"/>
                <w:szCs w:val="20"/>
                <w:lang w:eastAsia="en-GB"/>
              </w:rPr>
              <w:t>(</w:t>
            </w:r>
            <w:r w:rsidR="00CC37BA" w:rsidRPr="00CC37BA">
              <w:rPr>
                <w:rFonts w:cs="Arial"/>
                <w:color w:val="000000"/>
                <w:sz w:val="20"/>
                <w:szCs w:val="20"/>
                <w:lang w:eastAsia="en-GB"/>
              </w:rPr>
              <w:t>28</w:t>
            </w:r>
            <w:r>
              <w:rPr>
                <w:rFonts w:cs="Arial"/>
                <w:color w:val="000000"/>
                <w:sz w:val="20"/>
                <w:szCs w:val="20"/>
                <w:lang w:eastAsia="en-GB"/>
              </w:rPr>
              <w:t>)</w:t>
            </w:r>
          </w:p>
        </w:tc>
        <w:tc>
          <w:tcPr>
            <w:tcW w:w="1017" w:type="dxa"/>
            <w:tcBorders>
              <w:top w:val="nil"/>
              <w:left w:val="nil"/>
              <w:bottom w:val="nil"/>
              <w:right w:val="nil"/>
            </w:tcBorders>
            <w:shd w:val="clear" w:color="auto" w:fill="auto"/>
            <w:noWrap/>
            <w:vAlign w:val="center"/>
            <w:hideMark/>
          </w:tcPr>
          <w:p w14:paraId="05952820" w14:textId="69E2688B" w:rsidR="00CC37BA" w:rsidRPr="00CC37BA" w:rsidRDefault="00CC37BA" w:rsidP="00CC37BA">
            <w:pPr>
              <w:jc w:val="right"/>
              <w:rPr>
                <w:rFonts w:cs="Arial"/>
                <w:b/>
                <w:bCs/>
                <w:color w:val="000000"/>
                <w:sz w:val="20"/>
                <w:szCs w:val="20"/>
                <w:lang w:eastAsia="en-GB"/>
              </w:rPr>
            </w:pPr>
            <w:r w:rsidRPr="00CC37BA">
              <w:rPr>
                <w:rFonts w:cs="Arial"/>
                <w:b/>
                <w:bCs/>
                <w:color w:val="000000"/>
                <w:sz w:val="20"/>
                <w:szCs w:val="20"/>
                <w:lang w:eastAsia="en-GB"/>
              </w:rPr>
              <w:t>1,123</w:t>
            </w:r>
          </w:p>
        </w:tc>
        <w:tc>
          <w:tcPr>
            <w:tcW w:w="1027" w:type="dxa"/>
            <w:tcBorders>
              <w:top w:val="nil"/>
              <w:left w:val="single" w:sz="4" w:space="0" w:color="auto"/>
              <w:bottom w:val="nil"/>
              <w:right w:val="single" w:sz="4" w:space="0" w:color="auto"/>
            </w:tcBorders>
            <w:shd w:val="clear" w:color="auto" w:fill="auto"/>
            <w:noWrap/>
            <w:vAlign w:val="center"/>
            <w:hideMark/>
          </w:tcPr>
          <w:p w14:paraId="46310467" w14:textId="463C82F5" w:rsidR="00CC37BA" w:rsidRPr="00CC37BA" w:rsidRDefault="00CC37BA" w:rsidP="00CC37BA">
            <w:pPr>
              <w:jc w:val="right"/>
              <w:rPr>
                <w:rFonts w:cs="Arial"/>
                <w:color w:val="000000"/>
                <w:sz w:val="20"/>
                <w:szCs w:val="20"/>
                <w:lang w:eastAsia="en-GB"/>
              </w:rPr>
            </w:pPr>
            <w:r w:rsidRPr="00CC37BA">
              <w:rPr>
                <w:rFonts w:cs="Arial"/>
                <w:color w:val="000000"/>
                <w:sz w:val="20"/>
                <w:szCs w:val="20"/>
                <w:lang w:eastAsia="en-GB"/>
              </w:rPr>
              <w:t>22,</w:t>
            </w:r>
            <w:r w:rsidR="00414686">
              <w:rPr>
                <w:rFonts w:cs="Arial"/>
                <w:color w:val="000000"/>
                <w:sz w:val="20"/>
                <w:szCs w:val="20"/>
                <w:lang w:eastAsia="en-GB"/>
              </w:rPr>
              <w:t>660</w:t>
            </w:r>
          </w:p>
        </w:tc>
        <w:tc>
          <w:tcPr>
            <w:tcW w:w="1017" w:type="dxa"/>
            <w:tcBorders>
              <w:top w:val="nil"/>
              <w:left w:val="nil"/>
              <w:bottom w:val="nil"/>
              <w:right w:val="single" w:sz="4" w:space="0" w:color="auto"/>
            </w:tcBorders>
            <w:shd w:val="clear" w:color="auto" w:fill="auto"/>
            <w:noWrap/>
            <w:vAlign w:val="center"/>
            <w:hideMark/>
          </w:tcPr>
          <w:p w14:paraId="6182C6C5" w14:textId="03C45F90" w:rsidR="00CC37BA" w:rsidRPr="00CC37BA" w:rsidRDefault="00CC37BA" w:rsidP="00CC37BA">
            <w:pPr>
              <w:jc w:val="right"/>
              <w:rPr>
                <w:rFonts w:cs="Arial"/>
                <w:b/>
                <w:bCs/>
                <w:color w:val="000000"/>
                <w:sz w:val="20"/>
                <w:szCs w:val="20"/>
                <w:lang w:eastAsia="en-GB"/>
              </w:rPr>
            </w:pPr>
            <w:r w:rsidRPr="00CC37BA">
              <w:rPr>
                <w:rFonts w:cs="Arial"/>
                <w:b/>
                <w:bCs/>
                <w:color w:val="000000"/>
                <w:sz w:val="20"/>
                <w:szCs w:val="20"/>
                <w:lang w:eastAsia="en-GB"/>
              </w:rPr>
              <w:t>23,</w:t>
            </w:r>
            <w:r w:rsidR="005D6A99">
              <w:rPr>
                <w:rFonts w:cs="Arial"/>
                <w:b/>
                <w:bCs/>
                <w:color w:val="000000"/>
                <w:sz w:val="20"/>
                <w:szCs w:val="20"/>
                <w:lang w:eastAsia="en-GB"/>
              </w:rPr>
              <w:t>804</w:t>
            </w:r>
          </w:p>
        </w:tc>
      </w:tr>
      <w:tr w:rsidR="00CC37BA" w:rsidRPr="00CC37BA" w14:paraId="7491B8C2" w14:textId="77777777" w:rsidTr="003662C5">
        <w:trPr>
          <w:trHeight w:val="490"/>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167D0" w14:textId="77777777" w:rsidR="00CC37BA" w:rsidRPr="00CC37BA" w:rsidRDefault="00CC37BA" w:rsidP="00CC37BA">
            <w:pPr>
              <w:rPr>
                <w:rFonts w:cs="Arial"/>
                <w:b/>
                <w:bCs/>
                <w:color w:val="000000"/>
                <w:sz w:val="20"/>
                <w:szCs w:val="20"/>
                <w:lang w:eastAsia="en-GB"/>
              </w:rPr>
            </w:pPr>
            <w:r w:rsidRPr="00CC37BA">
              <w:rPr>
                <w:rFonts w:cs="Arial"/>
                <w:b/>
                <w:bCs/>
                <w:color w:val="000000"/>
                <w:sz w:val="20"/>
                <w:szCs w:val="20"/>
                <w:lang w:eastAsia="en-GB"/>
              </w:rPr>
              <w:t>Balance at 31 March 2023 carried forward</w:t>
            </w:r>
          </w:p>
        </w:tc>
        <w:tc>
          <w:tcPr>
            <w:tcW w:w="435" w:type="dxa"/>
            <w:tcBorders>
              <w:top w:val="single" w:sz="4" w:space="0" w:color="auto"/>
              <w:left w:val="single" w:sz="4" w:space="0" w:color="auto"/>
              <w:bottom w:val="single" w:sz="4" w:space="0" w:color="auto"/>
              <w:right w:val="nil"/>
            </w:tcBorders>
            <w:shd w:val="clear" w:color="auto" w:fill="auto"/>
            <w:noWrap/>
            <w:vAlign w:val="center"/>
            <w:hideMark/>
          </w:tcPr>
          <w:p w14:paraId="19D847A5" w14:textId="77777777" w:rsidR="00CC37BA" w:rsidRPr="00CC37BA" w:rsidRDefault="00CC37BA" w:rsidP="00CC37BA">
            <w:pPr>
              <w:jc w:val="center"/>
              <w:rPr>
                <w:rFonts w:cs="Arial"/>
                <w:b/>
                <w:bCs/>
                <w:color w:val="000000"/>
                <w:sz w:val="20"/>
                <w:szCs w:val="20"/>
                <w:lang w:eastAsia="en-GB"/>
              </w:rPr>
            </w:pPr>
            <w:r w:rsidRPr="00CC37BA">
              <w:rPr>
                <w:rFonts w:cs="Arial"/>
                <w:b/>
                <w:bCs/>
                <w:color w:val="000000"/>
                <w:sz w:val="20"/>
                <w:szCs w:val="20"/>
                <w:lang w:eastAsia="en-GB"/>
              </w:rPr>
              <w:t> </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13772" w14:textId="7B87C7D3" w:rsidR="00CC37BA" w:rsidRPr="00CC37BA" w:rsidRDefault="00CC37BA" w:rsidP="00CC37BA">
            <w:pPr>
              <w:jc w:val="right"/>
              <w:rPr>
                <w:rFonts w:cs="Arial"/>
                <w:b/>
                <w:bCs/>
                <w:color w:val="000000"/>
                <w:sz w:val="20"/>
                <w:szCs w:val="20"/>
                <w:lang w:eastAsia="en-GB"/>
              </w:rPr>
            </w:pPr>
            <w:r w:rsidRPr="00CC37BA">
              <w:rPr>
                <w:rFonts w:cs="Arial"/>
                <w:b/>
                <w:bCs/>
                <w:color w:val="000000"/>
                <w:sz w:val="20"/>
                <w:szCs w:val="20"/>
                <w:lang w:eastAsia="en-GB"/>
              </w:rPr>
              <w:t>3,411</w:t>
            </w:r>
          </w:p>
        </w:tc>
        <w:tc>
          <w:tcPr>
            <w:tcW w:w="967" w:type="dxa"/>
            <w:tcBorders>
              <w:top w:val="single" w:sz="4" w:space="0" w:color="auto"/>
              <w:left w:val="nil"/>
              <w:bottom w:val="single" w:sz="4" w:space="0" w:color="auto"/>
              <w:right w:val="nil"/>
            </w:tcBorders>
            <w:shd w:val="clear" w:color="auto" w:fill="auto"/>
            <w:noWrap/>
            <w:vAlign w:val="center"/>
            <w:hideMark/>
          </w:tcPr>
          <w:p w14:paraId="75F8D439" w14:textId="2309EFA0" w:rsidR="00CC37BA" w:rsidRPr="00CC37BA" w:rsidRDefault="00CC37BA" w:rsidP="00CC37BA">
            <w:pPr>
              <w:jc w:val="right"/>
              <w:rPr>
                <w:rFonts w:cs="Arial"/>
                <w:b/>
                <w:bCs/>
                <w:color w:val="000000"/>
                <w:sz w:val="20"/>
                <w:szCs w:val="20"/>
                <w:lang w:eastAsia="en-GB"/>
              </w:rPr>
            </w:pPr>
            <w:r w:rsidRPr="00CC37BA">
              <w:rPr>
                <w:rFonts w:cs="Arial"/>
                <w:b/>
                <w:bCs/>
                <w:color w:val="000000"/>
                <w:sz w:val="20"/>
                <w:szCs w:val="20"/>
                <w:lang w:eastAsia="en-GB"/>
              </w:rPr>
              <w:t>1,275</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2774E" w14:textId="4F3A9E46" w:rsidR="00CC37BA" w:rsidRPr="00CC37BA" w:rsidRDefault="00CC37BA" w:rsidP="00CC37BA">
            <w:pPr>
              <w:jc w:val="right"/>
              <w:rPr>
                <w:rFonts w:cs="Arial"/>
                <w:b/>
                <w:bCs/>
                <w:color w:val="000000"/>
                <w:sz w:val="20"/>
                <w:szCs w:val="20"/>
                <w:lang w:eastAsia="en-GB"/>
              </w:rPr>
            </w:pPr>
            <w:r w:rsidRPr="00CC37BA">
              <w:rPr>
                <w:rFonts w:cs="Arial"/>
                <w:b/>
                <w:bCs/>
                <w:color w:val="000000"/>
                <w:sz w:val="20"/>
                <w:szCs w:val="20"/>
                <w:lang w:eastAsia="en-GB"/>
              </w:rPr>
              <w:t>255</w:t>
            </w:r>
          </w:p>
        </w:tc>
        <w:tc>
          <w:tcPr>
            <w:tcW w:w="1017" w:type="dxa"/>
            <w:tcBorders>
              <w:top w:val="single" w:sz="4" w:space="0" w:color="auto"/>
              <w:left w:val="nil"/>
              <w:bottom w:val="single" w:sz="4" w:space="0" w:color="auto"/>
              <w:right w:val="nil"/>
            </w:tcBorders>
            <w:shd w:val="clear" w:color="auto" w:fill="auto"/>
            <w:noWrap/>
            <w:vAlign w:val="center"/>
            <w:hideMark/>
          </w:tcPr>
          <w:p w14:paraId="21D7DB0E" w14:textId="7E886B22" w:rsidR="00CC37BA" w:rsidRPr="00CC37BA" w:rsidRDefault="00CC37BA" w:rsidP="00355132">
            <w:pPr>
              <w:jc w:val="center"/>
              <w:rPr>
                <w:rFonts w:cs="Arial"/>
                <w:b/>
                <w:bCs/>
                <w:color w:val="000000"/>
                <w:sz w:val="20"/>
                <w:szCs w:val="20"/>
                <w:lang w:eastAsia="en-GB"/>
              </w:rPr>
            </w:pPr>
            <w:r w:rsidRPr="00CC37BA">
              <w:rPr>
                <w:rFonts w:cs="Arial"/>
                <w:b/>
                <w:bCs/>
                <w:color w:val="000000"/>
                <w:sz w:val="20"/>
                <w:szCs w:val="20"/>
                <w:lang w:eastAsia="en-GB"/>
              </w:rPr>
              <w:t>4,941</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B7B41" w14:textId="5282FE99" w:rsidR="00CC37BA" w:rsidRPr="00CC37BA" w:rsidRDefault="00414686" w:rsidP="00CC37BA">
            <w:pPr>
              <w:jc w:val="right"/>
              <w:rPr>
                <w:rFonts w:cs="Arial"/>
                <w:b/>
                <w:bCs/>
                <w:color w:val="000000"/>
                <w:sz w:val="20"/>
                <w:szCs w:val="20"/>
                <w:lang w:eastAsia="en-GB"/>
              </w:rPr>
            </w:pPr>
            <w:r>
              <w:rPr>
                <w:rFonts w:cs="Arial"/>
                <w:b/>
                <w:bCs/>
                <w:color w:val="000000"/>
                <w:sz w:val="20"/>
                <w:szCs w:val="20"/>
                <w:lang w:eastAsia="en-GB"/>
              </w:rPr>
              <w:t>40,173</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7AB45E47" w14:textId="7D00BD7D" w:rsidR="00CC37BA" w:rsidRPr="00CC37BA" w:rsidRDefault="00CC37BA" w:rsidP="00CC37BA">
            <w:pPr>
              <w:jc w:val="right"/>
              <w:rPr>
                <w:rFonts w:cs="Arial"/>
                <w:b/>
                <w:bCs/>
                <w:color w:val="000000"/>
                <w:sz w:val="20"/>
                <w:szCs w:val="20"/>
                <w:lang w:eastAsia="en-GB"/>
              </w:rPr>
            </w:pPr>
            <w:r w:rsidRPr="00CC37BA">
              <w:rPr>
                <w:rFonts w:cs="Arial"/>
                <w:b/>
                <w:bCs/>
                <w:color w:val="000000"/>
                <w:sz w:val="20"/>
                <w:szCs w:val="20"/>
                <w:lang w:eastAsia="en-GB"/>
              </w:rPr>
              <w:t>4</w:t>
            </w:r>
            <w:r w:rsidR="00414686">
              <w:rPr>
                <w:rFonts w:cs="Arial"/>
                <w:b/>
                <w:bCs/>
                <w:color w:val="000000"/>
                <w:sz w:val="20"/>
                <w:szCs w:val="20"/>
                <w:lang w:eastAsia="en-GB"/>
              </w:rPr>
              <w:t>5,1</w:t>
            </w:r>
            <w:r w:rsidR="005D6A99">
              <w:rPr>
                <w:rFonts w:cs="Arial"/>
                <w:b/>
                <w:bCs/>
                <w:color w:val="000000"/>
                <w:sz w:val="20"/>
                <w:szCs w:val="20"/>
                <w:lang w:eastAsia="en-GB"/>
              </w:rPr>
              <w:t>35</w:t>
            </w:r>
          </w:p>
        </w:tc>
      </w:tr>
    </w:tbl>
    <w:p w14:paraId="43FDB37F" w14:textId="77777777" w:rsidR="00CC37BA" w:rsidRPr="00CC37BA" w:rsidRDefault="00CC37BA" w:rsidP="00CA7A05">
      <w:pPr>
        <w:tabs>
          <w:tab w:val="left" w:pos="0"/>
        </w:tabs>
        <w:jc w:val="center"/>
        <w:rPr>
          <w:rFonts w:cs="Arial"/>
          <w:b/>
          <w:sz w:val="28"/>
          <w:szCs w:val="28"/>
        </w:rPr>
      </w:pPr>
    </w:p>
    <w:p w14:paraId="485A459F" w14:textId="77777777" w:rsidR="00976EED" w:rsidRDefault="00976EED" w:rsidP="00976EED">
      <w:pPr>
        <w:tabs>
          <w:tab w:val="left" w:pos="0"/>
        </w:tabs>
        <w:rPr>
          <w:rFonts w:cs="Arial"/>
          <w:b/>
          <w:sz w:val="28"/>
          <w:szCs w:val="28"/>
        </w:rPr>
      </w:pPr>
    </w:p>
    <w:p w14:paraId="26497716" w14:textId="01AEBA2C" w:rsidR="009F03E4" w:rsidRPr="009F03E4" w:rsidRDefault="009F03E4" w:rsidP="00976EED">
      <w:pPr>
        <w:tabs>
          <w:tab w:val="left" w:pos="0"/>
        </w:tabs>
        <w:rPr>
          <w:rFonts w:cs="Arial"/>
          <w:bCs/>
        </w:rPr>
      </w:pPr>
      <w:r w:rsidRPr="009F03E4">
        <w:rPr>
          <w:rFonts w:cs="Arial"/>
          <w:bCs/>
        </w:rPr>
        <w:t>The equivalent figures for 2021/22 were:</w:t>
      </w:r>
    </w:p>
    <w:p w14:paraId="67CD22AF" w14:textId="77777777" w:rsidR="009F03E4" w:rsidRPr="00CC37BA" w:rsidRDefault="009F03E4" w:rsidP="00976EED">
      <w:pPr>
        <w:tabs>
          <w:tab w:val="left" w:pos="0"/>
        </w:tabs>
        <w:rPr>
          <w:rFonts w:cs="Arial"/>
          <w:b/>
          <w:sz w:val="28"/>
          <w:szCs w:val="28"/>
        </w:rPr>
      </w:pPr>
    </w:p>
    <w:p w14:paraId="0C877F3A" w14:textId="3CC12A5D" w:rsidR="00C5297D" w:rsidRPr="00CC37BA" w:rsidRDefault="00E85229" w:rsidP="003662C5">
      <w:pPr>
        <w:tabs>
          <w:tab w:val="left" w:pos="0"/>
        </w:tabs>
        <w:jc w:val="center"/>
        <w:rPr>
          <w:rFonts w:cs="Arial"/>
          <w:b/>
          <w:sz w:val="28"/>
          <w:szCs w:val="28"/>
        </w:rPr>
      </w:pPr>
      <w:r w:rsidRPr="00CC37BA">
        <w:rPr>
          <w:noProof/>
          <w:lang w:eastAsia="en-GB"/>
        </w:rPr>
        <w:drawing>
          <wp:inline distT="0" distB="0" distL="0" distR="0" wp14:anchorId="79E0A7C7" wp14:editId="5B793280">
            <wp:extent cx="6660515" cy="2715683"/>
            <wp:effectExtent l="0" t="0" r="6985" b="889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0515" cy="2715683"/>
                    </a:xfrm>
                    <a:prstGeom prst="rect">
                      <a:avLst/>
                    </a:prstGeom>
                    <a:noFill/>
                    <a:ln>
                      <a:noFill/>
                    </a:ln>
                  </pic:spPr>
                </pic:pic>
              </a:graphicData>
            </a:graphic>
          </wp:inline>
        </w:drawing>
      </w:r>
    </w:p>
    <w:p w14:paraId="452884C6" w14:textId="77777777" w:rsidR="00C5297D" w:rsidRPr="00CC37BA" w:rsidRDefault="00C5297D" w:rsidP="00976EED">
      <w:pPr>
        <w:tabs>
          <w:tab w:val="left" w:pos="0"/>
        </w:tabs>
        <w:rPr>
          <w:rFonts w:cs="Arial"/>
          <w:b/>
          <w:sz w:val="28"/>
          <w:szCs w:val="28"/>
        </w:rPr>
      </w:pPr>
    </w:p>
    <w:p w14:paraId="34F6C667" w14:textId="77777777" w:rsidR="00BA639D" w:rsidRPr="00CC37BA" w:rsidRDefault="00BA639D" w:rsidP="00BA639D">
      <w:pPr>
        <w:rPr>
          <w:u w:val="single"/>
        </w:rPr>
      </w:pPr>
    </w:p>
    <w:p w14:paraId="7A261C2B" w14:textId="77777777" w:rsidR="00BA639D" w:rsidRPr="00CC37BA" w:rsidRDefault="00BA639D" w:rsidP="00BA639D">
      <w:pPr>
        <w:ind w:left="360"/>
        <w:rPr>
          <w:rFonts w:cs="Arial"/>
        </w:rPr>
      </w:pPr>
      <w:r w:rsidRPr="00CC37BA">
        <w:rPr>
          <w:rFonts w:cs="Arial"/>
        </w:rPr>
        <w:t>This Statement shows the movement in the year on the different reserves held by the Authority, analysed into ‘usable reserves’ (i.e. those that can be applied to fund expenditure or reduce local taxation) and unusable reserves. The ‘Surplus or (deficit) on the provision of services’ line shows the true economic cost of providing the Authority’s services, more details of which are shown in the Comprehensive Income and Expenditure Statement. These are different from the statutory amounts required to be charged to the General Reserve Balance. The ‘Net increase/decrease before transfers to earmarked reserves’ line shows the statutory General Reserve Balance before any transfers to or from earmarked reserves undertaken by the Authority.</w:t>
      </w:r>
    </w:p>
    <w:p w14:paraId="485A45A0" w14:textId="23138F67" w:rsidR="00E96705" w:rsidRDefault="00E96705" w:rsidP="00736A9F">
      <w:pPr>
        <w:tabs>
          <w:tab w:val="left" w:pos="0"/>
        </w:tabs>
        <w:rPr>
          <w:highlight w:val="yellow"/>
        </w:rPr>
      </w:pPr>
    </w:p>
    <w:p w14:paraId="14A3EAA1" w14:textId="77777777" w:rsidR="00CC37BA" w:rsidRDefault="00CC37BA" w:rsidP="00736A9F">
      <w:pPr>
        <w:tabs>
          <w:tab w:val="left" w:pos="0"/>
        </w:tabs>
        <w:rPr>
          <w:highlight w:val="yellow"/>
        </w:rPr>
      </w:pPr>
    </w:p>
    <w:p w14:paraId="3C2B63FB" w14:textId="77777777" w:rsidR="00CC37BA" w:rsidRDefault="00CC37BA" w:rsidP="00736A9F">
      <w:pPr>
        <w:tabs>
          <w:tab w:val="left" w:pos="0"/>
        </w:tabs>
        <w:rPr>
          <w:highlight w:val="yellow"/>
        </w:rPr>
      </w:pPr>
    </w:p>
    <w:p w14:paraId="1EC15C02" w14:textId="77777777" w:rsidR="00CC37BA" w:rsidRDefault="00CC37BA" w:rsidP="00736A9F">
      <w:pPr>
        <w:tabs>
          <w:tab w:val="left" w:pos="0"/>
        </w:tabs>
        <w:rPr>
          <w:highlight w:val="yellow"/>
        </w:rPr>
      </w:pPr>
    </w:p>
    <w:p w14:paraId="687C4DB2" w14:textId="77777777" w:rsidR="00CC37BA" w:rsidRDefault="00CC37BA" w:rsidP="00736A9F">
      <w:pPr>
        <w:tabs>
          <w:tab w:val="left" w:pos="0"/>
        </w:tabs>
        <w:rPr>
          <w:highlight w:val="yellow"/>
        </w:rPr>
      </w:pPr>
    </w:p>
    <w:p w14:paraId="1D630964" w14:textId="77777777" w:rsidR="00CC37BA" w:rsidRDefault="00CC37BA" w:rsidP="00736A9F">
      <w:pPr>
        <w:tabs>
          <w:tab w:val="left" w:pos="0"/>
        </w:tabs>
        <w:rPr>
          <w:highlight w:val="yellow"/>
        </w:rPr>
      </w:pPr>
    </w:p>
    <w:p w14:paraId="485A45A4" w14:textId="2AE4A1AC" w:rsidR="00121B76" w:rsidRPr="00BA639D" w:rsidRDefault="00736A9F" w:rsidP="00E0332A">
      <w:pPr>
        <w:pStyle w:val="HEADING"/>
        <w:ind w:left="-426" w:firstLine="426"/>
        <w:jc w:val="center"/>
        <w:rPr>
          <w:sz w:val="28"/>
          <w:szCs w:val="28"/>
        </w:rPr>
      </w:pPr>
      <w:r w:rsidRPr="00BA639D">
        <w:rPr>
          <w:sz w:val="28"/>
          <w:szCs w:val="28"/>
        </w:rPr>
        <w:lastRenderedPageBreak/>
        <w:t>B</w:t>
      </w:r>
      <w:r w:rsidR="00E00863" w:rsidRPr="00BA639D">
        <w:rPr>
          <w:sz w:val="28"/>
          <w:szCs w:val="28"/>
        </w:rPr>
        <w:t>ALANCE SHEET</w:t>
      </w:r>
    </w:p>
    <w:p w14:paraId="485A45A6" w14:textId="79AAF6AA" w:rsidR="00033C43" w:rsidRPr="00BA639D" w:rsidRDefault="0004250A" w:rsidP="00B700D4">
      <w:pPr>
        <w:pStyle w:val="HEADING"/>
        <w:rPr>
          <w:b w:val="0"/>
          <w:szCs w:val="24"/>
        </w:rPr>
      </w:pPr>
      <w:r w:rsidRPr="00BA639D">
        <w:rPr>
          <w:szCs w:val="24"/>
        </w:rPr>
        <w:t xml:space="preserve"> </w:t>
      </w:r>
    </w:p>
    <w:p w14:paraId="05BF4B59" w14:textId="3D18468A" w:rsidR="00F04D04" w:rsidRPr="009F03E4" w:rsidRDefault="00C3098D" w:rsidP="00C5297D">
      <w:pPr>
        <w:pStyle w:val="HEADING"/>
        <w:rPr>
          <w:b w:val="0"/>
          <w:sz w:val="23"/>
        </w:rPr>
      </w:pPr>
      <w:r w:rsidRPr="009F03E4">
        <w:rPr>
          <w:b w:val="0"/>
          <w:sz w:val="23"/>
        </w:rPr>
        <w:t>The</w:t>
      </w:r>
      <w:r w:rsidR="00D3771C" w:rsidRPr="009F03E4">
        <w:rPr>
          <w:b w:val="0"/>
          <w:sz w:val="23"/>
        </w:rPr>
        <w:t xml:space="preserve"> </w:t>
      </w:r>
      <w:r w:rsidR="0004250A" w:rsidRPr="009F03E4">
        <w:rPr>
          <w:b w:val="0"/>
          <w:sz w:val="23"/>
        </w:rPr>
        <w:t>Accounts have been prepared in accordance with the requirements of the code and give a true and fair view of the financial position of the Authority as at 31 March 20</w:t>
      </w:r>
      <w:r w:rsidR="00F8651B" w:rsidRPr="009F03E4">
        <w:rPr>
          <w:b w:val="0"/>
          <w:sz w:val="23"/>
        </w:rPr>
        <w:t>2</w:t>
      </w:r>
      <w:r w:rsidR="00BA639D" w:rsidRPr="009F03E4">
        <w:rPr>
          <w:b w:val="0"/>
          <w:sz w:val="23"/>
        </w:rPr>
        <w:t>3</w:t>
      </w:r>
      <w:r w:rsidR="0004250A" w:rsidRPr="009F03E4">
        <w:rPr>
          <w:b w:val="0"/>
          <w:sz w:val="23"/>
        </w:rPr>
        <w:t xml:space="preserve"> and its income and expenditure for the year then ended.</w:t>
      </w:r>
      <w:r w:rsidR="000A7028" w:rsidRPr="009F03E4">
        <w:rPr>
          <w:b w:val="0"/>
          <w:sz w:val="23"/>
        </w:rPr>
        <w:t xml:space="preserve"> The unaudited accounts were issued on </w:t>
      </w:r>
      <w:r w:rsidR="00BA639D" w:rsidRPr="009F03E4">
        <w:rPr>
          <w:b w:val="0"/>
          <w:sz w:val="23"/>
        </w:rPr>
        <w:t>31</w:t>
      </w:r>
      <w:r w:rsidR="000A7028" w:rsidRPr="009F03E4">
        <w:rPr>
          <w:b w:val="0"/>
          <w:sz w:val="23"/>
        </w:rPr>
        <w:t xml:space="preserve"> </w:t>
      </w:r>
      <w:r w:rsidR="00BA639D" w:rsidRPr="009F03E4">
        <w:rPr>
          <w:b w:val="0"/>
          <w:sz w:val="23"/>
        </w:rPr>
        <w:t>May</w:t>
      </w:r>
      <w:r w:rsidR="000A7028" w:rsidRPr="009F03E4">
        <w:rPr>
          <w:b w:val="0"/>
          <w:sz w:val="23"/>
        </w:rPr>
        <w:t xml:space="preserve"> 202</w:t>
      </w:r>
      <w:r w:rsidR="00BA639D" w:rsidRPr="009F03E4">
        <w:rPr>
          <w:b w:val="0"/>
          <w:sz w:val="23"/>
        </w:rPr>
        <w:t>3.</w:t>
      </w:r>
    </w:p>
    <w:p w14:paraId="485A45AA" w14:textId="5891E9D7" w:rsidR="0004250A" w:rsidRPr="004D5CA8" w:rsidRDefault="0004250A" w:rsidP="00B700D4">
      <w:pPr>
        <w:tabs>
          <w:tab w:val="left" w:pos="0"/>
        </w:tabs>
        <w:rPr>
          <w:b/>
          <w:sz w:val="28"/>
          <w:szCs w:val="28"/>
          <w:highlight w:val="yellow"/>
        </w:rPr>
      </w:pPr>
    </w:p>
    <w:tbl>
      <w:tblPr>
        <w:tblW w:w="9352" w:type="dxa"/>
        <w:jc w:val="center"/>
        <w:tblLook w:val="04A0" w:firstRow="1" w:lastRow="0" w:firstColumn="1" w:lastColumn="0" w:noHBand="0" w:noVBand="1"/>
      </w:tblPr>
      <w:tblGrid>
        <w:gridCol w:w="1555"/>
        <w:gridCol w:w="425"/>
        <w:gridCol w:w="5245"/>
        <w:gridCol w:w="731"/>
        <w:gridCol w:w="1396"/>
      </w:tblGrid>
      <w:tr w:rsidR="00CC37BA" w:rsidRPr="009F03E4" w14:paraId="07B7ED42" w14:textId="77777777" w:rsidTr="009F03E4">
        <w:trPr>
          <w:trHeight w:val="80"/>
          <w:jc w:val="center"/>
        </w:trPr>
        <w:tc>
          <w:tcPr>
            <w:tcW w:w="1555" w:type="dxa"/>
            <w:tcBorders>
              <w:top w:val="nil"/>
              <w:left w:val="single" w:sz="4" w:space="0" w:color="auto"/>
              <w:bottom w:val="nil"/>
              <w:right w:val="nil"/>
            </w:tcBorders>
            <w:shd w:val="clear" w:color="000000" w:fill="000000"/>
            <w:vAlign w:val="center"/>
            <w:hideMark/>
          </w:tcPr>
          <w:p w14:paraId="6A7F1249" w14:textId="77777777" w:rsidR="00CC37BA" w:rsidRPr="009F03E4" w:rsidRDefault="00CC37BA" w:rsidP="00CC37BA">
            <w:pPr>
              <w:jc w:val="center"/>
              <w:rPr>
                <w:rFonts w:cs="Arial"/>
                <w:b/>
                <w:bCs/>
                <w:color w:val="FFFFFF"/>
                <w:sz w:val="18"/>
                <w:szCs w:val="18"/>
                <w:lang w:eastAsia="en-GB"/>
              </w:rPr>
            </w:pPr>
            <w:r w:rsidRPr="009F03E4">
              <w:rPr>
                <w:rFonts w:cs="Arial"/>
                <w:b/>
                <w:bCs/>
                <w:color w:val="FFFFFF"/>
                <w:sz w:val="18"/>
                <w:szCs w:val="18"/>
                <w:lang w:eastAsia="en-GB"/>
              </w:rPr>
              <w:t>31/03/2022</w:t>
            </w:r>
          </w:p>
        </w:tc>
        <w:tc>
          <w:tcPr>
            <w:tcW w:w="425" w:type="dxa"/>
            <w:tcBorders>
              <w:top w:val="nil"/>
              <w:left w:val="nil"/>
              <w:bottom w:val="nil"/>
              <w:right w:val="nil"/>
            </w:tcBorders>
            <w:shd w:val="clear" w:color="000000" w:fill="000000"/>
            <w:vAlign w:val="center"/>
            <w:hideMark/>
          </w:tcPr>
          <w:p w14:paraId="27ED5E67" w14:textId="77777777" w:rsidR="00CC37BA" w:rsidRPr="009F03E4" w:rsidRDefault="00CC37BA" w:rsidP="00CC37BA">
            <w:pPr>
              <w:jc w:val="center"/>
              <w:rPr>
                <w:rFonts w:cs="Arial"/>
                <w:b/>
                <w:bCs/>
                <w:color w:val="FFFFFF"/>
                <w:sz w:val="18"/>
                <w:szCs w:val="18"/>
                <w:lang w:eastAsia="en-GB"/>
              </w:rPr>
            </w:pPr>
            <w:r w:rsidRPr="009F03E4">
              <w:rPr>
                <w:rFonts w:cs="Arial"/>
                <w:b/>
                <w:bCs/>
                <w:color w:val="FFFFFF"/>
                <w:sz w:val="18"/>
                <w:szCs w:val="18"/>
                <w:lang w:eastAsia="en-GB"/>
              </w:rPr>
              <w:t> </w:t>
            </w:r>
          </w:p>
        </w:tc>
        <w:tc>
          <w:tcPr>
            <w:tcW w:w="5245" w:type="dxa"/>
            <w:tcBorders>
              <w:top w:val="nil"/>
              <w:left w:val="nil"/>
              <w:bottom w:val="nil"/>
              <w:right w:val="nil"/>
            </w:tcBorders>
            <w:shd w:val="clear" w:color="000000" w:fill="000000"/>
            <w:noWrap/>
            <w:vAlign w:val="bottom"/>
            <w:hideMark/>
          </w:tcPr>
          <w:p w14:paraId="584B4DC3" w14:textId="77777777" w:rsidR="00CC37BA" w:rsidRPr="009F03E4" w:rsidRDefault="00CC37BA" w:rsidP="00CC37BA">
            <w:pPr>
              <w:jc w:val="center"/>
              <w:rPr>
                <w:rFonts w:cs="Arial"/>
                <w:b/>
                <w:bCs/>
                <w:color w:val="FFFFFF"/>
                <w:sz w:val="18"/>
                <w:szCs w:val="18"/>
                <w:lang w:eastAsia="en-GB"/>
              </w:rPr>
            </w:pPr>
            <w:r w:rsidRPr="009F03E4">
              <w:rPr>
                <w:rFonts w:cs="Arial"/>
                <w:b/>
                <w:bCs/>
                <w:color w:val="FFFFFF"/>
                <w:sz w:val="18"/>
                <w:szCs w:val="18"/>
                <w:lang w:eastAsia="en-GB"/>
              </w:rPr>
              <w:t> </w:t>
            </w:r>
          </w:p>
        </w:tc>
        <w:tc>
          <w:tcPr>
            <w:tcW w:w="731" w:type="dxa"/>
            <w:tcBorders>
              <w:top w:val="nil"/>
              <w:left w:val="nil"/>
              <w:bottom w:val="nil"/>
              <w:right w:val="nil"/>
            </w:tcBorders>
            <w:shd w:val="clear" w:color="000000" w:fill="000000"/>
            <w:vAlign w:val="center"/>
            <w:hideMark/>
          </w:tcPr>
          <w:p w14:paraId="5BF32275" w14:textId="77777777" w:rsidR="00CC37BA" w:rsidRPr="009F03E4" w:rsidRDefault="00CC37BA" w:rsidP="00CC37BA">
            <w:pPr>
              <w:jc w:val="center"/>
              <w:rPr>
                <w:rFonts w:cs="Arial"/>
                <w:b/>
                <w:bCs/>
                <w:color w:val="FFFFFF"/>
                <w:sz w:val="18"/>
                <w:szCs w:val="18"/>
                <w:lang w:eastAsia="en-GB"/>
              </w:rPr>
            </w:pPr>
            <w:r w:rsidRPr="009F03E4">
              <w:rPr>
                <w:rFonts w:cs="Arial"/>
                <w:b/>
                <w:bCs/>
                <w:color w:val="FFFFFF"/>
                <w:sz w:val="18"/>
                <w:szCs w:val="18"/>
                <w:lang w:eastAsia="en-GB"/>
              </w:rPr>
              <w:t>Note</w:t>
            </w:r>
          </w:p>
        </w:tc>
        <w:tc>
          <w:tcPr>
            <w:tcW w:w="1396" w:type="dxa"/>
            <w:tcBorders>
              <w:top w:val="nil"/>
              <w:left w:val="nil"/>
              <w:bottom w:val="nil"/>
              <w:right w:val="single" w:sz="4" w:space="0" w:color="auto"/>
            </w:tcBorders>
            <w:shd w:val="clear" w:color="000000" w:fill="000000"/>
            <w:noWrap/>
            <w:vAlign w:val="center"/>
            <w:hideMark/>
          </w:tcPr>
          <w:p w14:paraId="197DBC92" w14:textId="77777777" w:rsidR="00CC37BA" w:rsidRPr="009F03E4" w:rsidRDefault="00CC37BA" w:rsidP="00CC37BA">
            <w:pPr>
              <w:jc w:val="center"/>
              <w:rPr>
                <w:rFonts w:cs="Arial"/>
                <w:b/>
                <w:bCs/>
                <w:color w:val="FFFFFF"/>
                <w:sz w:val="18"/>
                <w:szCs w:val="18"/>
                <w:lang w:eastAsia="en-GB"/>
              </w:rPr>
            </w:pPr>
            <w:r w:rsidRPr="009F03E4">
              <w:rPr>
                <w:rFonts w:cs="Arial"/>
                <w:b/>
                <w:bCs/>
                <w:color w:val="FFFFFF"/>
                <w:sz w:val="18"/>
                <w:szCs w:val="18"/>
                <w:lang w:eastAsia="en-GB"/>
              </w:rPr>
              <w:t>31/03/2023</w:t>
            </w:r>
          </w:p>
        </w:tc>
      </w:tr>
      <w:tr w:rsidR="00CC37BA" w:rsidRPr="009F03E4" w14:paraId="401BA32E" w14:textId="77777777" w:rsidTr="009F03E4">
        <w:trPr>
          <w:trHeight w:val="80"/>
          <w:jc w:val="center"/>
        </w:trPr>
        <w:tc>
          <w:tcPr>
            <w:tcW w:w="1555" w:type="dxa"/>
            <w:tcBorders>
              <w:top w:val="nil"/>
              <w:left w:val="single" w:sz="4" w:space="0" w:color="auto"/>
              <w:bottom w:val="single" w:sz="4" w:space="0" w:color="auto"/>
              <w:right w:val="nil"/>
            </w:tcBorders>
            <w:shd w:val="clear" w:color="000000" w:fill="000000"/>
            <w:noWrap/>
            <w:vAlign w:val="bottom"/>
            <w:hideMark/>
          </w:tcPr>
          <w:p w14:paraId="3615A3A4" w14:textId="77777777" w:rsidR="00CC37BA" w:rsidRPr="009F03E4" w:rsidRDefault="00CC37BA" w:rsidP="00CC37BA">
            <w:pPr>
              <w:jc w:val="center"/>
              <w:rPr>
                <w:rFonts w:cs="Arial"/>
                <w:b/>
                <w:bCs/>
                <w:color w:val="FFFFFF"/>
                <w:sz w:val="18"/>
                <w:szCs w:val="18"/>
                <w:lang w:eastAsia="en-GB"/>
              </w:rPr>
            </w:pPr>
            <w:r w:rsidRPr="009F03E4">
              <w:rPr>
                <w:rFonts w:cs="Arial"/>
                <w:b/>
                <w:bCs/>
                <w:color w:val="FFFFFF"/>
                <w:sz w:val="18"/>
                <w:szCs w:val="18"/>
                <w:lang w:eastAsia="en-GB"/>
              </w:rPr>
              <w:t>£000</w:t>
            </w:r>
          </w:p>
        </w:tc>
        <w:tc>
          <w:tcPr>
            <w:tcW w:w="425" w:type="dxa"/>
            <w:tcBorders>
              <w:top w:val="nil"/>
              <w:left w:val="nil"/>
              <w:bottom w:val="single" w:sz="4" w:space="0" w:color="auto"/>
              <w:right w:val="nil"/>
            </w:tcBorders>
            <w:shd w:val="clear" w:color="000000" w:fill="000000"/>
            <w:noWrap/>
            <w:vAlign w:val="bottom"/>
            <w:hideMark/>
          </w:tcPr>
          <w:p w14:paraId="773399ED" w14:textId="77777777" w:rsidR="00CC37BA" w:rsidRPr="009F03E4" w:rsidRDefault="00CC37BA" w:rsidP="00CC37BA">
            <w:pPr>
              <w:jc w:val="center"/>
              <w:rPr>
                <w:rFonts w:cs="Arial"/>
                <w:b/>
                <w:bCs/>
                <w:color w:val="FFFFFF"/>
                <w:sz w:val="18"/>
                <w:szCs w:val="18"/>
                <w:lang w:eastAsia="en-GB"/>
              </w:rPr>
            </w:pPr>
            <w:r w:rsidRPr="009F03E4">
              <w:rPr>
                <w:rFonts w:cs="Arial"/>
                <w:b/>
                <w:bCs/>
                <w:color w:val="FFFFFF"/>
                <w:sz w:val="18"/>
                <w:szCs w:val="18"/>
                <w:lang w:eastAsia="en-GB"/>
              </w:rPr>
              <w:t> </w:t>
            </w:r>
          </w:p>
        </w:tc>
        <w:tc>
          <w:tcPr>
            <w:tcW w:w="5245" w:type="dxa"/>
            <w:tcBorders>
              <w:top w:val="nil"/>
              <w:left w:val="nil"/>
              <w:bottom w:val="single" w:sz="4" w:space="0" w:color="auto"/>
              <w:right w:val="nil"/>
            </w:tcBorders>
            <w:shd w:val="clear" w:color="000000" w:fill="000000"/>
            <w:noWrap/>
            <w:vAlign w:val="bottom"/>
            <w:hideMark/>
          </w:tcPr>
          <w:p w14:paraId="11A500A7" w14:textId="77777777" w:rsidR="00CC37BA" w:rsidRPr="009F03E4" w:rsidRDefault="00CC37BA" w:rsidP="00CC37BA">
            <w:pPr>
              <w:jc w:val="center"/>
              <w:rPr>
                <w:rFonts w:cs="Arial"/>
                <w:b/>
                <w:bCs/>
                <w:color w:val="FFFFFF"/>
                <w:sz w:val="18"/>
                <w:szCs w:val="18"/>
                <w:lang w:eastAsia="en-GB"/>
              </w:rPr>
            </w:pPr>
            <w:r w:rsidRPr="009F03E4">
              <w:rPr>
                <w:rFonts w:cs="Arial"/>
                <w:b/>
                <w:bCs/>
                <w:color w:val="FFFFFF"/>
                <w:sz w:val="18"/>
                <w:szCs w:val="18"/>
                <w:lang w:eastAsia="en-GB"/>
              </w:rPr>
              <w:t> </w:t>
            </w:r>
          </w:p>
        </w:tc>
        <w:tc>
          <w:tcPr>
            <w:tcW w:w="731" w:type="dxa"/>
            <w:tcBorders>
              <w:top w:val="nil"/>
              <w:left w:val="nil"/>
              <w:bottom w:val="single" w:sz="4" w:space="0" w:color="auto"/>
              <w:right w:val="nil"/>
            </w:tcBorders>
            <w:shd w:val="clear" w:color="000000" w:fill="000000"/>
            <w:noWrap/>
            <w:vAlign w:val="bottom"/>
            <w:hideMark/>
          </w:tcPr>
          <w:p w14:paraId="0216BB59" w14:textId="77777777" w:rsidR="00CC37BA" w:rsidRPr="009F03E4" w:rsidRDefault="00CC37BA" w:rsidP="00CC37BA">
            <w:pPr>
              <w:jc w:val="center"/>
              <w:rPr>
                <w:rFonts w:cs="Arial"/>
                <w:b/>
                <w:bCs/>
                <w:color w:val="FFFFFF"/>
                <w:sz w:val="18"/>
                <w:szCs w:val="18"/>
                <w:lang w:eastAsia="en-GB"/>
              </w:rPr>
            </w:pPr>
            <w:r w:rsidRPr="009F03E4">
              <w:rPr>
                <w:rFonts w:cs="Arial"/>
                <w:b/>
                <w:bCs/>
                <w:color w:val="FFFFFF"/>
                <w:sz w:val="18"/>
                <w:szCs w:val="18"/>
                <w:lang w:eastAsia="en-GB"/>
              </w:rPr>
              <w:t> </w:t>
            </w:r>
          </w:p>
        </w:tc>
        <w:tc>
          <w:tcPr>
            <w:tcW w:w="1396" w:type="dxa"/>
            <w:tcBorders>
              <w:top w:val="nil"/>
              <w:left w:val="nil"/>
              <w:bottom w:val="single" w:sz="4" w:space="0" w:color="auto"/>
              <w:right w:val="single" w:sz="4" w:space="0" w:color="auto"/>
            </w:tcBorders>
            <w:shd w:val="clear" w:color="000000" w:fill="000000"/>
            <w:noWrap/>
            <w:vAlign w:val="bottom"/>
            <w:hideMark/>
          </w:tcPr>
          <w:p w14:paraId="3D1DED0B" w14:textId="77777777" w:rsidR="00CC37BA" w:rsidRPr="009F03E4" w:rsidRDefault="00CC37BA" w:rsidP="00CC37BA">
            <w:pPr>
              <w:jc w:val="center"/>
              <w:rPr>
                <w:rFonts w:cs="Arial"/>
                <w:b/>
                <w:bCs/>
                <w:color w:val="FFFFFF"/>
                <w:sz w:val="18"/>
                <w:szCs w:val="18"/>
                <w:lang w:eastAsia="en-GB"/>
              </w:rPr>
            </w:pPr>
            <w:r w:rsidRPr="009F03E4">
              <w:rPr>
                <w:rFonts w:cs="Arial"/>
                <w:b/>
                <w:bCs/>
                <w:color w:val="FFFFFF"/>
                <w:sz w:val="18"/>
                <w:szCs w:val="18"/>
                <w:lang w:eastAsia="en-GB"/>
              </w:rPr>
              <w:t>£000</w:t>
            </w:r>
          </w:p>
        </w:tc>
      </w:tr>
      <w:tr w:rsidR="00CC37BA" w:rsidRPr="009F03E4" w14:paraId="7F41C76A" w14:textId="77777777" w:rsidTr="00CC37BA">
        <w:trPr>
          <w:trHeight w:val="300"/>
          <w:jc w:val="center"/>
        </w:trPr>
        <w:tc>
          <w:tcPr>
            <w:tcW w:w="1555" w:type="dxa"/>
            <w:tcBorders>
              <w:top w:val="nil"/>
              <w:left w:val="single" w:sz="4" w:space="0" w:color="auto"/>
              <w:bottom w:val="nil"/>
              <w:right w:val="nil"/>
            </w:tcBorders>
            <w:shd w:val="clear" w:color="000000" w:fill="FFFFFF"/>
            <w:noWrap/>
            <w:vAlign w:val="bottom"/>
            <w:hideMark/>
          </w:tcPr>
          <w:p w14:paraId="6EF51681" w14:textId="77777777" w:rsidR="00CC37BA" w:rsidRPr="009F03E4" w:rsidRDefault="00CC37BA" w:rsidP="00CC37BA">
            <w:pPr>
              <w:jc w:val="right"/>
              <w:rPr>
                <w:rFonts w:cs="Arial"/>
                <w:sz w:val="18"/>
                <w:szCs w:val="18"/>
                <w:lang w:eastAsia="en-GB"/>
              </w:rPr>
            </w:pPr>
            <w:r w:rsidRPr="009F03E4">
              <w:rPr>
                <w:rFonts w:cs="Arial"/>
                <w:sz w:val="18"/>
                <w:szCs w:val="18"/>
                <w:lang w:eastAsia="en-GB"/>
              </w:rPr>
              <w:t>27,975</w:t>
            </w:r>
          </w:p>
        </w:tc>
        <w:tc>
          <w:tcPr>
            <w:tcW w:w="425" w:type="dxa"/>
            <w:tcBorders>
              <w:top w:val="nil"/>
              <w:left w:val="nil"/>
              <w:bottom w:val="nil"/>
              <w:right w:val="nil"/>
            </w:tcBorders>
            <w:shd w:val="clear" w:color="000000" w:fill="FFFFFF"/>
            <w:noWrap/>
            <w:vAlign w:val="bottom"/>
            <w:hideMark/>
          </w:tcPr>
          <w:p w14:paraId="4B6D3864"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381932F7" w14:textId="77777777" w:rsidR="00CC37BA" w:rsidRPr="009F03E4" w:rsidRDefault="00CC37BA" w:rsidP="00CC37BA">
            <w:pPr>
              <w:rPr>
                <w:rFonts w:cs="Arial"/>
                <w:sz w:val="18"/>
                <w:szCs w:val="18"/>
                <w:lang w:eastAsia="en-GB"/>
              </w:rPr>
            </w:pPr>
            <w:r w:rsidRPr="009F03E4">
              <w:rPr>
                <w:rFonts w:cs="Arial"/>
                <w:sz w:val="18"/>
                <w:szCs w:val="18"/>
                <w:lang w:eastAsia="en-GB"/>
              </w:rPr>
              <w:t>Property, Plant &amp; Equipment</w:t>
            </w:r>
          </w:p>
        </w:tc>
        <w:tc>
          <w:tcPr>
            <w:tcW w:w="731" w:type="dxa"/>
            <w:tcBorders>
              <w:top w:val="nil"/>
              <w:left w:val="nil"/>
              <w:bottom w:val="nil"/>
              <w:right w:val="nil"/>
            </w:tcBorders>
            <w:shd w:val="clear" w:color="000000" w:fill="FFFFFF"/>
            <w:noWrap/>
            <w:vAlign w:val="bottom"/>
            <w:hideMark/>
          </w:tcPr>
          <w:p w14:paraId="39C4F104" w14:textId="77777777" w:rsidR="00CC37BA" w:rsidRPr="009F03E4" w:rsidRDefault="00CC37BA" w:rsidP="00CC37BA">
            <w:pPr>
              <w:jc w:val="center"/>
              <w:rPr>
                <w:rFonts w:cs="Arial"/>
                <w:sz w:val="18"/>
                <w:szCs w:val="18"/>
                <w:lang w:eastAsia="en-GB"/>
              </w:rPr>
            </w:pPr>
            <w:r w:rsidRPr="009F03E4">
              <w:rPr>
                <w:rFonts w:cs="Arial"/>
                <w:sz w:val="18"/>
                <w:szCs w:val="18"/>
                <w:lang w:eastAsia="en-GB"/>
              </w:rPr>
              <w:t>18</w:t>
            </w:r>
          </w:p>
        </w:tc>
        <w:tc>
          <w:tcPr>
            <w:tcW w:w="1396" w:type="dxa"/>
            <w:tcBorders>
              <w:top w:val="nil"/>
              <w:left w:val="nil"/>
              <w:bottom w:val="nil"/>
              <w:right w:val="single" w:sz="4" w:space="0" w:color="auto"/>
            </w:tcBorders>
            <w:shd w:val="clear" w:color="000000" w:fill="FFFFFF"/>
            <w:noWrap/>
            <w:vAlign w:val="bottom"/>
            <w:hideMark/>
          </w:tcPr>
          <w:p w14:paraId="535F04A3" w14:textId="062427C1" w:rsidR="00CC37BA" w:rsidRPr="009F03E4" w:rsidRDefault="00CC37BA" w:rsidP="00CC37BA">
            <w:pPr>
              <w:jc w:val="right"/>
              <w:rPr>
                <w:rFonts w:cs="Arial"/>
                <w:sz w:val="18"/>
                <w:szCs w:val="18"/>
                <w:lang w:eastAsia="en-GB"/>
              </w:rPr>
            </w:pPr>
            <w:r w:rsidRPr="009F03E4">
              <w:rPr>
                <w:rFonts w:cs="Arial"/>
                <w:sz w:val="18"/>
                <w:szCs w:val="18"/>
                <w:lang w:eastAsia="en-GB"/>
              </w:rPr>
              <w:t>29,</w:t>
            </w:r>
            <w:r w:rsidR="0078717B">
              <w:rPr>
                <w:rFonts w:cs="Arial"/>
                <w:sz w:val="18"/>
                <w:szCs w:val="18"/>
                <w:lang w:eastAsia="en-GB"/>
              </w:rPr>
              <w:t>7</w:t>
            </w:r>
            <w:r w:rsidR="005D6A99">
              <w:rPr>
                <w:rFonts w:cs="Arial"/>
                <w:sz w:val="18"/>
                <w:szCs w:val="18"/>
                <w:lang w:eastAsia="en-GB"/>
              </w:rPr>
              <w:t>76</w:t>
            </w:r>
          </w:p>
        </w:tc>
      </w:tr>
      <w:tr w:rsidR="00CC37BA" w:rsidRPr="009F03E4" w14:paraId="32805D78" w14:textId="77777777" w:rsidTr="009F03E4">
        <w:trPr>
          <w:trHeight w:val="208"/>
          <w:jc w:val="center"/>
        </w:trPr>
        <w:tc>
          <w:tcPr>
            <w:tcW w:w="1555" w:type="dxa"/>
            <w:tcBorders>
              <w:top w:val="nil"/>
              <w:left w:val="single" w:sz="4" w:space="0" w:color="auto"/>
              <w:bottom w:val="nil"/>
              <w:right w:val="nil"/>
            </w:tcBorders>
            <w:shd w:val="clear" w:color="000000" w:fill="FFFFFF"/>
            <w:noWrap/>
            <w:vAlign w:val="bottom"/>
            <w:hideMark/>
          </w:tcPr>
          <w:p w14:paraId="198C246C" w14:textId="77777777" w:rsidR="00CC37BA" w:rsidRPr="009F03E4" w:rsidRDefault="00CC37BA" w:rsidP="00CC37BA">
            <w:pPr>
              <w:jc w:val="right"/>
              <w:rPr>
                <w:rFonts w:cs="Arial"/>
                <w:sz w:val="18"/>
                <w:szCs w:val="18"/>
                <w:lang w:eastAsia="en-GB"/>
              </w:rPr>
            </w:pPr>
            <w:r w:rsidRPr="009F03E4">
              <w:rPr>
                <w:rFonts w:cs="Arial"/>
                <w:sz w:val="18"/>
                <w:szCs w:val="18"/>
                <w:lang w:eastAsia="en-GB"/>
              </w:rPr>
              <w:t>8</w:t>
            </w:r>
          </w:p>
        </w:tc>
        <w:tc>
          <w:tcPr>
            <w:tcW w:w="425" w:type="dxa"/>
            <w:tcBorders>
              <w:top w:val="nil"/>
              <w:left w:val="nil"/>
              <w:bottom w:val="nil"/>
              <w:right w:val="nil"/>
            </w:tcBorders>
            <w:shd w:val="clear" w:color="000000" w:fill="FFFFFF"/>
            <w:noWrap/>
            <w:vAlign w:val="bottom"/>
            <w:hideMark/>
          </w:tcPr>
          <w:p w14:paraId="305E00E7"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21556434" w14:textId="77777777" w:rsidR="00CC37BA" w:rsidRPr="009F03E4" w:rsidRDefault="00CC37BA" w:rsidP="00CC37BA">
            <w:pPr>
              <w:rPr>
                <w:rFonts w:cs="Arial"/>
                <w:sz w:val="18"/>
                <w:szCs w:val="18"/>
                <w:lang w:eastAsia="en-GB"/>
              </w:rPr>
            </w:pPr>
            <w:r w:rsidRPr="009F03E4">
              <w:rPr>
                <w:rFonts w:cs="Arial"/>
                <w:sz w:val="18"/>
                <w:szCs w:val="18"/>
                <w:lang w:eastAsia="en-GB"/>
              </w:rPr>
              <w:t>Heritage Assets</w:t>
            </w:r>
          </w:p>
        </w:tc>
        <w:tc>
          <w:tcPr>
            <w:tcW w:w="731" w:type="dxa"/>
            <w:tcBorders>
              <w:top w:val="nil"/>
              <w:left w:val="nil"/>
              <w:bottom w:val="nil"/>
              <w:right w:val="nil"/>
            </w:tcBorders>
            <w:shd w:val="clear" w:color="000000" w:fill="FFFFFF"/>
            <w:noWrap/>
            <w:vAlign w:val="bottom"/>
            <w:hideMark/>
          </w:tcPr>
          <w:p w14:paraId="63F1E0E7" w14:textId="77777777" w:rsidR="00CC37BA" w:rsidRPr="009F03E4" w:rsidRDefault="00CC37BA" w:rsidP="00CC37BA">
            <w:pPr>
              <w:jc w:val="center"/>
              <w:rPr>
                <w:rFonts w:cs="Arial"/>
                <w:sz w:val="18"/>
                <w:szCs w:val="18"/>
                <w:lang w:eastAsia="en-GB"/>
              </w:rPr>
            </w:pPr>
            <w:r w:rsidRPr="009F03E4">
              <w:rPr>
                <w:rFonts w:cs="Arial"/>
                <w:sz w:val="18"/>
                <w:szCs w:val="18"/>
                <w:lang w:eastAsia="en-GB"/>
              </w:rPr>
              <w:t> </w:t>
            </w:r>
          </w:p>
        </w:tc>
        <w:tc>
          <w:tcPr>
            <w:tcW w:w="1396" w:type="dxa"/>
            <w:tcBorders>
              <w:top w:val="nil"/>
              <w:left w:val="nil"/>
              <w:bottom w:val="nil"/>
              <w:right w:val="single" w:sz="4" w:space="0" w:color="auto"/>
            </w:tcBorders>
            <w:shd w:val="clear" w:color="000000" w:fill="FFFFFF"/>
            <w:noWrap/>
            <w:vAlign w:val="bottom"/>
            <w:hideMark/>
          </w:tcPr>
          <w:p w14:paraId="514DD8BB" w14:textId="77777777" w:rsidR="00CC37BA" w:rsidRPr="009F03E4" w:rsidRDefault="00CC37BA" w:rsidP="00CC37BA">
            <w:pPr>
              <w:jc w:val="right"/>
              <w:rPr>
                <w:rFonts w:cs="Arial"/>
                <w:sz w:val="18"/>
                <w:szCs w:val="18"/>
                <w:lang w:eastAsia="en-GB"/>
              </w:rPr>
            </w:pPr>
            <w:r w:rsidRPr="009F03E4">
              <w:rPr>
                <w:rFonts w:cs="Arial"/>
                <w:sz w:val="18"/>
                <w:szCs w:val="18"/>
                <w:lang w:eastAsia="en-GB"/>
              </w:rPr>
              <w:t>8</w:t>
            </w:r>
          </w:p>
        </w:tc>
      </w:tr>
      <w:tr w:rsidR="00CC37BA" w:rsidRPr="009F03E4" w14:paraId="35C8CF98" w14:textId="77777777" w:rsidTr="009F03E4">
        <w:trPr>
          <w:trHeight w:val="199"/>
          <w:jc w:val="center"/>
        </w:trPr>
        <w:tc>
          <w:tcPr>
            <w:tcW w:w="1555" w:type="dxa"/>
            <w:tcBorders>
              <w:top w:val="nil"/>
              <w:left w:val="single" w:sz="4" w:space="0" w:color="auto"/>
              <w:bottom w:val="nil"/>
              <w:right w:val="nil"/>
            </w:tcBorders>
            <w:shd w:val="clear" w:color="000000" w:fill="FFFFFF"/>
            <w:noWrap/>
            <w:vAlign w:val="bottom"/>
            <w:hideMark/>
          </w:tcPr>
          <w:p w14:paraId="018E8EC7" w14:textId="77777777" w:rsidR="00CC37BA" w:rsidRPr="009F03E4" w:rsidRDefault="00CC37BA" w:rsidP="00CC37BA">
            <w:pPr>
              <w:jc w:val="right"/>
              <w:rPr>
                <w:rFonts w:cs="Arial"/>
                <w:sz w:val="18"/>
                <w:szCs w:val="18"/>
                <w:lang w:eastAsia="en-GB"/>
              </w:rPr>
            </w:pPr>
            <w:r w:rsidRPr="009F03E4">
              <w:rPr>
                <w:rFonts w:cs="Arial"/>
                <w:sz w:val="18"/>
                <w:szCs w:val="18"/>
                <w:lang w:eastAsia="en-GB"/>
              </w:rPr>
              <w:t>7,015</w:t>
            </w:r>
          </w:p>
        </w:tc>
        <w:tc>
          <w:tcPr>
            <w:tcW w:w="425" w:type="dxa"/>
            <w:tcBorders>
              <w:top w:val="nil"/>
              <w:left w:val="nil"/>
              <w:bottom w:val="nil"/>
              <w:right w:val="nil"/>
            </w:tcBorders>
            <w:shd w:val="clear" w:color="000000" w:fill="FFFFFF"/>
            <w:noWrap/>
            <w:vAlign w:val="bottom"/>
            <w:hideMark/>
          </w:tcPr>
          <w:p w14:paraId="55081506"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321B71E1" w14:textId="77777777" w:rsidR="00CC37BA" w:rsidRPr="009F03E4" w:rsidRDefault="00CC37BA" w:rsidP="00CC37BA">
            <w:pPr>
              <w:rPr>
                <w:rFonts w:cs="Arial"/>
                <w:sz w:val="18"/>
                <w:szCs w:val="18"/>
                <w:lang w:eastAsia="en-GB"/>
              </w:rPr>
            </w:pPr>
            <w:r w:rsidRPr="009F03E4">
              <w:rPr>
                <w:rFonts w:cs="Arial"/>
                <w:sz w:val="18"/>
                <w:szCs w:val="18"/>
                <w:lang w:eastAsia="en-GB"/>
              </w:rPr>
              <w:t>Investment Property</w:t>
            </w:r>
          </w:p>
        </w:tc>
        <w:tc>
          <w:tcPr>
            <w:tcW w:w="731" w:type="dxa"/>
            <w:tcBorders>
              <w:top w:val="nil"/>
              <w:left w:val="nil"/>
              <w:bottom w:val="nil"/>
              <w:right w:val="nil"/>
            </w:tcBorders>
            <w:shd w:val="clear" w:color="000000" w:fill="FFFFFF"/>
            <w:noWrap/>
            <w:vAlign w:val="bottom"/>
            <w:hideMark/>
          </w:tcPr>
          <w:p w14:paraId="61EC9CDA" w14:textId="77777777" w:rsidR="00CC37BA" w:rsidRPr="009F03E4" w:rsidRDefault="00CC37BA" w:rsidP="00CC37BA">
            <w:pPr>
              <w:jc w:val="center"/>
              <w:rPr>
                <w:rFonts w:cs="Arial"/>
                <w:sz w:val="18"/>
                <w:szCs w:val="18"/>
                <w:lang w:eastAsia="en-GB"/>
              </w:rPr>
            </w:pPr>
            <w:r w:rsidRPr="009F03E4">
              <w:rPr>
                <w:rFonts w:cs="Arial"/>
                <w:sz w:val="18"/>
                <w:szCs w:val="18"/>
                <w:lang w:eastAsia="en-GB"/>
              </w:rPr>
              <w:t>21</w:t>
            </w:r>
          </w:p>
        </w:tc>
        <w:tc>
          <w:tcPr>
            <w:tcW w:w="1396" w:type="dxa"/>
            <w:tcBorders>
              <w:top w:val="nil"/>
              <w:left w:val="nil"/>
              <w:bottom w:val="nil"/>
              <w:right w:val="single" w:sz="4" w:space="0" w:color="auto"/>
            </w:tcBorders>
            <w:shd w:val="clear" w:color="000000" w:fill="FFFFFF"/>
            <w:noWrap/>
            <w:vAlign w:val="bottom"/>
            <w:hideMark/>
          </w:tcPr>
          <w:p w14:paraId="4D4A4869" w14:textId="77777777" w:rsidR="00CC37BA" w:rsidRPr="009F03E4" w:rsidRDefault="00CC37BA" w:rsidP="00CC37BA">
            <w:pPr>
              <w:jc w:val="right"/>
              <w:rPr>
                <w:rFonts w:cs="Arial"/>
                <w:sz w:val="18"/>
                <w:szCs w:val="18"/>
                <w:lang w:eastAsia="en-GB"/>
              </w:rPr>
            </w:pPr>
            <w:r w:rsidRPr="009F03E4">
              <w:rPr>
                <w:rFonts w:cs="Arial"/>
                <w:sz w:val="18"/>
                <w:szCs w:val="18"/>
                <w:lang w:eastAsia="en-GB"/>
              </w:rPr>
              <w:t>5,672</w:t>
            </w:r>
          </w:p>
        </w:tc>
      </w:tr>
      <w:tr w:rsidR="00CC37BA" w:rsidRPr="009F03E4" w14:paraId="06C2BA28" w14:textId="77777777" w:rsidTr="009F03E4">
        <w:trPr>
          <w:trHeight w:val="175"/>
          <w:jc w:val="center"/>
        </w:trPr>
        <w:tc>
          <w:tcPr>
            <w:tcW w:w="1555" w:type="dxa"/>
            <w:tcBorders>
              <w:top w:val="nil"/>
              <w:left w:val="single" w:sz="4" w:space="0" w:color="auto"/>
              <w:bottom w:val="nil"/>
              <w:right w:val="nil"/>
            </w:tcBorders>
            <w:shd w:val="clear" w:color="000000" w:fill="FFFFFF"/>
            <w:noWrap/>
            <w:vAlign w:val="bottom"/>
            <w:hideMark/>
          </w:tcPr>
          <w:p w14:paraId="73D0BFD3" w14:textId="77777777" w:rsidR="00CC37BA" w:rsidRPr="009F03E4" w:rsidRDefault="00CC37BA" w:rsidP="00CC37BA">
            <w:pPr>
              <w:jc w:val="right"/>
              <w:rPr>
                <w:rFonts w:cs="Arial"/>
                <w:sz w:val="18"/>
                <w:szCs w:val="18"/>
                <w:lang w:eastAsia="en-GB"/>
              </w:rPr>
            </w:pPr>
            <w:r w:rsidRPr="009F03E4">
              <w:rPr>
                <w:rFonts w:cs="Arial"/>
                <w:sz w:val="18"/>
                <w:szCs w:val="18"/>
                <w:lang w:eastAsia="en-GB"/>
              </w:rPr>
              <w:t>0</w:t>
            </w:r>
          </w:p>
        </w:tc>
        <w:tc>
          <w:tcPr>
            <w:tcW w:w="425" w:type="dxa"/>
            <w:tcBorders>
              <w:top w:val="nil"/>
              <w:left w:val="nil"/>
              <w:bottom w:val="nil"/>
              <w:right w:val="nil"/>
            </w:tcBorders>
            <w:shd w:val="clear" w:color="000000" w:fill="FFFFFF"/>
            <w:noWrap/>
            <w:vAlign w:val="bottom"/>
            <w:hideMark/>
          </w:tcPr>
          <w:p w14:paraId="2A5BF80A"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2547712D" w14:textId="77777777" w:rsidR="00CC37BA" w:rsidRPr="009F03E4" w:rsidRDefault="00CC37BA" w:rsidP="00CC37BA">
            <w:pPr>
              <w:rPr>
                <w:rFonts w:cs="Arial"/>
                <w:sz w:val="18"/>
                <w:szCs w:val="18"/>
                <w:lang w:eastAsia="en-GB"/>
              </w:rPr>
            </w:pPr>
            <w:r w:rsidRPr="009F03E4">
              <w:rPr>
                <w:rFonts w:cs="Arial"/>
                <w:sz w:val="18"/>
                <w:szCs w:val="18"/>
                <w:lang w:eastAsia="en-GB"/>
              </w:rPr>
              <w:t>Surplus Assets</w:t>
            </w:r>
          </w:p>
        </w:tc>
        <w:tc>
          <w:tcPr>
            <w:tcW w:w="731" w:type="dxa"/>
            <w:tcBorders>
              <w:top w:val="nil"/>
              <w:left w:val="nil"/>
              <w:bottom w:val="nil"/>
              <w:right w:val="nil"/>
            </w:tcBorders>
            <w:shd w:val="clear" w:color="000000" w:fill="FFFFFF"/>
            <w:noWrap/>
            <w:vAlign w:val="bottom"/>
            <w:hideMark/>
          </w:tcPr>
          <w:p w14:paraId="40CD8125" w14:textId="77777777" w:rsidR="00CC37BA" w:rsidRPr="009F03E4" w:rsidRDefault="00CC37BA" w:rsidP="00CC37BA">
            <w:pPr>
              <w:jc w:val="center"/>
              <w:rPr>
                <w:rFonts w:cs="Arial"/>
                <w:sz w:val="18"/>
                <w:szCs w:val="18"/>
                <w:lang w:eastAsia="en-GB"/>
              </w:rPr>
            </w:pPr>
            <w:r w:rsidRPr="009F03E4">
              <w:rPr>
                <w:rFonts w:cs="Arial"/>
                <w:sz w:val="18"/>
                <w:szCs w:val="18"/>
                <w:lang w:eastAsia="en-GB"/>
              </w:rPr>
              <w:t> </w:t>
            </w:r>
          </w:p>
        </w:tc>
        <w:tc>
          <w:tcPr>
            <w:tcW w:w="1396" w:type="dxa"/>
            <w:tcBorders>
              <w:top w:val="nil"/>
              <w:left w:val="nil"/>
              <w:bottom w:val="nil"/>
              <w:right w:val="single" w:sz="4" w:space="0" w:color="auto"/>
            </w:tcBorders>
            <w:shd w:val="clear" w:color="000000" w:fill="FFFFFF"/>
            <w:noWrap/>
            <w:vAlign w:val="bottom"/>
            <w:hideMark/>
          </w:tcPr>
          <w:p w14:paraId="26E05251" w14:textId="77777777" w:rsidR="00CC37BA" w:rsidRPr="009F03E4" w:rsidRDefault="00CC37BA" w:rsidP="00CC37BA">
            <w:pPr>
              <w:jc w:val="right"/>
              <w:rPr>
                <w:rFonts w:cs="Arial"/>
                <w:sz w:val="18"/>
                <w:szCs w:val="18"/>
                <w:lang w:eastAsia="en-GB"/>
              </w:rPr>
            </w:pPr>
            <w:r w:rsidRPr="009F03E4">
              <w:rPr>
                <w:rFonts w:cs="Arial"/>
                <w:sz w:val="18"/>
                <w:szCs w:val="18"/>
                <w:lang w:eastAsia="en-GB"/>
              </w:rPr>
              <w:t>0</w:t>
            </w:r>
          </w:p>
        </w:tc>
      </w:tr>
      <w:tr w:rsidR="00CC37BA" w:rsidRPr="009F03E4" w14:paraId="307D0343" w14:textId="77777777" w:rsidTr="009F03E4">
        <w:trPr>
          <w:trHeight w:val="165"/>
          <w:jc w:val="center"/>
        </w:trPr>
        <w:tc>
          <w:tcPr>
            <w:tcW w:w="1555" w:type="dxa"/>
            <w:tcBorders>
              <w:top w:val="nil"/>
              <w:left w:val="single" w:sz="4" w:space="0" w:color="auto"/>
              <w:right w:val="nil"/>
            </w:tcBorders>
            <w:shd w:val="clear" w:color="000000" w:fill="FFFFFF"/>
            <w:noWrap/>
            <w:vAlign w:val="bottom"/>
            <w:hideMark/>
          </w:tcPr>
          <w:p w14:paraId="776C4401" w14:textId="77777777" w:rsidR="00CC37BA" w:rsidRPr="009F03E4" w:rsidRDefault="00CC37BA" w:rsidP="00CC37BA">
            <w:pPr>
              <w:jc w:val="right"/>
              <w:rPr>
                <w:rFonts w:cs="Arial"/>
                <w:sz w:val="18"/>
                <w:szCs w:val="18"/>
                <w:lang w:eastAsia="en-GB"/>
              </w:rPr>
            </w:pPr>
            <w:r w:rsidRPr="009F03E4">
              <w:rPr>
                <w:rFonts w:cs="Arial"/>
                <w:sz w:val="18"/>
                <w:szCs w:val="18"/>
                <w:lang w:eastAsia="en-GB"/>
              </w:rPr>
              <w:t>15</w:t>
            </w:r>
          </w:p>
        </w:tc>
        <w:tc>
          <w:tcPr>
            <w:tcW w:w="425" w:type="dxa"/>
            <w:tcBorders>
              <w:top w:val="nil"/>
              <w:left w:val="nil"/>
              <w:right w:val="nil"/>
            </w:tcBorders>
            <w:shd w:val="clear" w:color="000000" w:fill="FFFFFF"/>
            <w:noWrap/>
            <w:vAlign w:val="bottom"/>
            <w:hideMark/>
          </w:tcPr>
          <w:p w14:paraId="0F79D267"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5245" w:type="dxa"/>
            <w:tcBorders>
              <w:top w:val="nil"/>
              <w:left w:val="nil"/>
              <w:right w:val="nil"/>
            </w:tcBorders>
            <w:shd w:val="clear" w:color="000000" w:fill="FFFFFF"/>
            <w:noWrap/>
            <w:vAlign w:val="bottom"/>
            <w:hideMark/>
          </w:tcPr>
          <w:p w14:paraId="4F896C98" w14:textId="77777777" w:rsidR="00CC37BA" w:rsidRPr="009F03E4" w:rsidRDefault="00CC37BA" w:rsidP="00CC37BA">
            <w:pPr>
              <w:rPr>
                <w:rFonts w:cs="Arial"/>
                <w:sz w:val="18"/>
                <w:szCs w:val="18"/>
                <w:lang w:eastAsia="en-GB"/>
              </w:rPr>
            </w:pPr>
            <w:r w:rsidRPr="009F03E4">
              <w:rPr>
                <w:rFonts w:cs="Arial"/>
                <w:sz w:val="18"/>
                <w:szCs w:val="18"/>
                <w:lang w:eastAsia="en-GB"/>
              </w:rPr>
              <w:t>Intangible Assets</w:t>
            </w:r>
          </w:p>
        </w:tc>
        <w:tc>
          <w:tcPr>
            <w:tcW w:w="731" w:type="dxa"/>
            <w:tcBorders>
              <w:top w:val="nil"/>
              <w:left w:val="nil"/>
              <w:right w:val="nil"/>
            </w:tcBorders>
            <w:shd w:val="clear" w:color="000000" w:fill="FFFFFF"/>
            <w:noWrap/>
            <w:vAlign w:val="bottom"/>
            <w:hideMark/>
          </w:tcPr>
          <w:p w14:paraId="6617DF61" w14:textId="77777777" w:rsidR="00CC37BA" w:rsidRPr="009F03E4" w:rsidRDefault="00CC37BA" w:rsidP="00CC37BA">
            <w:pPr>
              <w:jc w:val="center"/>
              <w:rPr>
                <w:rFonts w:cs="Arial"/>
                <w:sz w:val="18"/>
                <w:szCs w:val="18"/>
                <w:lang w:eastAsia="en-GB"/>
              </w:rPr>
            </w:pPr>
            <w:r w:rsidRPr="009F03E4">
              <w:rPr>
                <w:rFonts w:cs="Arial"/>
                <w:sz w:val="18"/>
                <w:szCs w:val="18"/>
                <w:lang w:eastAsia="en-GB"/>
              </w:rPr>
              <w:t> </w:t>
            </w:r>
          </w:p>
        </w:tc>
        <w:tc>
          <w:tcPr>
            <w:tcW w:w="1396" w:type="dxa"/>
            <w:tcBorders>
              <w:top w:val="nil"/>
              <w:left w:val="nil"/>
              <w:right w:val="single" w:sz="4" w:space="0" w:color="auto"/>
            </w:tcBorders>
            <w:shd w:val="clear" w:color="000000" w:fill="FFFFFF"/>
            <w:noWrap/>
            <w:vAlign w:val="bottom"/>
            <w:hideMark/>
          </w:tcPr>
          <w:p w14:paraId="3CE1761D" w14:textId="77777777" w:rsidR="00CC37BA" w:rsidRPr="009F03E4" w:rsidRDefault="00CC37BA" w:rsidP="00CC37BA">
            <w:pPr>
              <w:jc w:val="right"/>
              <w:rPr>
                <w:rFonts w:cs="Arial"/>
                <w:sz w:val="18"/>
                <w:szCs w:val="18"/>
                <w:lang w:eastAsia="en-GB"/>
              </w:rPr>
            </w:pPr>
            <w:r w:rsidRPr="009F03E4">
              <w:rPr>
                <w:rFonts w:cs="Arial"/>
                <w:sz w:val="18"/>
                <w:szCs w:val="18"/>
                <w:lang w:eastAsia="en-GB"/>
              </w:rPr>
              <w:t>28</w:t>
            </w:r>
          </w:p>
        </w:tc>
      </w:tr>
      <w:tr w:rsidR="00CC37BA" w:rsidRPr="009F03E4" w14:paraId="5C29D521" w14:textId="77777777" w:rsidTr="009F03E4">
        <w:trPr>
          <w:trHeight w:val="141"/>
          <w:jc w:val="center"/>
        </w:trPr>
        <w:tc>
          <w:tcPr>
            <w:tcW w:w="1555" w:type="dxa"/>
            <w:tcBorders>
              <w:left w:val="single" w:sz="4" w:space="0" w:color="auto"/>
              <w:bottom w:val="nil"/>
              <w:right w:val="nil"/>
            </w:tcBorders>
            <w:shd w:val="clear" w:color="000000" w:fill="FFFFFF"/>
            <w:noWrap/>
            <w:vAlign w:val="bottom"/>
          </w:tcPr>
          <w:p w14:paraId="1210A320" w14:textId="5080372E" w:rsidR="00CC37BA" w:rsidRPr="009F03E4" w:rsidRDefault="00CC37BA" w:rsidP="00CC37BA">
            <w:pPr>
              <w:jc w:val="right"/>
              <w:rPr>
                <w:rFonts w:cs="Arial"/>
                <w:sz w:val="18"/>
                <w:szCs w:val="18"/>
                <w:lang w:eastAsia="en-GB"/>
              </w:rPr>
            </w:pPr>
            <w:r w:rsidRPr="009F03E4">
              <w:rPr>
                <w:rFonts w:cs="Arial"/>
                <w:sz w:val="18"/>
                <w:szCs w:val="18"/>
                <w:lang w:eastAsia="en-GB"/>
              </w:rPr>
              <w:t>0</w:t>
            </w:r>
          </w:p>
        </w:tc>
        <w:tc>
          <w:tcPr>
            <w:tcW w:w="425" w:type="dxa"/>
            <w:tcBorders>
              <w:left w:val="nil"/>
              <w:bottom w:val="nil"/>
              <w:right w:val="nil"/>
            </w:tcBorders>
            <w:shd w:val="clear" w:color="000000" w:fill="FFFFFF"/>
            <w:noWrap/>
            <w:vAlign w:val="bottom"/>
          </w:tcPr>
          <w:p w14:paraId="234EAED6" w14:textId="77777777" w:rsidR="00CC37BA" w:rsidRPr="009F03E4" w:rsidRDefault="00CC37BA" w:rsidP="00CC37BA">
            <w:pPr>
              <w:jc w:val="right"/>
              <w:rPr>
                <w:rFonts w:cs="Arial"/>
                <w:b/>
                <w:bCs/>
                <w:sz w:val="18"/>
                <w:szCs w:val="18"/>
                <w:lang w:eastAsia="en-GB"/>
              </w:rPr>
            </w:pPr>
          </w:p>
        </w:tc>
        <w:tc>
          <w:tcPr>
            <w:tcW w:w="5245" w:type="dxa"/>
            <w:tcBorders>
              <w:left w:val="nil"/>
              <w:bottom w:val="nil"/>
              <w:right w:val="nil"/>
            </w:tcBorders>
            <w:shd w:val="clear" w:color="000000" w:fill="FFFFFF"/>
            <w:noWrap/>
            <w:vAlign w:val="bottom"/>
          </w:tcPr>
          <w:p w14:paraId="1C9601AA" w14:textId="13F59C77" w:rsidR="00CC37BA" w:rsidRPr="009F03E4" w:rsidRDefault="00CC37BA" w:rsidP="00CC37BA">
            <w:pPr>
              <w:rPr>
                <w:rFonts w:cs="Arial"/>
                <w:b/>
                <w:bCs/>
                <w:sz w:val="18"/>
                <w:szCs w:val="18"/>
                <w:lang w:eastAsia="en-GB"/>
              </w:rPr>
            </w:pPr>
            <w:r w:rsidRPr="009F03E4">
              <w:rPr>
                <w:rFonts w:cs="Arial"/>
                <w:sz w:val="18"/>
                <w:szCs w:val="18"/>
                <w:lang w:eastAsia="en-GB"/>
              </w:rPr>
              <w:t>Asset related to defined benefit pension scheme</w:t>
            </w:r>
          </w:p>
        </w:tc>
        <w:tc>
          <w:tcPr>
            <w:tcW w:w="731" w:type="dxa"/>
            <w:tcBorders>
              <w:left w:val="nil"/>
              <w:bottom w:val="nil"/>
              <w:right w:val="nil"/>
            </w:tcBorders>
            <w:shd w:val="clear" w:color="000000" w:fill="FFFFFF"/>
            <w:noWrap/>
            <w:vAlign w:val="bottom"/>
          </w:tcPr>
          <w:p w14:paraId="41CA99E5" w14:textId="44863661" w:rsidR="00CC37BA" w:rsidRPr="009F03E4" w:rsidRDefault="00CC37BA" w:rsidP="00CC37BA">
            <w:pPr>
              <w:jc w:val="center"/>
              <w:rPr>
                <w:rFonts w:cs="Arial"/>
                <w:sz w:val="18"/>
                <w:szCs w:val="18"/>
                <w:lang w:eastAsia="en-GB"/>
              </w:rPr>
            </w:pPr>
            <w:r w:rsidRPr="009F03E4">
              <w:rPr>
                <w:rFonts w:cs="Arial"/>
                <w:sz w:val="18"/>
                <w:szCs w:val="18"/>
                <w:lang w:eastAsia="en-GB"/>
              </w:rPr>
              <w:t>15</w:t>
            </w:r>
          </w:p>
        </w:tc>
        <w:tc>
          <w:tcPr>
            <w:tcW w:w="1396" w:type="dxa"/>
            <w:tcBorders>
              <w:left w:val="nil"/>
              <w:bottom w:val="nil"/>
              <w:right w:val="single" w:sz="4" w:space="0" w:color="auto"/>
            </w:tcBorders>
            <w:shd w:val="clear" w:color="000000" w:fill="FFFFFF"/>
            <w:noWrap/>
            <w:vAlign w:val="bottom"/>
          </w:tcPr>
          <w:p w14:paraId="147EB671" w14:textId="093DA5B8" w:rsidR="00CC37BA" w:rsidRPr="009F03E4" w:rsidRDefault="00CC37BA" w:rsidP="00CC37BA">
            <w:pPr>
              <w:jc w:val="right"/>
              <w:rPr>
                <w:rFonts w:cs="Arial"/>
                <w:sz w:val="18"/>
                <w:szCs w:val="18"/>
                <w:lang w:eastAsia="en-GB"/>
              </w:rPr>
            </w:pPr>
            <w:r w:rsidRPr="009F03E4">
              <w:rPr>
                <w:rFonts w:cs="Arial"/>
                <w:sz w:val="18"/>
                <w:szCs w:val="18"/>
                <w:lang w:eastAsia="en-GB"/>
              </w:rPr>
              <w:t>4,803</w:t>
            </w:r>
          </w:p>
        </w:tc>
      </w:tr>
      <w:tr w:rsidR="00CC37BA" w:rsidRPr="009F03E4" w14:paraId="524EB07B" w14:textId="77777777" w:rsidTr="009F03E4">
        <w:trPr>
          <w:trHeight w:val="181"/>
          <w:jc w:val="center"/>
        </w:trPr>
        <w:tc>
          <w:tcPr>
            <w:tcW w:w="1555" w:type="dxa"/>
            <w:tcBorders>
              <w:top w:val="single" w:sz="4" w:space="0" w:color="auto"/>
              <w:left w:val="single" w:sz="4" w:space="0" w:color="auto"/>
              <w:bottom w:val="nil"/>
              <w:right w:val="nil"/>
            </w:tcBorders>
            <w:shd w:val="clear" w:color="000000" w:fill="FFFFFF"/>
            <w:noWrap/>
            <w:vAlign w:val="bottom"/>
            <w:hideMark/>
          </w:tcPr>
          <w:p w14:paraId="46F2FB2E" w14:textId="77777777" w:rsidR="00CC37BA" w:rsidRPr="009F03E4" w:rsidRDefault="00CC37BA" w:rsidP="00CC37BA">
            <w:pPr>
              <w:jc w:val="right"/>
              <w:rPr>
                <w:rFonts w:cs="Arial"/>
                <w:b/>
                <w:bCs/>
                <w:sz w:val="18"/>
                <w:szCs w:val="18"/>
                <w:lang w:eastAsia="en-GB"/>
              </w:rPr>
            </w:pPr>
            <w:r w:rsidRPr="009F03E4">
              <w:rPr>
                <w:rFonts w:cs="Arial"/>
                <w:b/>
                <w:bCs/>
                <w:sz w:val="18"/>
                <w:szCs w:val="18"/>
                <w:lang w:eastAsia="en-GB"/>
              </w:rPr>
              <w:t>35,013</w:t>
            </w:r>
          </w:p>
        </w:tc>
        <w:tc>
          <w:tcPr>
            <w:tcW w:w="425" w:type="dxa"/>
            <w:tcBorders>
              <w:top w:val="nil"/>
              <w:left w:val="nil"/>
              <w:bottom w:val="nil"/>
              <w:right w:val="nil"/>
            </w:tcBorders>
            <w:shd w:val="clear" w:color="000000" w:fill="FFFFFF"/>
            <w:noWrap/>
            <w:vAlign w:val="bottom"/>
            <w:hideMark/>
          </w:tcPr>
          <w:p w14:paraId="729AE561" w14:textId="77777777" w:rsidR="00CC37BA" w:rsidRPr="009F03E4" w:rsidRDefault="00CC37BA" w:rsidP="00CC37BA">
            <w:pPr>
              <w:jc w:val="right"/>
              <w:rPr>
                <w:rFonts w:cs="Arial"/>
                <w:b/>
                <w:bCs/>
                <w:sz w:val="18"/>
                <w:szCs w:val="18"/>
                <w:lang w:eastAsia="en-GB"/>
              </w:rPr>
            </w:pPr>
            <w:r w:rsidRPr="009F03E4">
              <w:rPr>
                <w:rFonts w:cs="Arial"/>
                <w:b/>
                <w:bCs/>
                <w:sz w:val="18"/>
                <w:szCs w:val="18"/>
                <w:lang w:eastAsia="en-GB"/>
              </w:rPr>
              <w:t> </w:t>
            </w:r>
          </w:p>
        </w:tc>
        <w:tc>
          <w:tcPr>
            <w:tcW w:w="5245" w:type="dxa"/>
            <w:tcBorders>
              <w:top w:val="nil"/>
              <w:left w:val="nil"/>
              <w:bottom w:val="nil"/>
              <w:right w:val="nil"/>
            </w:tcBorders>
            <w:shd w:val="clear" w:color="000000" w:fill="FFFFFF"/>
            <w:noWrap/>
            <w:vAlign w:val="bottom"/>
            <w:hideMark/>
          </w:tcPr>
          <w:p w14:paraId="3B5EB9FE" w14:textId="77777777" w:rsidR="00CC37BA" w:rsidRPr="009F03E4" w:rsidRDefault="00CC37BA" w:rsidP="00CC37BA">
            <w:pPr>
              <w:rPr>
                <w:rFonts w:cs="Arial"/>
                <w:b/>
                <w:bCs/>
                <w:sz w:val="18"/>
                <w:szCs w:val="18"/>
                <w:lang w:eastAsia="en-GB"/>
              </w:rPr>
            </w:pPr>
            <w:r w:rsidRPr="009F03E4">
              <w:rPr>
                <w:rFonts w:cs="Arial"/>
                <w:b/>
                <w:bCs/>
                <w:sz w:val="18"/>
                <w:szCs w:val="18"/>
                <w:lang w:eastAsia="en-GB"/>
              </w:rPr>
              <w:t>Long Term Assets</w:t>
            </w:r>
          </w:p>
        </w:tc>
        <w:tc>
          <w:tcPr>
            <w:tcW w:w="731" w:type="dxa"/>
            <w:tcBorders>
              <w:top w:val="nil"/>
              <w:left w:val="nil"/>
              <w:bottom w:val="nil"/>
              <w:right w:val="nil"/>
            </w:tcBorders>
            <w:shd w:val="clear" w:color="000000" w:fill="FFFFFF"/>
            <w:noWrap/>
            <w:vAlign w:val="bottom"/>
            <w:hideMark/>
          </w:tcPr>
          <w:p w14:paraId="3C121393" w14:textId="77777777" w:rsidR="00CC37BA" w:rsidRPr="009F03E4" w:rsidRDefault="00CC37BA" w:rsidP="00CC37BA">
            <w:pPr>
              <w:jc w:val="center"/>
              <w:rPr>
                <w:rFonts w:cs="Arial"/>
                <w:sz w:val="18"/>
                <w:szCs w:val="18"/>
                <w:lang w:eastAsia="en-GB"/>
              </w:rPr>
            </w:pPr>
            <w:r w:rsidRPr="009F03E4">
              <w:rPr>
                <w:rFonts w:cs="Arial"/>
                <w:sz w:val="18"/>
                <w:szCs w:val="18"/>
                <w:lang w:eastAsia="en-GB"/>
              </w:rPr>
              <w:t> </w:t>
            </w:r>
          </w:p>
        </w:tc>
        <w:tc>
          <w:tcPr>
            <w:tcW w:w="1396" w:type="dxa"/>
            <w:tcBorders>
              <w:top w:val="single" w:sz="4" w:space="0" w:color="auto"/>
              <w:left w:val="nil"/>
              <w:bottom w:val="nil"/>
              <w:right w:val="single" w:sz="4" w:space="0" w:color="auto"/>
            </w:tcBorders>
            <w:shd w:val="clear" w:color="000000" w:fill="FFFFFF"/>
            <w:noWrap/>
            <w:vAlign w:val="bottom"/>
            <w:hideMark/>
          </w:tcPr>
          <w:p w14:paraId="1C85C120" w14:textId="02539933" w:rsidR="00CC37BA" w:rsidRPr="009F03E4" w:rsidRDefault="0078717B" w:rsidP="00CC37BA">
            <w:pPr>
              <w:jc w:val="right"/>
              <w:rPr>
                <w:rFonts w:cs="Arial"/>
                <w:b/>
                <w:bCs/>
                <w:sz w:val="18"/>
                <w:szCs w:val="18"/>
                <w:lang w:eastAsia="en-GB"/>
              </w:rPr>
            </w:pPr>
            <w:r>
              <w:rPr>
                <w:rFonts w:cs="Arial"/>
                <w:b/>
                <w:bCs/>
                <w:sz w:val="18"/>
                <w:szCs w:val="18"/>
                <w:lang w:eastAsia="en-GB"/>
              </w:rPr>
              <w:t>40,2</w:t>
            </w:r>
            <w:r w:rsidR="005D6A99">
              <w:rPr>
                <w:rFonts w:cs="Arial"/>
                <w:b/>
                <w:bCs/>
                <w:sz w:val="18"/>
                <w:szCs w:val="18"/>
                <w:lang w:eastAsia="en-GB"/>
              </w:rPr>
              <w:t>87</w:t>
            </w:r>
          </w:p>
        </w:tc>
      </w:tr>
      <w:tr w:rsidR="00CC37BA" w:rsidRPr="009F03E4" w14:paraId="2BE390F3" w14:textId="77777777" w:rsidTr="00CC37BA">
        <w:trPr>
          <w:trHeight w:val="300"/>
          <w:jc w:val="center"/>
        </w:trPr>
        <w:tc>
          <w:tcPr>
            <w:tcW w:w="1555" w:type="dxa"/>
            <w:tcBorders>
              <w:top w:val="nil"/>
              <w:left w:val="single" w:sz="4" w:space="0" w:color="auto"/>
              <w:bottom w:val="nil"/>
              <w:right w:val="nil"/>
            </w:tcBorders>
            <w:shd w:val="clear" w:color="000000" w:fill="FFFFFF"/>
            <w:noWrap/>
            <w:vAlign w:val="bottom"/>
            <w:hideMark/>
          </w:tcPr>
          <w:p w14:paraId="2FD53FF1"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425" w:type="dxa"/>
            <w:tcBorders>
              <w:top w:val="nil"/>
              <w:left w:val="nil"/>
              <w:bottom w:val="nil"/>
              <w:right w:val="nil"/>
            </w:tcBorders>
            <w:shd w:val="clear" w:color="000000" w:fill="FFFFFF"/>
            <w:noWrap/>
            <w:vAlign w:val="bottom"/>
            <w:hideMark/>
          </w:tcPr>
          <w:p w14:paraId="2302D18D"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3E2DCF43" w14:textId="77777777" w:rsidR="00CC37BA" w:rsidRPr="009F03E4" w:rsidRDefault="00CC37BA" w:rsidP="00CC37BA">
            <w:pPr>
              <w:rPr>
                <w:rFonts w:cs="Arial"/>
                <w:b/>
                <w:bCs/>
                <w:sz w:val="18"/>
                <w:szCs w:val="18"/>
                <w:lang w:eastAsia="en-GB"/>
              </w:rPr>
            </w:pPr>
            <w:r w:rsidRPr="009F03E4">
              <w:rPr>
                <w:rFonts w:cs="Arial"/>
                <w:b/>
                <w:bCs/>
                <w:sz w:val="18"/>
                <w:szCs w:val="18"/>
                <w:lang w:eastAsia="en-GB"/>
              </w:rPr>
              <w:t> </w:t>
            </w:r>
          </w:p>
        </w:tc>
        <w:tc>
          <w:tcPr>
            <w:tcW w:w="731" w:type="dxa"/>
            <w:tcBorders>
              <w:top w:val="nil"/>
              <w:left w:val="nil"/>
              <w:bottom w:val="nil"/>
              <w:right w:val="nil"/>
            </w:tcBorders>
            <w:shd w:val="clear" w:color="000000" w:fill="FFFFFF"/>
            <w:noWrap/>
            <w:vAlign w:val="bottom"/>
            <w:hideMark/>
          </w:tcPr>
          <w:p w14:paraId="7E750A4A" w14:textId="77777777" w:rsidR="00CC37BA" w:rsidRPr="009F03E4" w:rsidRDefault="00CC37BA" w:rsidP="00CC37BA">
            <w:pPr>
              <w:jc w:val="center"/>
              <w:rPr>
                <w:rFonts w:cs="Arial"/>
                <w:sz w:val="18"/>
                <w:szCs w:val="18"/>
                <w:lang w:eastAsia="en-GB"/>
              </w:rPr>
            </w:pPr>
            <w:r w:rsidRPr="009F03E4">
              <w:rPr>
                <w:rFonts w:cs="Arial"/>
                <w:sz w:val="18"/>
                <w:szCs w:val="18"/>
                <w:lang w:eastAsia="en-GB"/>
              </w:rPr>
              <w:t> </w:t>
            </w:r>
          </w:p>
        </w:tc>
        <w:tc>
          <w:tcPr>
            <w:tcW w:w="1396" w:type="dxa"/>
            <w:tcBorders>
              <w:top w:val="nil"/>
              <w:left w:val="nil"/>
              <w:bottom w:val="nil"/>
              <w:right w:val="single" w:sz="4" w:space="0" w:color="auto"/>
            </w:tcBorders>
            <w:shd w:val="clear" w:color="000000" w:fill="FFFFFF"/>
            <w:noWrap/>
            <w:vAlign w:val="bottom"/>
            <w:hideMark/>
          </w:tcPr>
          <w:p w14:paraId="6B18A7A0"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r>
      <w:tr w:rsidR="00CC37BA" w:rsidRPr="009F03E4" w14:paraId="42608658" w14:textId="77777777" w:rsidTr="009F03E4">
        <w:trPr>
          <w:trHeight w:val="225"/>
          <w:jc w:val="center"/>
        </w:trPr>
        <w:tc>
          <w:tcPr>
            <w:tcW w:w="1555" w:type="dxa"/>
            <w:tcBorders>
              <w:top w:val="nil"/>
              <w:left w:val="single" w:sz="4" w:space="0" w:color="auto"/>
              <w:bottom w:val="nil"/>
              <w:right w:val="nil"/>
            </w:tcBorders>
            <w:shd w:val="clear" w:color="000000" w:fill="FFFFFF"/>
            <w:noWrap/>
            <w:vAlign w:val="bottom"/>
            <w:hideMark/>
          </w:tcPr>
          <w:p w14:paraId="543C7C70" w14:textId="77777777" w:rsidR="00CC37BA" w:rsidRPr="009F03E4" w:rsidRDefault="00CC37BA" w:rsidP="00CC37BA">
            <w:pPr>
              <w:jc w:val="right"/>
              <w:rPr>
                <w:rFonts w:cs="Arial"/>
                <w:sz w:val="18"/>
                <w:szCs w:val="18"/>
                <w:lang w:eastAsia="en-GB"/>
              </w:rPr>
            </w:pPr>
            <w:r w:rsidRPr="009F03E4">
              <w:rPr>
                <w:rFonts w:cs="Arial"/>
                <w:sz w:val="18"/>
                <w:szCs w:val="18"/>
                <w:lang w:eastAsia="en-GB"/>
              </w:rPr>
              <w:t>4,512</w:t>
            </w:r>
          </w:p>
        </w:tc>
        <w:tc>
          <w:tcPr>
            <w:tcW w:w="425" w:type="dxa"/>
            <w:tcBorders>
              <w:top w:val="nil"/>
              <w:left w:val="nil"/>
              <w:bottom w:val="nil"/>
              <w:right w:val="nil"/>
            </w:tcBorders>
            <w:shd w:val="clear" w:color="000000" w:fill="FFFFFF"/>
            <w:noWrap/>
            <w:vAlign w:val="bottom"/>
            <w:hideMark/>
          </w:tcPr>
          <w:p w14:paraId="2F7EBD70"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2C3648FB" w14:textId="77777777" w:rsidR="00CC37BA" w:rsidRPr="009F03E4" w:rsidRDefault="00CC37BA" w:rsidP="00CC37BA">
            <w:pPr>
              <w:rPr>
                <w:rFonts w:cs="Arial"/>
                <w:sz w:val="18"/>
                <w:szCs w:val="18"/>
                <w:lang w:eastAsia="en-GB"/>
              </w:rPr>
            </w:pPr>
            <w:r w:rsidRPr="009F03E4">
              <w:rPr>
                <w:rFonts w:cs="Arial"/>
                <w:sz w:val="18"/>
                <w:szCs w:val="18"/>
                <w:lang w:eastAsia="en-GB"/>
              </w:rPr>
              <w:t>Cash &amp; cash equivalents</w:t>
            </w:r>
          </w:p>
        </w:tc>
        <w:tc>
          <w:tcPr>
            <w:tcW w:w="731" w:type="dxa"/>
            <w:tcBorders>
              <w:top w:val="nil"/>
              <w:left w:val="nil"/>
              <w:bottom w:val="nil"/>
              <w:right w:val="nil"/>
            </w:tcBorders>
            <w:shd w:val="clear" w:color="000000" w:fill="FFFFFF"/>
            <w:noWrap/>
            <w:vAlign w:val="bottom"/>
            <w:hideMark/>
          </w:tcPr>
          <w:p w14:paraId="399A901D" w14:textId="77777777" w:rsidR="00CC37BA" w:rsidRPr="009F03E4" w:rsidRDefault="00CC37BA" w:rsidP="00CC37BA">
            <w:pPr>
              <w:jc w:val="center"/>
              <w:rPr>
                <w:rFonts w:cs="Arial"/>
                <w:sz w:val="18"/>
                <w:szCs w:val="18"/>
                <w:lang w:eastAsia="en-GB"/>
              </w:rPr>
            </w:pPr>
            <w:r w:rsidRPr="009F03E4">
              <w:rPr>
                <w:rFonts w:cs="Arial"/>
                <w:sz w:val="18"/>
                <w:szCs w:val="18"/>
                <w:lang w:eastAsia="en-GB"/>
              </w:rPr>
              <w:t>26</w:t>
            </w:r>
          </w:p>
        </w:tc>
        <w:tc>
          <w:tcPr>
            <w:tcW w:w="1396" w:type="dxa"/>
            <w:tcBorders>
              <w:top w:val="nil"/>
              <w:left w:val="nil"/>
              <w:bottom w:val="nil"/>
              <w:right w:val="single" w:sz="4" w:space="0" w:color="auto"/>
            </w:tcBorders>
            <w:shd w:val="clear" w:color="000000" w:fill="FFFFFF"/>
            <w:noWrap/>
            <w:vAlign w:val="bottom"/>
            <w:hideMark/>
          </w:tcPr>
          <w:p w14:paraId="79977496" w14:textId="77777777" w:rsidR="00CC37BA" w:rsidRPr="009F03E4" w:rsidRDefault="00CC37BA" w:rsidP="00CC37BA">
            <w:pPr>
              <w:jc w:val="right"/>
              <w:rPr>
                <w:rFonts w:cs="Arial"/>
                <w:sz w:val="18"/>
                <w:szCs w:val="18"/>
                <w:lang w:eastAsia="en-GB"/>
              </w:rPr>
            </w:pPr>
            <w:r w:rsidRPr="009F03E4">
              <w:rPr>
                <w:rFonts w:cs="Arial"/>
                <w:sz w:val="18"/>
                <w:szCs w:val="18"/>
                <w:lang w:eastAsia="en-GB"/>
              </w:rPr>
              <w:t>4,590</w:t>
            </w:r>
          </w:p>
        </w:tc>
      </w:tr>
      <w:tr w:rsidR="00CC37BA" w:rsidRPr="009F03E4" w14:paraId="4221BB3E" w14:textId="77777777" w:rsidTr="009F03E4">
        <w:trPr>
          <w:trHeight w:val="143"/>
          <w:jc w:val="center"/>
        </w:trPr>
        <w:tc>
          <w:tcPr>
            <w:tcW w:w="1555" w:type="dxa"/>
            <w:tcBorders>
              <w:top w:val="nil"/>
              <w:left w:val="single" w:sz="4" w:space="0" w:color="auto"/>
              <w:bottom w:val="nil"/>
              <w:right w:val="nil"/>
            </w:tcBorders>
            <w:shd w:val="clear" w:color="000000" w:fill="FFFFFF"/>
            <w:noWrap/>
            <w:vAlign w:val="bottom"/>
            <w:hideMark/>
          </w:tcPr>
          <w:p w14:paraId="0C0EAE85" w14:textId="77777777" w:rsidR="00CC37BA" w:rsidRPr="009F03E4" w:rsidRDefault="00CC37BA" w:rsidP="00CC37BA">
            <w:pPr>
              <w:jc w:val="right"/>
              <w:rPr>
                <w:rFonts w:cs="Arial"/>
                <w:sz w:val="18"/>
                <w:szCs w:val="18"/>
                <w:lang w:eastAsia="en-GB"/>
              </w:rPr>
            </w:pPr>
            <w:r w:rsidRPr="009F03E4">
              <w:rPr>
                <w:rFonts w:cs="Arial"/>
                <w:sz w:val="18"/>
                <w:szCs w:val="18"/>
                <w:lang w:eastAsia="en-GB"/>
              </w:rPr>
              <w:t>225</w:t>
            </w:r>
          </w:p>
        </w:tc>
        <w:tc>
          <w:tcPr>
            <w:tcW w:w="425" w:type="dxa"/>
            <w:tcBorders>
              <w:top w:val="nil"/>
              <w:left w:val="nil"/>
              <w:bottom w:val="nil"/>
              <w:right w:val="nil"/>
            </w:tcBorders>
            <w:shd w:val="clear" w:color="000000" w:fill="FFFFFF"/>
            <w:noWrap/>
            <w:vAlign w:val="bottom"/>
            <w:hideMark/>
          </w:tcPr>
          <w:p w14:paraId="2A49E1E9"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6F6C66F5" w14:textId="77777777" w:rsidR="00CC37BA" w:rsidRPr="009F03E4" w:rsidRDefault="00CC37BA" w:rsidP="00CC37BA">
            <w:pPr>
              <w:rPr>
                <w:rFonts w:cs="Arial"/>
                <w:sz w:val="18"/>
                <w:szCs w:val="18"/>
                <w:lang w:eastAsia="en-GB"/>
              </w:rPr>
            </w:pPr>
            <w:r w:rsidRPr="009F03E4">
              <w:rPr>
                <w:rFonts w:cs="Arial"/>
                <w:sz w:val="18"/>
                <w:szCs w:val="18"/>
                <w:lang w:eastAsia="en-GB"/>
              </w:rPr>
              <w:t>Inventories &amp; Work in Progress</w:t>
            </w:r>
          </w:p>
        </w:tc>
        <w:tc>
          <w:tcPr>
            <w:tcW w:w="731" w:type="dxa"/>
            <w:tcBorders>
              <w:top w:val="nil"/>
              <w:left w:val="nil"/>
              <w:bottom w:val="nil"/>
              <w:right w:val="nil"/>
            </w:tcBorders>
            <w:shd w:val="clear" w:color="000000" w:fill="FFFFFF"/>
            <w:noWrap/>
            <w:vAlign w:val="bottom"/>
            <w:hideMark/>
          </w:tcPr>
          <w:p w14:paraId="2CB6B180" w14:textId="77777777" w:rsidR="00CC37BA" w:rsidRPr="009F03E4" w:rsidRDefault="00CC37BA" w:rsidP="00CC37BA">
            <w:pPr>
              <w:jc w:val="center"/>
              <w:rPr>
                <w:rFonts w:cs="Arial"/>
                <w:sz w:val="18"/>
                <w:szCs w:val="18"/>
                <w:lang w:eastAsia="en-GB"/>
              </w:rPr>
            </w:pPr>
            <w:r w:rsidRPr="009F03E4">
              <w:rPr>
                <w:rFonts w:cs="Arial"/>
                <w:sz w:val="18"/>
                <w:szCs w:val="18"/>
                <w:lang w:eastAsia="en-GB"/>
              </w:rPr>
              <w:t> </w:t>
            </w:r>
          </w:p>
        </w:tc>
        <w:tc>
          <w:tcPr>
            <w:tcW w:w="1396" w:type="dxa"/>
            <w:tcBorders>
              <w:top w:val="nil"/>
              <w:left w:val="nil"/>
              <w:bottom w:val="nil"/>
              <w:right w:val="single" w:sz="4" w:space="0" w:color="auto"/>
            </w:tcBorders>
            <w:shd w:val="clear" w:color="000000" w:fill="FFFFFF"/>
            <w:noWrap/>
            <w:vAlign w:val="bottom"/>
            <w:hideMark/>
          </w:tcPr>
          <w:p w14:paraId="77C455EF" w14:textId="77777777" w:rsidR="00CC37BA" w:rsidRPr="0078717B" w:rsidRDefault="00CC37BA" w:rsidP="00CC37BA">
            <w:pPr>
              <w:jc w:val="right"/>
              <w:rPr>
                <w:rFonts w:cs="Arial"/>
                <w:sz w:val="18"/>
                <w:szCs w:val="18"/>
                <w:lang w:eastAsia="en-GB"/>
              </w:rPr>
            </w:pPr>
            <w:r w:rsidRPr="0078717B">
              <w:rPr>
                <w:rFonts w:cs="Arial"/>
                <w:sz w:val="18"/>
                <w:szCs w:val="18"/>
                <w:lang w:eastAsia="en-GB"/>
              </w:rPr>
              <w:t>261</w:t>
            </w:r>
          </w:p>
        </w:tc>
      </w:tr>
      <w:tr w:rsidR="00CC37BA" w:rsidRPr="009F03E4" w14:paraId="472AF3BD" w14:textId="77777777" w:rsidTr="009F03E4">
        <w:trPr>
          <w:trHeight w:val="191"/>
          <w:jc w:val="center"/>
        </w:trPr>
        <w:tc>
          <w:tcPr>
            <w:tcW w:w="1555" w:type="dxa"/>
            <w:tcBorders>
              <w:top w:val="nil"/>
              <w:left w:val="single" w:sz="4" w:space="0" w:color="auto"/>
              <w:bottom w:val="nil"/>
              <w:right w:val="nil"/>
            </w:tcBorders>
            <w:shd w:val="clear" w:color="000000" w:fill="FFFFFF"/>
            <w:noWrap/>
            <w:vAlign w:val="bottom"/>
            <w:hideMark/>
          </w:tcPr>
          <w:p w14:paraId="23191876" w14:textId="77777777" w:rsidR="00CC37BA" w:rsidRPr="009F03E4" w:rsidRDefault="00CC37BA" w:rsidP="00CC37BA">
            <w:pPr>
              <w:jc w:val="right"/>
              <w:rPr>
                <w:rFonts w:cs="Arial"/>
                <w:sz w:val="18"/>
                <w:szCs w:val="18"/>
                <w:lang w:eastAsia="en-GB"/>
              </w:rPr>
            </w:pPr>
            <w:r w:rsidRPr="009F03E4">
              <w:rPr>
                <w:rFonts w:cs="Arial"/>
                <w:sz w:val="18"/>
                <w:szCs w:val="18"/>
                <w:lang w:eastAsia="en-GB"/>
              </w:rPr>
              <w:t>1,119</w:t>
            </w:r>
          </w:p>
        </w:tc>
        <w:tc>
          <w:tcPr>
            <w:tcW w:w="425" w:type="dxa"/>
            <w:tcBorders>
              <w:top w:val="nil"/>
              <w:left w:val="nil"/>
              <w:bottom w:val="nil"/>
              <w:right w:val="nil"/>
            </w:tcBorders>
            <w:shd w:val="clear" w:color="000000" w:fill="FFFFFF"/>
            <w:noWrap/>
            <w:vAlign w:val="bottom"/>
            <w:hideMark/>
          </w:tcPr>
          <w:p w14:paraId="14CC1FAA"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75E78A75" w14:textId="77777777" w:rsidR="00CC37BA" w:rsidRPr="009F03E4" w:rsidRDefault="00CC37BA" w:rsidP="00CC37BA">
            <w:pPr>
              <w:rPr>
                <w:rFonts w:cs="Arial"/>
                <w:sz w:val="18"/>
                <w:szCs w:val="18"/>
                <w:lang w:eastAsia="en-GB"/>
              </w:rPr>
            </w:pPr>
            <w:r w:rsidRPr="009F03E4">
              <w:rPr>
                <w:rFonts w:cs="Arial"/>
                <w:sz w:val="18"/>
                <w:szCs w:val="18"/>
                <w:lang w:eastAsia="en-GB"/>
              </w:rPr>
              <w:t xml:space="preserve">Short Term Debtors </w:t>
            </w:r>
          </w:p>
        </w:tc>
        <w:tc>
          <w:tcPr>
            <w:tcW w:w="731" w:type="dxa"/>
            <w:tcBorders>
              <w:top w:val="nil"/>
              <w:left w:val="nil"/>
              <w:bottom w:val="nil"/>
              <w:right w:val="nil"/>
            </w:tcBorders>
            <w:shd w:val="clear" w:color="000000" w:fill="FFFFFF"/>
            <w:noWrap/>
            <w:vAlign w:val="bottom"/>
            <w:hideMark/>
          </w:tcPr>
          <w:p w14:paraId="4EB79234" w14:textId="77777777" w:rsidR="00CC37BA" w:rsidRPr="009F03E4" w:rsidRDefault="00CC37BA" w:rsidP="00CC37BA">
            <w:pPr>
              <w:jc w:val="center"/>
              <w:rPr>
                <w:rFonts w:cs="Arial"/>
                <w:sz w:val="18"/>
                <w:szCs w:val="18"/>
                <w:lang w:eastAsia="en-GB"/>
              </w:rPr>
            </w:pPr>
            <w:r w:rsidRPr="009F03E4">
              <w:rPr>
                <w:rFonts w:cs="Arial"/>
                <w:sz w:val="18"/>
                <w:szCs w:val="18"/>
                <w:lang w:eastAsia="en-GB"/>
              </w:rPr>
              <w:t>27</w:t>
            </w:r>
          </w:p>
        </w:tc>
        <w:tc>
          <w:tcPr>
            <w:tcW w:w="1396" w:type="dxa"/>
            <w:tcBorders>
              <w:top w:val="nil"/>
              <w:left w:val="nil"/>
              <w:bottom w:val="nil"/>
              <w:right w:val="single" w:sz="4" w:space="0" w:color="auto"/>
            </w:tcBorders>
            <w:shd w:val="clear" w:color="000000" w:fill="FFFFFF"/>
            <w:noWrap/>
            <w:vAlign w:val="bottom"/>
            <w:hideMark/>
          </w:tcPr>
          <w:p w14:paraId="7370BDB6" w14:textId="4CC270FC" w:rsidR="00CC37BA" w:rsidRPr="0078717B" w:rsidRDefault="00CC37BA" w:rsidP="00CC37BA">
            <w:pPr>
              <w:jc w:val="right"/>
              <w:rPr>
                <w:rFonts w:cs="Arial"/>
                <w:sz w:val="18"/>
                <w:szCs w:val="18"/>
                <w:lang w:eastAsia="en-GB"/>
              </w:rPr>
            </w:pPr>
            <w:r w:rsidRPr="0078717B">
              <w:rPr>
                <w:rFonts w:cs="Arial"/>
                <w:sz w:val="18"/>
                <w:szCs w:val="18"/>
                <w:lang w:eastAsia="en-GB"/>
              </w:rPr>
              <w:t>2,</w:t>
            </w:r>
            <w:r w:rsidR="00404B1C" w:rsidRPr="0078717B">
              <w:rPr>
                <w:rFonts w:cs="Arial"/>
                <w:sz w:val="18"/>
                <w:szCs w:val="18"/>
                <w:lang w:eastAsia="en-GB"/>
              </w:rPr>
              <w:t>3</w:t>
            </w:r>
            <w:r w:rsidR="0078717B" w:rsidRPr="0078717B">
              <w:rPr>
                <w:rFonts w:cs="Arial"/>
                <w:sz w:val="18"/>
                <w:szCs w:val="18"/>
                <w:lang w:eastAsia="en-GB"/>
              </w:rPr>
              <w:t>18</w:t>
            </w:r>
          </w:p>
        </w:tc>
      </w:tr>
      <w:tr w:rsidR="00CC37BA" w:rsidRPr="009F03E4" w14:paraId="0BEF1FF2" w14:textId="77777777" w:rsidTr="009F03E4">
        <w:trPr>
          <w:trHeight w:val="148"/>
          <w:jc w:val="center"/>
        </w:trPr>
        <w:tc>
          <w:tcPr>
            <w:tcW w:w="1555" w:type="dxa"/>
            <w:tcBorders>
              <w:top w:val="nil"/>
              <w:left w:val="single" w:sz="4" w:space="0" w:color="auto"/>
              <w:bottom w:val="nil"/>
              <w:right w:val="nil"/>
            </w:tcBorders>
            <w:shd w:val="clear" w:color="000000" w:fill="FFFFFF"/>
            <w:noWrap/>
            <w:vAlign w:val="bottom"/>
            <w:hideMark/>
          </w:tcPr>
          <w:p w14:paraId="55D586FB" w14:textId="77777777" w:rsidR="00CC37BA" w:rsidRPr="009F03E4" w:rsidRDefault="00CC37BA" w:rsidP="00CC37BA">
            <w:pPr>
              <w:jc w:val="right"/>
              <w:rPr>
                <w:rFonts w:cs="Arial"/>
                <w:sz w:val="18"/>
                <w:szCs w:val="18"/>
                <w:lang w:eastAsia="en-GB"/>
              </w:rPr>
            </w:pPr>
            <w:r w:rsidRPr="009F03E4">
              <w:rPr>
                <w:rFonts w:cs="Arial"/>
                <w:sz w:val="18"/>
                <w:szCs w:val="18"/>
                <w:lang w:eastAsia="en-GB"/>
              </w:rPr>
              <w:t>93</w:t>
            </w:r>
          </w:p>
        </w:tc>
        <w:tc>
          <w:tcPr>
            <w:tcW w:w="425" w:type="dxa"/>
            <w:tcBorders>
              <w:top w:val="nil"/>
              <w:left w:val="nil"/>
              <w:bottom w:val="nil"/>
              <w:right w:val="nil"/>
            </w:tcBorders>
            <w:shd w:val="clear" w:color="000000" w:fill="FFFFFF"/>
            <w:noWrap/>
            <w:vAlign w:val="bottom"/>
            <w:hideMark/>
          </w:tcPr>
          <w:p w14:paraId="7BA8258B"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7CB547F1" w14:textId="77777777" w:rsidR="00CC37BA" w:rsidRPr="009F03E4" w:rsidRDefault="00CC37BA" w:rsidP="00CC37BA">
            <w:pPr>
              <w:rPr>
                <w:rFonts w:cs="Arial"/>
                <w:sz w:val="18"/>
                <w:szCs w:val="18"/>
                <w:lang w:eastAsia="en-GB"/>
              </w:rPr>
            </w:pPr>
            <w:r w:rsidRPr="009F03E4">
              <w:rPr>
                <w:rFonts w:cs="Arial"/>
                <w:sz w:val="18"/>
                <w:szCs w:val="18"/>
                <w:lang w:eastAsia="en-GB"/>
              </w:rPr>
              <w:t>Short Term Investments</w:t>
            </w:r>
          </w:p>
        </w:tc>
        <w:tc>
          <w:tcPr>
            <w:tcW w:w="731" w:type="dxa"/>
            <w:tcBorders>
              <w:top w:val="nil"/>
              <w:left w:val="nil"/>
              <w:bottom w:val="nil"/>
              <w:right w:val="nil"/>
            </w:tcBorders>
            <w:shd w:val="clear" w:color="000000" w:fill="FFFFFF"/>
            <w:noWrap/>
            <w:vAlign w:val="bottom"/>
            <w:hideMark/>
          </w:tcPr>
          <w:p w14:paraId="5195F1E5" w14:textId="77777777" w:rsidR="00CC37BA" w:rsidRPr="009F03E4" w:rsidRDefault="00CC37BA" w:rsidP="00CC37BA">
            <w:pPr>
              <w:jc w:val="center"/>
              <w:rPr>
                <w:rFonts w:cs="Arial"/>
                <w:sz w:val="18"/>
                <w:szCs w:val="18"/>
                <w:lang w:eastAsia="en-GB"/>
              </w:rPr>
            </w:pPr>
            <w:r w:rsidRPr="009F03E4">
              <w:rPr>
                <w:rFonts w:cs="Arial"/>
                <w:sz w:val="18"/>
                <w:szCs w:val="18"/>
                <w:lang w:eastAsia="en-GB"/>
              </w:rPr>
              <w:t> </w:t>
            </w:r>
          </w:p>
        </w:tc>
        <w:tc>
          <w:tcPr>
            <w:tcW w:w="1396" w:type="dxa"/>
            <w:tcBorders>
              <w:top w:val="nil"/>
              <w:left w:val="nil"/>
              <w:bottom w:val="nil"/>
              <w:right w:val="single" w:sz="4" w:space="0" w:color="auto"/>
            </w:tcBorders>
            <w:shd w:val="clear" w:color="000000" w:fill="FFFFFF"/>
            <w:noWrap/>
            <w:vAlign w:val="bottom"/>
            <w:hideMark/>
          </w:tcPr>
          <w:p w14:paraId="006DB616" w14:textId="77777777" w:rsidR="00CC37BA" w:rsidRPr="0078717B" w:rsidRDefault="00CC37BA" w:rsidP="00CC37BA">
            <w:pPr>
              <w:jc w:val="right"/>
              <w:rPr>
                <w:rFonts w:cs="Arial"/>
                <w:sz w:val="18"/>
                <w:szCs w:val="18"/>
                <w:lang w:eastAsia="en-GB"/>
              </w:rPr>
            </w:pPr>
            <w:r w:rsidRPr="0078717B">
              <w:rPr>
                <w:rFonts w:cs="Arial"/>
                <w:sz w:val="18"/>
                <w:szCs w:val="18"/>
                <w:lang w:eastAsia="en-GB"/>
              </w:rPr>
              <w:t>0</w:t>
            </w:r>
          </w:p>
        </w:tc>
      </w:tr>
      <w:tr w:rsidR="00CC37BA" w:rsidRPr="009F03E4" w14:paraId="263A794E" w14:textId="77777777" w:rsidTr="009F03E4">
        <w:trPr>
          <w:trHeight w:val="157"/>
          <w:jc w:val="center"/>
        </w:trPr>
        <w:tc>
          <w:tcPr>
            <w:tcW w:w="1555" w:type="dxa"/>
            <w:tcBorders>
              <w:top w:val="nil"/>
              <w:left w:val="single" w:sz="4" w:space="0" w:color="auto"/>
              <w:bottom w:val="nil"/>
              <w:right w:val="nil"/>
            </w:tcBorders>
            <w:shd w:val="clear" w:color="000000" w:fill="FFFFFF"/>
            <w:noWrap/>
            <w:vAlign w:val="bottom"/>
            <w:hideMark/>
          </w:tcPr>
          <w:p w14:paraId="6FA931FF" w14:textId="77777777" w:rsidR="00CC37BA" w:rsidRPr="009F03E4" w:rsidRDefault="00CC37BA" w:rsidP="00CC37BA">
            <w:pPr>
              <w:jc w:val="right"/>
              <w:rPr>
                <w:rFonts w:cs="Arial"/>
                <w:sz w:val="18"/>
                <w:szCs w:val="18"/>
                <w:lang w:eastAsia="en-GB"/>
              </w:rPr>
            </w:pPr>
            <w:r w:rsidRPr="009F03E4">
              <w:rPr>
                <w:rFonts w:cs="Arial"/>
                <w:sz w:val="18"/>
                <w:szCs w:val="18"/>
                <w:lang w:eastAsia="en-GB"/>
              </w:rPr>
              <w:t>0</w:t>
            </w:r>
          </w:p>
        </w:tc>
        <w:tc>
          <w:tcPr>
            <w:tcW w:w="425" w:type="dxa"/>
            <w:tcBorders>
              <w:top w:val="nil"/>
              <w:left w:val="nil"/>
              <w:bottom w:val="nil"/>
              <w:right w:val="nil"/>
            </w:tcBorders>
            <w:shd w:val="clear" w:color="000000" w:fill="FFFFFF"/>
            <w:noWrap/>
            <w:vAlign w:val="bottom"/>
            <w:hideMark/>
          </w:tcPr>
          <w:p w14:paraId="48EFF9FC"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395621D2" w14:textId="77777777" w:rsidR="00CC37BA" w:rsidRPr="009F03E4" w:rsidRDefault="00CC37BA" w:rsidP="00CC37BA">
            <w:pPr>
              <w:rPr>
                <w:rFonts w:cs="Arial"/>
                <w:sz w:val="18"/>
                <w:szCs w:val="18"/>
                <w:lang w:eastAsia="en-GB"/>
              </w:rPr>
            </w:pPr>
            <w:r w:rsidRPr="009F03E4">
              <w:rPr>
                <w:rFonts w:cs="Arial"/>
                <w:sz w:val="18"/>
                <w:szCs w:val="18"/>
                <w:lang w:eastAsia="en-GB"/>
              </w:rPr>
              <w:t>Assets Held for Sale</w:t>
            </w:r>
          </w:p>
        </w:tc>
        <w:tc>
          <w:tcPr>
            <w:tcW w:w="731" w:type="dxa"/>
            <w:tcBorders>
              <w:top w:val="nil"/>
              <w:left w:val="nil"/>
              <w:bottom w:val="nil"/>
              <w:right w:val="nil"/>
            </w:tcBorders>
            <w:shd w:val="clear" w:color="000000" w:fill="FFFFFF"/>
            <w:noWrap/>
            <w:vAlign w:val="bottom"/>
            <w:hideMark/>
          </w:tcPr>
          <w:p w14:paraId="385C56FF" w14:textId="77777777" w:rsidR="00CC37BA" w:rsidRPr="009F03E4" w:rsidRDefault="00CC37BA" w:rsidP="00CC37BA">
            <w:pPr>
              <w:jc w:val="center"/>
              <w:rPr>
                <w:rFonts w:cs="Arial"/>
                <w:sz w:val="18"/>
                <w:szCs w:val="18"/>
                <w:lang w:eastAsia="en-GB"/>
              </w:rPr>
            </w:pPr>
            <w:r w:rsidRPr="009F03E4">
              <w:rPr>
                <w:rFonts w:cs="Arial"/>
                <w:sz w:val="18"/>
                <w:szCs w:val="18"/>
                <w:lang w:eastAsia="en-GB"/>
              </w:rPr>
              <w:t> </w:t>
            </w:r>
          </w:p>
        </w:tc>
        <w:tc>
          <w:tcPr>
            <w:tcW w:w="1396" w:type="dxa"/>
            <w:tcBorders>
              <w:top w:val="nil"/>
              <w:left w:val="nil"/>
              <w:bottom w:val="nil"/>
              <w:right w:val="single" w:sz="4" w:space="0" w:color="auto"/>
            </w:tcBorders>
            <w:shd w:val="clear" w:color="000000" w:fill="FFFFFF"/>
            <w:noWrap/>
            <w:vAlign w:val="bottom"/>
            <w:hideMark/>
          </w:tcPr>
          <w:p w14:paraId="49824915" w14:textId="77777777" w:rsidR="00CC37BA" w:rsidRPr="0078717B" w:rsidRDefault="00CC37BA" w:rsidP="00CC37BA">
            <w:pPr>
              <w:jc w:val="right"/>
              <w:rPr>
                <w:rFonts w:cs="Arial"/>
                <w:sz w:val="18"/>
                <w:szCs w:val="18"/>
                <w:lang w:eastAsia="en-GB"/>
              </w:rPr>
            </w:pPr>
            <w:r w:rsidRPr="0078717B">
              <w:rPr>
                <w:rFonts w:cs="Arial"/>
                <w:sz w:val="18"/>
                <w:szCs w:val="18"/>
                <w:lang w:eastAsia="en-GB"/>
              </w:rPr>
              <w:t>128</w:t>
            </w:r>
          </w:p>
        </w:tc>
      </w:tr>
      <w:tr w:rsidR="00CC37BA" w:rsidRPr="009F03E4" w14:paraId="426FA0F3" w14:textId="77777777" w:rsidTr="009F03E4">
        <w:trPr>
          <w:trHeight w:val="219"/>
          <w:jc w:val="center"/>
        </w:trPr>
        <w:tc>
          <w:tcPr>
            <w:tcW w:w="1555" w:type="dxa"/>
            <w:tcBorders>
              <w:top w:val="single" w:sz="4" w:space="0" w:color="auto"/>
              <w:left w:val="single" w:sz="4" w:space="0" w:color="auto"/>
              <w:bottom w:val="nil"/>
              <w:right w:val="nil"/>
            </w:tcBorders>
            <w:shd w:val="clear" w:color="000000" w:fill="FFFFFF"/>
            <w:noWrap/>
            <w:vAlign w:val="bottom"/>
            <w:hideMark/>
          </w:tcPr>
          <w:p w14:paraId="2C4C7489" w14:textId="77777777" w:rsidR="00CC37BA" w:rsidRPr="009F03E4" w:rsidRDefault="00CC37BA" w:rsidP="00CC37BA">
            <w:pPr>
              <w:jc w:val="right"/>
              <w:rPr>
                <w:rFonts w:cs="Arial"/>
                <w:b/>
                <w:bCs/>
                <w:sz w:val="18"/>
                <w:szCs w:val="18"/>
                <w:lang w:eastAsia="en-GB"/>
              </w:rPr>
            </w:pPr>
            <w:r w:rsidRPr="009F03E4">
              <w:rPr>
                <w:rFonts w:cs="Arial"/>
                <w:b/>
                <w:bCs/>
                <w:sz w:val="18"/>
                <w:szCs w:val="18"/>
                <w:lang w:eastAsia="en-GB"/>
              </w:rPr>
              <w:t>5,949</w:t>
            </w:r>
          </w:p>
        </w:tc>
        <w:tc>
          <w:tcPr>
            <w:tcW w:w="425" w:type="dxa"/>
            <w:tcBorders>
              <w:top w:val="nil"/>
              <w:left w:val="nil"/>
              <w:bottom w:val="nil"/>
              <w:right w:val="nil"/>
            </w:tcBorders>
            <w:shd w:val="clear" w:color="000000" w:fill="FFFFFF"/>
            <w:noWrap/>
            <w:vAlign w:val="bottom"/>
            <w:hideMark/>
          </w:tcPr>
          <w:p w14:paraId="0C1F8563" w14:textId="77777777" w:rsidR="00CC37BA" w:rsidRPr="009F03E4" w:rsidRDefault="00CC37BA" w:rsidP="00CC37BA">
            <w:pPr>
              <w:jc w:val="right"/>
              <w:rPr>
                <w:rFonts w:cs="Arial"/>
                <w:b/>
                <w:bCs/>
                <w:sz w:val="18"/>
                <w:szCs w:val="18"/>
                <w:lang w:eastAsia="en-GB"/>
              </w:rPr>
            </w:pPr>
            <w:r w:rsidRPr="009F03E4">
              <w:rPr>
                <w:rFonts w:cs="Arial"/>
                <w:b/>
                <w:bCs/>
                <w:sz w:val="18"/>
                <w:szCs w:val="18"/>
                <w:lang w:eastAsia="en-GB"/>
              </w:rPr>
              <w:t> </w:t>
            </w:r>
          </w:p>
        </w:tc>
        <w:tc>
          <w:tcPr>
            <w:tcW w:w="5245" w:type="dxa"/>
            <w:tcBorders>
              <w:top w:val="nil"/>
              <w:left w:val="nil"/>
              <w:bottom w:val="nil"/>
              <w:right w:val="nil"/>
            </w:tcBorders>
            <w:shd w:val="clear" w:color="000000" w:fill="FFFFFF"/>
            <w:noWrap/>
            <w:vAlign w:val="bottom"/>
            <w:hideMark/>
          </w:tcPr>
          <w:p w14:paraId="304CE3BC" w14:textId="77777777" w:rsidR="00CC37BA" w:rsidRPr="009F03E4" w:rsidRDefault="00CC37BA" w:rsidP="00CC37BA">
            <w:pPr>
              <w:rPr>
                <w:rFonts w:cs="Arial"/>
                <w:b/>
                <w:bCs/>
                <w:sz w:val="18"/>
                <w:szCs w:val="18"/>
                <w:lang w:eastAsia="en-GB"/>
              </w:rPr>
            </w:pPr>
            <w:r w:rsidRPr="009F03E4">
              <w:rPr>
                <w:rFonts w:cs="Arial"/>
                <w:b/>
                <w:bCs/>
                <w:sz w:val="18"/>
                <w:szCs w:val="18"/>
                <w:lang w:eastAsia="en-GB"/>
              </w:rPr>
              <w:t>Current Assets</w:t>
            </w:r>
          </w:p>
        </w:tc>
        <w:tc>
          <w:tcPr>
            <w:tcW w:w="731" w:type="dxa"/>
            <w:tcBorders>
              <w:top w:val="nil"/>
              <w:left w:val="nil"/>
              <w:bottom w:val="nil"/>
              <w:right w:val="nil"/>
            </w:tcBorders>
            <w:shd w:val="clear" w:color="000000" w:fill="FFFFFF"/>
            <w:noWrap/>
            <w:vAlign w:val="bottom"/>
            <w:hideMark/>
          </w:tcPr>
          <w:p w14:paraId="10C962B0" w14:textId="77777777" w:rsidR="00CC37BA" w:rsidRPr="009F03E4" w:rsidRDefault="00CC37BA" w:rsidP="00CC37BA">
            <w:pPr>
              <w:jc w:val="center"/>
              <w:rPr>
                <w:rFonts w:cs="Arial"/>
                <w:sz w:val="18"/>
                <w:szCs w:val="18"/>
                <w:lang w:eastAsia="en-GB"/>
              </w:rPr>
            </w:pPr>
            <w:r w:rsidRPr="009F03E4">
              <w:rPr>
                <w:rFonts w:cs="Arial"/>
                <w:sz w:val="18"/>
                <w:szCs w:val="18"/>
                <w:lang w:eastAsia="en-GB"/>
              </w:rPr>
              <w:t> </w:t>
            </w:r>
          </w:p>
        </w:tc>
        <w:tc>
          <w:tcPr>
            <w:tcW w:w="1396" w:type="dxa"/>
            <w:tcBorders>
              <w:top w:val="single" w:sz="4" w:space="0" w:color="auto"/>
              <w:left w:val="nil"/>
              <w:bottom w:val="nil"/>
              <w:right w:val="single" w:sz="4" w:space="0" w:color="auto"/>
            </w:tcBorders>
            <w:shd w:val="clear" w:color="000000" w:fill="FFFFFF"/>
            <w:noWrap/>
            <w:vAlign w:val="bottom"/>
            <w:hideMark/>
          </w:tcPr>
          <w:p w14:paraId="18DBC70B" w14:textId="5139313E" w:rsidR="00CC37BA" w:rsidRPr="0078717B" w:rsidRDefault="00CC37BA" w:rsidP="00CC37BA">
            <w:pPr>
              <w:jc w:val="right"/>
              <w:rPr>
                <w:rFonts w:cs="Arial"/>
                <w:b/>
                <w:bCs/>
                <w:sz w:val="18"/>
                <w:szCs w:val="18"/>
                <w:lang w:eastAsia="en-GB"/>
              </w:rPr>
            </w:pPr>
            <w:r w:rsidRPr="0078717B">
              <w:rPr>
                <w:rFonts w:cs="Arial"/>
                <w:b/>
                <w:bCs/>
                <w:sz w:val="18"/>
                <w:szCs w:val="18"/>
                <w:lang w:eastAsia="en-GB"/>
              </w:rPr>
              <w:t>7,2</w:t>
            </w:r>
            <w:r w:rsidR="0078717B" w:rsidRPr="0078717B">
              <w:rPr>
                <w:rFonts w:cs="Arial"/>
                <w:b/>
                <w:bCs/>
                <w:sz w:val="18"/>
                <w:szCs w:val="18"/>
                <w:lang w:eastAsia="en-GB"/>
              </w:rPr>
              <w:t>97</w:t>
            </w:r>
          </w:p>
        </w:tc>
      </w:tr>
      <w:tr w:rsidR="00CC37BA" w:rsidRPr="009F03E4" w14:paraId="246A20CE" w14:textId="77777777" w:rsidTr="009F03E4">
        <w:trPr>
          <w:trHeight w:val="108"/>
          <w:jc w:val="center"/>
        </w:trPr>
        <w:tc>
          <w:tcPr>
            <w:tcW w:w="1555" w:type="dxa"/>
            <w:tcBorders>
              <w:top w:val="nil"/>
              <w:left w:val="single" w:sz="4" w:space="0" w:color="auto"/>
              <w:bottom w:val="nil"/>
              <w:right w:val="nil"/>
            </w:tcBorders>
            <w:shd w:val="clear" w:color="000000" w:fill="FFFFFF"/>
            <w:noWrap/>
            <w:vAlign w:val="bottom"/>
            <w:hideMark/>
          </w:tcPr>
          <w:p w14:paraId="4F7E6DB5" w14:textId="77777777" w:rsidR="00CC37BA" w:rsidRPr="009F03E4" w:rsidRDefault="00CC37BA" w:rsidP="00CC37BA">
            <w:pPr>
              <w:jc w:val="right"/>
              <w:rPr>
                <w:rFonts w:cs="Arial"/>
                <w:b/>
                <w:bCs/>
                <w:sz w:val="18"/>
                <w:szCs w:val="18"/>
                <w:lang w:eastAsia="en-GB"/>
              </w:rPr>
            </w:pPr>
            <w:r w:rsidRPr="009F03E4">
              <w:rPr>
                <w:rFonts w:cs="Arial"/>
                <w:b/>
                <w:bCs/>
                <w:sz w:val="18"/>
                <w:szCs w:val="18"/>
                <w:lang w:eastAsia="en-GB"/>
              </w:rPr>
              <w:t> </w:t>
            </w:r>
          </w:p>
        </w:tc>
        <w:tc>
          <w:tcPr>
            <w:tcW w:w="425" w:type="dxa"/>
            <w:tcBorders>
              <w:top w:val="nil"/>
              <w:left w:val="nil"/>
              <w:bottom w:val="nil"/>
              <w:right w:val="nil"/>
            </w:tcBorders>
            <w:shd w:val="clear" w:color="000000" w:fill="FFFFFF"/>
            <w:noWrap/>
            <w:vAlign w:val="bottom"/>
            <w:hideMark/>
          </w:tcPr>
          <w:p w14:paraId="40439404" w14:textId="77777777" w:rsidR="00CC37BA" w:rsidRPr="009F03E4" w:rsidRDefault="00CC37BA" w:rsidP="00CC37BA">
            <w:pPr>
              <w:jc w:val="right"/>
              <w:rPr>
                <w:rFonts w:cs="Arial"/>
                <w:b/>
                <w:bCs/>
                <w:sz w:val="18"/>
                <w:szCs w:val="18"/>
                <w:lang w:eastAsia="en-GB"/>
              </w:rPr>
            </w:pPr>
            <w:r w:rsidRPr="009F03E4">
              <w:rPr>
                <w:rFonts w:cs="Arial"/>
                <w:b/>
                <w:bCs/>
                <w:sz w:val="18"/>
                <w:szCs w:val="18"/>
                <w:lang w:eastAsia="en-GB"/>
              </w:rPr>
              <w:t> </w:t>
            </w:r>
          </w:p>
        </w:tc>
        <w:tc>
          <w:tcPr>
            <w:tcW w:w="5245" w:type="dxa"/>
            <w:tcBorders>
              <w:top w:val="nil"/>
              <w:left w:val="nil"/>
              <w:bottom w:val="nil"/>
              <w:right w:val="nil"/>
            </w:tcBorders>
            <w:shd w:val="clear" w:color="000000" w:fill="FFFFFF"/>
            <w:noWrap/>
            <w:vAlign w:val="bottom"/>
            <w:hideMark/>
          </w:tcPr>
          <w:p w14:paraId="7B92406E" w14:textId="77777777" w:rsidR="00CC37BA" w:rsidRPr="009F03E4" w:rsidRDefault="00CC37BA" w:rsidP="00CC37BA">
            <w:pPr>
              <w:rPr>
                <w:rFonts w:cs="Arial"/>
                <w:sz w:val="18"/>
                <w:szCs w:val="18"/>
                <w:lang w:eastAsia="en-GB"/>
              </w:rPr>
            </w:pPr>
            <w:r w:rsidRPr="009F03E4">
              <w:rPr>
                <w:rFonts w:cs="Arial"/>
                <w:sz w:val="18"/>
                <w:szCs w:val="18"/>
                <w:lang w:eastAsia="en-GB"/>
              </w:rPr>
              <w:t> </w:t>
            </w:r>
          </w:p>
        </w:tc>
        <w:tc>
          <w:tcPr>
            <w:tcW w:w="731" w:type="dxa"/>
            <w:tcBorders>
              <w:top w:val="nil"/>
              <w:left w:val="nil"/>
              <w:bottom w:val="nil"/>
              <w:right w:val="nil"/>
            </w:tcBorders>
            <w:shd w:val="clear" w:color="000000" w:fill="FFFFFF"/>
            <w:noWrap/>
            <w:vAlign w:val="bottom"/>
            <w:hideMark/>
          </w:tcPr>
          <w:p w14:paraId="34BEBA24" w14:textId="77777777" w:rsidR="00CC37BA" w:rsidRPr="009F03E4" w:rsidRDefault="00CC37BA" w:rsidP="00CC37BA">
            <w:pPr>
              <w:jc w:val="center"/>
              <w:rPr>
                <w:rFonts w:cs="Arial"/>
                <w:sz w:val="18"/>
                <w:szCs w:val="18"/>
                <w:lang w:eastAsia="en-GB"/>
              </w:rPr>
            </w:pPr>
            <w:r w:rsidRPr="009F03E4">
              <w:rPr>
                <w:rFonts w:cs="Arial"/>
                <w:sz w:val="18"/>
                <w:szCs w:val="18"/>
                <w:lang w:eastAsia="en-GB"/>
              </w:rPr>
              <w:t> </w:t>
            </w:r>
          </w:p>
        </w:tc>
        <w:tc>
          <w:tcPr>
            <w:tcW w:w="1396" w:type="dxa"/>
            <w:tcBorders>
              <w:top w:val="nil"/>
              <w:left w:val="nil"/>
              <w:bottom w:val="nil"/>
              <w:right w:val="single" w:sz="4" w:space="0" w:color="auto"/>
            </w:tcBorders>
            <w:shd w:val="clear" w:color="000000" w:fill="FFFFFF"/>
            <w:noWrap/>
            <w:vAlign w:val="bottom"/>
            <w:hideMark/>
          </w:tcPr>
          <w:p w14:paraId="13F7CC6D" w14:textId="77777777" w:rsidR="00CC37BA" w:rsidRPr="009F03E4" w:rsidRDefault="00CC37BA" w:rsidP="00CC37BA">
            <w:pPr>
              <w:jc w:val="right"/>
              <w:rPr>
                <w:rFonts w:cs="Arial"/>
                <w:b/>
                <w:bCs/>
                <w:sz w:val="18"/>
                <w:szCs w:val="18"/>
                <w:lang w:eastAsia="en-GB"/>
              </w:rPr>
            </w:pPr>
            <w:r w:rsidRPr="009F03E4">
              <w:rPr>
                <w:rFonts w:cs="Arial"/>
                <w:b/>
                <w:bCs/>
                <w:sz w:val="18"/>
                <w:szCs w:val="18"/>
                <w:lang w:eastAsia="en-GB"/>
              </w:rPr>
              <w:t> </w:t>
            </w:r>
          </w:p>
        </w:tc>
      </w:tr>
      <w:tr w:rsidR="00CC37BA" w:rsidRPr="009F03E4" w14:paraId="77904E4B" w14:textId="77777777" w:rsidTr="00CC37BA">
        <w:trPr>
          <w:trHeight w:val="300"/>
          <w:jc w:val="center"/>
        </w:trPr>
        <w:tc>
          <w:tcPr>
            <w:tcW w:w="1555" w:type="dxa"/>
            <w:tcBorders>
              <w:top w:val="nil"/>
              <w:left w:val="single" w:sz="4" w:space="0" w:color="auto"/>
              <w:bottom w:val="nil"/>
              <w:right w:val="nil"/>
            </w:tcBorders>
            <w:shd w:val="clear" w:color="000000" w:fill="FFFFFF"/>
            <w:noWrap/>
            <w:vAlign w:val="bottom"/>
            <w:hideMark/>
          </w:tcPr>
          <w:p w14:paraId="167942F3" w14:textId="30A085F0" w:rsidR="00CC37BA" w:rsidRPr="009F03E4" w:rsidRDefault="0078717B" w:rsidP="00CC37BA">
            <w:pPr>
              <w:jc w:val="right"/>
              <w:rPr>
                <w:rFonts w:cs="Arial"/>
                <w:sz w:val="18"/>
                <w:szCs w:val="18"/>
                <w:lang w:eastAsia="en-GB"/>
              </w:rPr>
            </w:pPr>
            <w:r>
              <w:rPr>
                <w:rFonts w:cs="Arial"/>
                <w:sz w:val="18"/>
                <w:szCs w:val="18"/>
                <w:lang w:eastAsia="en-GB"/>
              </w:rPr>
              <w:t>(</w:t>
            </w:r>
            <w:r w:rsidR="00CC37BA" w:rsidRPr="009F03E4">
              <w:rPr>
                <w:rFonts w:cs="Arial"/>
                <w:sz w:val="18"/>
                <w:szCs w:val="18"/>
                <w:lang w:eastAsia="en-GB"/>
              </w:rPr>
              <w:t>2,178</w:t>
            </w:r>
            <w:r>
              <w:rPr>
                <w:rFonts w:cs="Arial"/>
                <w:sz w:val="18"/>
                <w:szCs w:val="18"/>
                <w:lang w:eastAsia="en-GB"/>
              </w:rPr>
              <w:t>)</w:t>
            </w:r>
          </w:p>
        </w:tc>
        <w:tc>
          <w:tcPr>
            <w:tcW w:w="425" w:type="dxa"/>
            <w:tcBorders>
              <w:top w:val="nil"/>
              <w:left w:val="nil"/>
              <w:bottom w:val="nil"/>
              <w:right w:val="nil"/>
            </w:tcBorders>
            <w:shd w:val="clear" w:color="000000" w:fill="FFFFFF"/>
            <w:noWrap/>
            <w:vAlign w:val="bottom"/>
            <w:hideMark/>
          </w:tcPr>
          <w:p w14:paraId="450A1C06"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2FE1F16A" w14:textId="77777777" w:rsidR="00CC37BA" w:rsidRPr="009F03E4" w:rsidRDefault="00CC37BA" w:rsidP="00CC37BA">
            <w:pPr>
              <w:rPr>
                <w:rFonts w:cs="Arial"/>
                <w:sz w:val="18"/>
                <w:szCs w:val="18"/>
                <w:lang w:eastAsia="en-GB"/>
              </w:rPr>
            </w:pPr>
            <w:r w:rsidRPr="009F03E4">
              <w:rPr>
                <w:rFonts w:cs="Arial"/>
                <w:sz w:val="18"/>
                <w:szCs w:val="18"/>
                <w:lang w:eastAsia="en-GB"/>
              </w:rPr>
              <w:t xml:space="preserve">Short Term Creditors </w:t>
            </w:r>
          </w:p>
        </w:tc>
        <w:tc>
          <w:tcPr>
            <w:tcW w:w="731" w:type="dxa"/>
            <w:tcBorders>
              <w:top w:val="nil"/>
              <w:left w:val="nil"/>
              <w:bottom w:val="nil"/>
              <w:right w:val="nil"/>
            </w:tcBorders>
            <w:shd w:val="clear" w:color="000000" w:fill="FFFFFF"/>
            <w:noWrap/>
            <w:vAlign w:val="bottom"/>
            <w:hideMark/>
          </w:tcPr>
          <w:p w14:paraId="09F7442E" w14:textId="77777777" w:rsidR="00CC37BA" w:rsidRPr="009F03E4" w:rsidRDefault="00CC37BA" w:rsidP="00CC37BA">
            <w:pPr>
              <w:jc w:val="center"/>
              <w:rPr>
                <w:rFonts w:cs="Arial"/>
                <w:sz w:val="18"/>
                <w:szCs w:val="18"/>
                <w:lang w:eastAsia="en-GB"/>
              </w:rPr>
            </w:pPr>
            <w:r w:rsidRPr="009F03E4">
              <w:rPr>
                <w:rFonts w:cs="Arial"/>
                <w:sz w:val="18"/>
                <w:szCs w:val="18"/>
                <w:lang w:eastAsia="en-GB"/>
              </w:rPr>
              <w:t>28</w:t>
            </w:r>
          </w:p>
        </w:tc>
        <w:tc>
          <w:tcPr>
            <w:tcW w:w="1396" w:type="dxa"/>
            <w:tcBorders>
              <w:top w:val="nil"/>
              <w:left w:val="nil"/>
              <w:bottom w:val="nil"/>
              <w:right w:val="single" w:sz="4" w:space="0" w:color="auto"/>
            </w:tcBorders>
            <w:shd w:val="clear" w:color="000000" w:fill="FFFFFF"/>
            <w:noWrap/>
            <w:vAlign w:val="bottom"/>
            <w:hideMark/>
          </w:tcPr>
          <w:p w14:paraId="6DFF55ED" w14:textId="1851CA5F" w:rsidR="00CC37BA" w:rsidRPr="009F03E4" w:rsidRDefault="0078717B" w:rsidP="00CC37BA">
            <w:pPr>
              <w:jc w:val="right"/>
              <w:rPr>
                <w:rFonts w:cs="Arial"/>
                <w:sz w:val="18"/>
                <w:szCs w:val="18"/>
                <w:lang w:eastAsia="en-GB"/>
              </w:rPr>
            </w:pPr>
            <w:r>
              <w:rPr>
                <w:rFonts w:cs="Arial"/>
                <w:sz w:val="18"/>
                <w:szCs w:val="18"/>
                <w:lang w:eastAsia="en-GB"/>
              </w:rPr>
              <w:t>(</w:t>
            </w:r>
            <w:r w:rsidR="00CC37BA" w:rsidRPr="0078717B">
              <w:rPr>
                <w:rFonts w:cs="Arial"/>
                <w:sz w:val="18"/>
                <w:szCs w:val="18"/>
                <w:lang w:eastAsia="en-GB"/>
              </w:rPr>
              <w:t>2,4</w:t>
            </w:r>
            <w:r w:rsidR="00404B1C" w:rsidRPr="0078717B">
              <w:rPr>
                <w:rFonts w:cs="Arial"/>
                <w:sz w:val="18"/>
                <w:szCs w:val="18"/>
                <w:lang w:eastAsia="en-GB"/>
              </w:rPr>
              <w:t>2</w:t>
            </w:r>
            <w:r w:rsidRPr="0078717B">
              <w:rPr>
                <w:rFonts w:cs="Arial"/>
                <w:sz w:val="18"/>
                <w:szCs w:val="18"/>
                <w:lang w:eastAsia="en-GB"/>
              </w:rPr>
              <w:t>9</w:t>
            </w:r>
            <w:r>
              <w:rPr>
                <w:rFonts w:cs="Arial"/>
                <w:sz w:val="18"/>
                <w:szCs w:val="18"/>
                <w:lang w:eastAsia="en-GB"/>
              </w:rPr>
              <w:t>)</w:t>
            </w:r>
          </w:p>
        </w:tc>
      </w:tr>
      <w:tr w:rsidR="00CC37BA" w:rsidRPr="009F03E4" w14:paraId="184734EC" w14:textId="77777777" w:rsidTr="009F03E4">
        <w:trPr>
          <w:trHeight w:val="216"/>
          <w:jc w:val="center"/>
        </w:trPr>
        <w:tc>
          <w:tcPr>
            <w:tcW w:w="1555" w:type="dxa"/>
            <w:tcBorders>
              <w:top w:val="nil"/>
              <w:left w:val="single" w:sz="4" w:space="0" w:color="auto"/>
              <w:bottom w:val="single" w:sz="4" w:space="0" w:color="auto"/>
              <w:right w:val="nil"/>
            </w:tcBorders>
            <w:shd w:val="clear" w:color="000000" w:fill="FFFFFF"/>
            <w:noWrap/>
            <w:vAlign w:val="bottom"/>
            <w:hideMark/>
          </w:tcPr>
          <w:p w14:paraId="76189458" w14:textId="54DC7539" w:rsidR="00CC37BA" w:rsidRPr="009F03E4" w:rsidRDefault="0078717B" w:rsidP="00CC37BA">
            <w:pPr>
              <w:jc w:val="right"/>
              <w:rPr>
                <w:rFonts w:cs="Arial"/>
                <w:sz w:val="18"/>
                <w:szCs w:val="18"/>
                <w:lang w:eastAsia="en-GB"/>
              </w:rPr>
            </w:pPr>
            <w:r>
              <w:rPr>
                <w:rFonts w:cs="Arial"/>
                <w:sz w:val="18"/>
                <w:szCs w:val="18"/>
                <w:lang w:eastAsia="en-GB"/>
              </w:rPr>
              <w:t>(</w:t>
            </w:r>
            <w:r w:rsidR="00CC37BA" w:rsidRPr="009F03E4">
              <w:rPr>
                <w:rFonts w:cs="Arial"/>
                <w:sz w:val="18"/>
                <w:szCs w:val="18"/>
                <w:lang w:eastAsia="en-GB"/>
              </w:rPr>
              <w:t>20</w:t>
            </w:r>
            <w:r>
              <w:rPr>
                <w:rFonts w:cs="Arial"/>
                <w:sz w:val="18"/>
                <w:szCs w:val="18"/>
                <w:lang w:eastAsia="en-GB"/>
              </w:rPr>
              <w:t>)</w:t>
            </w:r>
          </w:p>
        </w:tc>
        <w:tc>
          <w:tcPr>
            <w:tcW w:w="425" w:type="dxa"/>
            <w:tcBorders>
              <w:top w:val="nil"/>
              <w:left w:val="nil"/>
              <w:bottom w:val="nil"/>
              <w:right w:val="nil"/>
            </w:tcBorders>
            <w:shd w:val="clear" w:color="000000" w:fill="FFFFFF"/>
            <w:noWrap/>
            <w:vAlign w:val="bottom"/>
            <w:hideMark/>
          </w:tcPr>
          <w:p w14:paraId="27FFF2F9"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21190FCD" w14:textId="77777777" w:rsidR="00CC37BA" w:rsidRPr="009F03E4" w:rsidRDefault="00CC37BA" w:rsidP="00CC37BA">
            <w:pPr>
              <w:rPr>
                <w:rFonts w:cs="Arial"/>
                <w:sz w:val="18"/>
                <w:szCs w:val="18"/>
                <w:lang w:eastAsia="en-GB"/>
              </w:rPr>
            </w:pPr>
            <w:r w:rsidRPr="009F03E4">
              <w:rPr>
                <w:rFonts w:cs="Arial"/>
                <w:sz w:val="18"/>
                <w:szCs w:val="18"/>
                <w:lang w:eastAsia="en-GB"/>
              </w:rPr>
              <w:t>Provisions</w:t>
            </w:r>
          </w:p>
        </w:tc>
        <w:tc>
          <w:tcPr>
            <w:tcW w:w="731" w:type="dxa"/>
            <w:tcBorders>
              <w:top w:val="nil"/>
              <w:left w:val="nil"/>
              <w:bottom w:val="nil"/>
              <w:right w:val="nil"/>
            </w:tcBorders>
            <w:shd w:val="clear" w:color="000000" w:fill="FFFFFF"/>
            <w:noWrap/>
            <w:vAlign w:val="bottom"/>
            <w:hideMark/>
          </w:tcPr>
          <w:p w14:paraId="5980010A" w14:textId="77777777" w:rsidR="00CC37BA" w:rsidRPr="009F03E4" w:rsidRDefault="00CC37BA" w:rsidP="00CC37BA">
            <w:pPr>
              <w:jc w:val="center"/>
              <w:rPr>
                <w:rFonts w:cs="Arial"/>
                <w:sz w:val="18"/>
                <w:szCs w:val="18"/>
                <w:lang w:eastAsia="en-GB"/>
              </w:rPr>
            </w:pPr>
            <w:r w:rsidRPr="009F03E4">
              <w:rPr>
                <w:rFonts w:cs="Arial"/>
                <w:sz w:val="18"/>
                <w:szCs w:val="18"/>
                <w:lang w:eastAsia="en-GB"/>
              </w:rPr>
              <w:t> </w:t>
            </w:r>
          </w:p>
        </w:tc>
        <w:tc>
          <w:tcPr>
            <w:tcW w:w="1396" w:type="dxa"/>
            <w:tcBorders>
              <w:top w:val="nil"/>
              <w:left w:val="nil"/>
              <w:bottom w:val="nil"/>
              <w:right w:val="single" w:sz="4" w:space="0" w:color="auto"/>
            </w:tcBorders>
            <w:shd w:val="clear" w:color="000000" w:fill="FFFFFF"/>
            <w:noWrap/>
            <w:vAlign w:val="bottom"/>
            <w:hideMark/>
          </w:tcPr>
          <w:p w14:paraId="1EB4C71C" w14:textId="3BE78A79" w:rsidR="00CC37BA" w:rsidRPr="009F03E4" w:rsidRDefault="0078717B" w:rsidP="00CC37BA">
            <w:pPr>
              <w:jc w:val="right"/>
              <w:rPr>
                <w:rFonts w:cs="Arial"/>
                <w:sz w:val="18"/>
                <w:szCs w:val="18"/>
                <w:lang w:eastAsia="en-GB"/>
              </w:rPr>
            </w:pPr>
            <w:r>
              <w:rPr>
                <w:rFonts w:cs="Arial"/>
                <w:sz w:val="18"/>
                <w:szCs w:val="18"/>
                <w:lang w:eastAsia="en-GB"/>
              </w:rPr>
              <w:t>(</w:t>
            </w:r>
            <w:r w:rsidR="00CC37BA" w:rsidRPr="009F03E4">
              <w:rPr>
                <w:rFonts w:cs="Arial"/>
                <w:sz w:val="18"/>
                <w:szCs w:val="18"/>
                <w:lang w:eastAsia="en-GB"/>
              </w:rPr>
              <w:t>20</w:t>
            </w:r>
            <w:r>
              <w:rPr>
                <w:rFonts w:cs="Arial"/>
                <w:sz w:val="18"/>
                <w:szCs w:val="18"/>
                <w:lang w:eastAsia="en-GB"/>
              </w:rPr>
              <w:t>)</w:t>
            </w:r>
          </w:p>
        </w:tc>
      </w:tr>
      <w:tr w:rsidR="00CC37BA" w:rsidRPr="009F03E4" w14:paraId="5EC311AA" w14:textId="77777777" w:rsidTr="009F03E4">
        <w:trPr>
          <w:trHeight w:val="177"/>
          <w:jc w:val="center"/>
        </w:trPr>
        <w:tc>
          <w:tcPr>
            <w:tcW w:w="1555" w:type="dxa"/>
            <w:tcBorders>
              <w:top w:val="nil"/>
              <w:left w:val="single" w:sz="4" w:space="0" w:color="auto"/>
              <w:bottom w:val="nil"/>
              <w:right w:val="nil"/>
            </w:tcBorders>
            <w:shd w:val="clear" w:color="000000" w:fill="FFFFFF"/>
            <w:noWrap/>
            <w:vAlign w:val="bottom"/>
            <w:hideMark/>
          </w:tcPr>
          <w:p w14:paraId="7EC5FA9A" w14:textId="7FA1B40C" w:rsidR="00CC37BA" w:rsidRPr="009F03E4" w:rsidRDefault="0078717B" w:rsidP="00CC37BA">
            <w:pPr>
              <w:jc w:val="right"/>
              <w:rPr>
                <w:rFonts w:cs="Arial"/>
                <w:b/>
                <w:bCs/>
                <w:color w:val="000000"/>
                <w:sz w:val="18"/>
                <w:szCs w:val="18"/>
                <w:lang w:eastAsia="en-GB"/>
              </w:rPr>
            </w:pPr>
            <w:r>
              <w:rPr>
                <w:rFonts w:cs="Arial"/>
                <w:b/>
                <w:bCs/>
                <w:color w:val="000000"/>
                <w:sz w:val="18"/>
                <w:szCs w:val="18"/>
                <w:lang w:eastAsia="en-GB"/>
              </w:rPr>
              <w:t>(</w:t>
            </w:r>
            <w:r w:rsidR="00CC37BA" w:rsidRPr="009F03E4">
              <w:rPr>
                <w:rFonts w:cs="Arial"/>
                <w:b/>
                <w:bCs/>
                <w:color w:val="000000"/>
                <w:sz w:val="18"/>
                <w:szCs w:val="18"/>
                <w:lang w:eastAsia="en-GB"/>
              </w:rPr>
              <w:t>2,198</w:t>
            </w:r>
            <w:r>
              <w:rPr>
                <w:rFonts w:cs="Arial"/>
                <w:b/>
                <w:bCs/>
                <w:color w:val="000000"/>
                <w:sz w:val="18"/>
                <w:szCs w:val="18"/>
                <w:lang w:eastAsia="en-GB"/>
              </w:rPr>
              <w:t>)</w:t>
            </w:r>
          </w:p>
        </w:tc>
        <w:tc>
          <w:tcPr>
            <w:tcW w:w="425" w:type="dxa"/>
            <w:tcBorders>
              <w:top w:val="nil"/>
              <w:left w:val="nil"/>
              <w:bottom w:val="nil"/>
              <w:right w:val="nil"/>
            </w:tcBorders>
            <w:shd w:val="clear" w:color="000000" w:fill="FFFFFF"/>
            <w:noWrap/>
            <w:vAlign w:val="bottom"/>
            <w:hideMark/>
          </w:tcPr>
          <w:p w14:paraId="0C2BE0FB" w14:textId="77777777" w:rsidR="00CC37BA" w:rsidRPr="009F03E4" w:rsidRDefault="00CC37BA" w:rsidP="00CC37BA">
            <w:pPr>
              <w:rPr>
                <w:rFonts w:cs="Arial"/>
                <w:b/>
                <w:bCs/>
                <w:color w:val="000000"/>
                <w:sz w:val="18"/>
                <w:szCs w:val="18"/>
                <w:lang w:eastAsia="en-GB"/>
              </w:rPr>
            </w:pPr>
            <w:r w:rsidRPr="009F03E4">
              <w:rPr>
                <w:rFonts w:cs="Arial"/>
                <w:b/>
                <w:bCs/>
                <w:color w:val="000000"/>
                <w:sz w:val="18"/>
                <w:szCs w:val="18"/>
                <w:lang w:eastAsia="en-GB"/>
              </w:rPr>
              <w:t> </w:t>
            </w:r>
          </w:p>
        </w:tc>
        <w:tc>
          <w:tcPr>
            <w:tcW w:w="5245" w:type="dxa"/>
            <w:tcBorders>
              <w:top w:val="nil"/>
              <w:left w:val="nil"/>
              <w:bottom w:val="nil"/>
              <w:right w:val="nil"/>
            </w:tcBorders>
            <w:shd w:val="clear" w:color="000000" w:fill="FFFFFF"/>
            <w:noWrap/>
            <w:vAlign w:val="bottom"/>
            <w:hideMark/>
          </w:tcPr>
          <w:p w14:paraId="0A62BA8E" w14:textId="77777777" w:rsidR="00CC37BA" w:rsidRPr="009F03E4" w:rsidRDefault="00CC37BA" w:rsidP="00CC37BA">
            <w:pPr>
              <w:rPr>
                <w:rFonts w:cs="Arial"/>
                <w:b/>
                <w:bCs/>
                <w:sz w:val="18"/>
                <w:szCs w:val="18"/>
                <w:lang w:eastAsia="en-GB"/>
              </w:rPr>
            </w:pPr>
            <w:r w:rsidRPr="009F03E4">
              <w:rPr>
                <w:rFonts w:cs="Arial"/>
                <w:b/>
                <w:bCs/>
                <w:sz w:val="18"/>
                <w:szCs w:val="18"/>
                <w:lang w:eastAsia="en-GB"/>
              </w:rPr>
              <w:t>Current Liabilities</w:t>
            </w:r>
          </w:p>
        </w:tc>
        <w:tc>
          <w:tcPr>
            <w:tcW w:w="731" w:type="dxa"/>
            <w:tcBorders>
              <w:top w:val="nil"/>
              <w:left w:val="nil"/>
              <w:bottom w:val="nil"/>
              <w:right w:val="nil"/>
            </w:tcBorders>
            <w:shd w:val="clear" w:color="000000" w:fill="FFFFFF"/>
            <w:noWrap/>
            <w:vAlign w:val="bottom"/>
            <w:hideMark/>
          </w:tcPr>
          <w:p w14:paraId="089B8400" w14:textId="77777777" w:rsidR="00CC37BA" w:rsidRPr="009F03E4" w:rsidRDefault="00CC37BA" w:rsidP="00CC37BA">
            <w:pPr>
              <w:jc w:val="center"/>
              <w:rPr>
                <w:rFonts w:cs="Arial"/>
                <w:sz w:val="18"/>
                <w:szCs w:val="18"/>
                <w:lang w:eastAsia="en-GB"/>
              </w:rPr>
            </w:pPr>
            <w:r w:rsidRPr="009F03E4">
              <w:rPr>
                <w:rFonts w:cs="Arial"/>
                <w:sz w:val="18"/>
                <w:szCs w:val="18"/>
                <w:lang w:eastAsia="en-GB"/>
              </w:rPr>
              <w:t> </w:t>
            </w:r>
          </w:p>
        </w:tc>
        <w:tc>
          <w:tcPr>
            <w:tcW w:w="1396" w:type="dxa"/>
            <w:tcBorders>
              <w:top w:val="single" w:sz="4" w:space="0" w:color="auto"/>
              <w:left w:val="nil"/>
              <w:bottom w:val="nil"/>
              <w:right w:val="single" w:sz="4" w:space="0" w:color="auto"/>
            </w:tcBorders>
            <w:shd w:val="clear" w:color="000000" w:fill="FFFFFF"/>
            <w:noWrap/>
            <w:vAlign w:val="bottom"/>
            <w:hideMark/>
          </w:tcPr>
          <w:p w14:paraId="5123A022" w14:textId="3BD399C1" w:rsidR="00CC37BA" w:rsidRPr="009F03E4" w:rsidRDefault="0078717B" w:rsidP="00CC37BA">
            <w:pPr>
              <w:jc w:val="right"/>
              <w:rPr>
                <w:rFonts w:cs="Arial"/>
                <w:b/>
                <w:bCs/>
                <w:color w:val="000000"/>
                <w:sz w:val="18"/>
                <w:szCs w:val="18"/>
                <w:lang w:eastAsia="en-GB"/>
              </w:rPr>
            </w:pPr>
            <w:r>
              <w:rPr>
                <w:rFonts w:cs="Arial"/>
                <w:b/>
                <w:bCs/>
                <w:color w:val="000000"/>
                <w:sz w:val="18"/>
                <w:szCs w:val="18"/>
                <w:lang w:eastAsia="en-GB"/>
              </w:rPr>
              <w:t>(</w:t>
            </w:r>
            <w:r w:rsidR="00CC37BA" w:rsidRPr="009F03E4">
              <w:rPr>
                <w:rFonts w:cs="Arial"/>
                <w:b/>
                <w:bCs/>
                <w:color w:val="000000"/>
                <w:sz w:val="18"/>
                <w:szCs w:val="18"/>
                <w:lang w:eastAsia="en-GB"/>
              </w:rPr>
              <w:t>2,4</w:t>
            </w:r>
            <w:r w:rsidR="00404B1C">
              <w:rPr>
                <w:rFonts w:cs="Arial"/>
                <w:b/>
                <w:bCs/>
                <w:color w:val="000000"/>
                <w:sz w:val="18"/>
                <w:szCs w:val="18"/>
                <w:lang w:eastAsia="en-GB"/>
              </w:rPr>
              <w:t>4</w:t>
            </w:r>
            <w:r>
              <w:rPr>
                <w:rFonts w:cs="Arial"/>
                <w:b/>
                <w:bCs/>
                <w:color w:val="000000"/>
                <w:sz w:val="18"/>
                <w:szCs w:val="18"/>
                <w:lang w:eastAsia="en-GB"/>
              </w:rPr>
              <w:t>9)</w:t>
            </w:r>
          </w:p>
        </w:tc>
      </w:tr>
      <w:tr w:rsidR="00CC37BA" w:rsidRPr="009F03E4" w14:paraId="1423FE5C" w14:textId="77777777" w:rsidTr="009F03E4">
        <w:trPr>
          <w:trHeight w:val="80"/>
          <w:jc w:val="center"/>
        </w:trPr>
        <w:tc>
          <w:tcPr>
            <w:tcW w:w="1555" w:type="dxa"/>
            <w:tcBorders>
              <w:top w:val="nil"/>
              <w:left w:val="single" w:sz="4" w:space="0" w:color="auto"/>
              <w:bottom w:val="nil"/>
              <w:right w:val="nil"/>
            </w:tcBorders>
            <w:shd w:val="clear" w:color="000000" w:fill="FFFFFF"/>
            <w:noWrap/>
            <w:vAlign w:val="bottom"/>
            <w:hideMark/>
          </w:tcPr>
          <w:p w14:paraId="7C899460" w14:textId="77777777" w:rsidR="00CC37BA" w:rsidRPr="009F03E4" w:rsidRDefault="00CC37BA" w:rsidP="00CC37BA">
            <w:pPr>
              <w:rPr>
                <w:rFonts w:cs="Arial"/>
                <w:b/>
                <w:bCs/>
                <w:color w:val="000000"/>
                <w:sz w:val="18"/>
                <w:szCs w:val="18"/>
                <w:lang w:eastAsia="en-GB"/>
              </w:rPr>
            </w:pPr>
            <w:r w:rsidRPr="009F03E4">
              <w:rPr>
                <w:rFonts w:cs="Arial"/>
                <w:b/>
                <w:bCs/>
                <w:color w:val="000000"/>
                <w:sz w:val="18"/>
                <w:szCs w:val="18"/>
                <w:lang w:eastAsia="en-GB"/>
              </w:rPr>
              <w:t> </w:t>
            </w:r>
          </w:p>
        </w:tc>
        <w:tc>
          <w:tcPr>
            <w:tcW w:w="425" w:type="dxa"/>
            <w:tcBorders>
              <w:top w:val="nil"/>
              <w:left w:val="nil"/>
              <w:bottom w:val="nil"/>
              <w:right w:val="nil"/>
            </w:tcBorders>
            <w:shd w:val="clear" w:color="000000" w:fill="FFFFFF"/>
            <w:noWrap/>
            <w:vAlign w:val="bottom"/>
            <w:hideMark/>
          </w:tcPr>
          <w:p w14:paraId="450E1D1D" w14:textId="77777777" w:rsidR="00CC37BA" w:rsidRPr="009F03E4" w:rsidRDefault="00CC37BA" w:rsidP="00CC37BA">
            <w:pPr>
              <w:rPr>
                <w:rFonts w:cs="Arial"/>
                <w:b/>
                <w:bCs/>
                <w:color w:val="000000"/>
                <w:sz w:val="18"/>
                <w:szCs w:val="18"/>
                <w:lang w:eastAsia="en-GB"/>
              </w:rPr>
            </w:pPr>
            <w:r w:rsidRPr="009F03E4">
              <w:rPr>
                <w:rFonts w:cs="Arial"/>
                <w:b/>
                <w:bCs/>
                <w:color w:val="000000"/>
                <w:sz w:val="18"/>
                <w:szCs w:val="18"/>
                <w:lang w:eastAsia="en-GB"/>
              </w:rPr>
              <w:t> </w:t>
            </w:r>
          </w:p>
        </w:tc>
        <w:tc>
          <w:tcPr>
            <w:tcW w:w="5245" w:type="dxa"/>
            <w:tcBorders>
              <w:top w:val="nil"/>
              <w:left w:val="nil"/>
              <w:bottom w:val="nil"/>
              <w:right w:val="nil"/>
            </w:tcBorders>
            <w:shd w:val="clear" w:color="000000" w:fill="FFFFFF"/>
            <w:noWrap/>
            <w:vAlign w:val="bottom"/>
            <w:hideMark/>
          </w:tcPr>
          <w:p w14:paraId="497FAD4A" w14:textId="77777777" w:rsidR="00CC37BA" w:rsidRPr="009F03E4" w:rsidRDefault="00CC37BA" w:rsidP="00CC37BA">
            <w:pPr>
              <w:rPr>
                <w:rFonts w:cs="Arial"/>
                <w:sz w:val="18"/>
                <w:szCs w:val="18"/>
                <w:lang w:eastAsia="en-GB"/>
              </w:rPr>
            </w:pPr>
            <w:r w:rsidRPr="009F03E4">
              <w:rPr>
                <w:rFonts w:cs="Arial"/>
                <w:sz w:val="18"/>
                <w:szCs w:val="18"/>
                <w:lang w:eastAsia="en-GB"/>
              </w:rPr>
              <w:t> </w:t>
            </w:r>
          </w:p>
        </w:tc>
        <w:tc>
          <w:tcPr>
            <w:tcW w:w="731" w:type="dxa"/>
            <w:tcBorders>
              <w:top w:val="nil"/>
              <w:left w:val="nil"/>
              <w:bottom w:val="nil"/>
              <w:right w:val="nil"/>
            </w:tcBorders>
            <w:shd w:val="clear" w:color="000000" w:fill="FFFFFF"/>
            <w:noWrap/>
            <w:vAlign w:val="bottom"/>
            <w:hideMark/>
          </w:tcPr>
          <w:p w14:paraId="4227BBDC" w14:textId="77777777" w:rsidR="00CC37BA" w:rsidRPr="009F03E4" w:rsidRDefault="00CC37BA" w:rsidP="00CC37BA">
            <w:pPr>
              <w:jc w:val="center"/>
              <w:rPr>
                <w:rFonts w:cs="Arial"/>
                <w:sz w:val="18"/>
                <w:szCs w:val="18"/>
                <w:lang w:eastAsia="en-GB"/>
              </w:rPr>
            </w:pPr>
            <w:r w:rsidRPr="009F03E4">
              <w:rPr>
                <w:rFonts w:cs="Arial"/>
                <w:sz w:val="18"/>
                <w:szCs w:val="18"/>
                <w:lang w:eastAsia="en-GB"/>
              </w:rPr>
              <w:t> </w:t>
            </w:r>
          </w:p>
        </w:tc>
        <w:tc>
          <w:tcPr>
            <w:tcW w:w="1396" w:type="dxa"/>
            <w:tcBorders>
              <w:top w:val="nil"/>
              <w:left w:val="nil"/>
              <w:bottom w:val="nil"/>
              <w:right w:val="single" w:sz="4" w:space="0" w:color="auto"/>
            </w:tcBorders>
            <w:shd w:val="clear" w:color="000000" w:fill="FFFFFF"/>
            <w:noWrap/>
            <w:vAlign w:val="bottom"/>
            <w:hideMark/>
          </w:tcPr>
          <w:p w14:paraId="095EC7CF" w14:textId="77777777" w:rsidR="00CC37BA" w:rsidRPr="009F03E4" w:rsidRDefault="00CC37BA" w:rsidP="00CC37BA">
            <w:pPr>
              <w:rPr>
                <w:rFonts w:cs="Arial"/>
                <w:b/>
                <w:bCs/>
                <w:color w:val="000000"/>
                <w:sz w:val="18"/>
                <w:szCs w:val="18"/>
                <w:lang w:eastAsia="en-GB"/>
              </w:rPr>
            </w:pPr>
            <w:r w:rsidRPr="009F03E4">
              <w:rPr>
                <w:rFonts w:cs="Arial"/>
                <w:b/>
                <w:bCs/>
                <w:color w:val="000000"/>
                <w:sz w:val="18"/>
                <w:szCs w:val="18"/>
                <w:lang w:eastAsia="en-GB"/>
              </w:rPr>
              <w:t> </w:t>
            </w:r>
          </w:p>
        </w:tc>
      </w:tr>
      <w:tr w:rsidR="00CC37BA" w:rsidRPr="009F03E4" w14:paraId="0873A92D" w14:textId="77777777" w:rsidTr="00CC37BA">
        <w:trPr>
          <w:trHeight w:val="300"/>
          <w:jc w:val="center"/>
        </w:trPr>
        <w:tc>
          <w:tcPr>
            <w:tcW w:w="1555" w:type="dxa"/>
            <w:tcBorders>
              <w:top w:val="nil"/>
              <w:left w:val="single" w:sz="4" w:space="0" w:color="auto"/>
              <w:bottom w:val="nil"/>
              <w:right w:val="nil"/>
            </w:tcBorders>
            <w:shd w:val="clear" w:color="000000" w:fill="FFFFFF"/>
            <w:noWrap/>
            <w:hideMark/>
          </w:tcPr>
          <w:p w14:paraId="43E1BEB4" w14:textId="7445EA37" w:rsidR="00CC37BA" w:rsidRPr="009F03E4" w:rsidRDefault="0078717B" w:rsidP="00CC37BA">
            <w:pPr>
              <w:jc w:val="right"/>
              <w:rPr>
                <w:rFonts w:cs="Arial"/>
                <w:sz w:val="18"/>
                <w:szCs w:val="18"/>
                <w:lang w:eastAsia="en-GB"/>
              </w:rPr>
            </w:pPr>
            <w:r>
              <w:rPr>
                <w:rFonts w:cs="Arial"/>
                <w:sz w:val="18"/>
                <w:szCs w:val="18"/>
                <w:lang w:eastAsia="en-GB"/>
              </w:rPr>
              <w:t>(</w:t>
            </w:r>
            <w:r w:rsidR="00CC37BA" w:rsidRPr="009F03E4">
              <w:rPr>
                <w:rFonts w:cs="Arial"/>
                <w:sz w:val="18"/>
                <w:szCs w:val="18"/>
                <w:lang w:eastAsia="en-GB"/>
              </w:rPr>
              <w:t>17,433</w:t>
            </w:r>
            <w:r>
              <w:rPr>
                <w:rFonts w:cs="Arial"/>
                <w:sz w:val="18"/>
                <w:szCs w:val="18"/>
                <w:lang w:eastAsia="en-GB"/>
              </w:rPr>
              <w:t>)</w:t>
            </w:r>
          </w:p>
        </w:tc>
        <w:tc>
          <w:tcPr>
            <w:tcW w:w="425" w:type="dxa"/>
            <w:tcBorders>
              <w:top w:val="nil"/>
              <w:left w:val="nil"/>
              <w:bottom w:val="nil"/>
              <w:right w:val="nil"/>
            </w:tcBorders>
            <w:shd w:val="clear" w:color="000000" w:fill="FFFFFF"/>
            <w:noWrap/>
            <w:hideMark/>
          </w:tcPr>
          <w:p w14:paraId="465DCA78" w14:textId="77777777" w:rsidR="00CC37BA" w:rsidRPr="009F03E4" w:rsidRDefault="00CC37BA" w:rsidP="00CC37BA">
            <w:pPr>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172D3796" w14:textId="77777777" w:rsidR="00CC37BA" w:rsidRPr="009F03E4" w:rsidRDefault="00CC37BA" w:rsidP="00CC37BA">
            <w:pPr>
              <w:rPr>
                <w:rFonts w:cs="Arial"/>
                <w:sz w:val="18"/>
                <w:szCs w:val="18"/>
                <w:lang w:eastAsia="en-GB"/>
              </w:rPr>
            </w:pPr>
            <w:r w:rsidRPr="009F03E4">
              <w:rPr>
                <w:rFonts w:cs="Arial"/>
                <w:sz w:val="18"/>
                <w:szCs w:val="18"/>
                <w:lang w:eastAsia="en-GB"/>
              </w:rPr>
              <w:t>Liability related to defined benefit pension scheme</w:t>
            </w:r>
          </w:p>
        </w:tc>
        <w:tc>
          <w:tcPr>
            <w:tcW w:w="731" w:type="dxa"/>
            <w:tcBorders>
              <w:top w:val="nil"/>
              <w:left w:val="nil"/>
              <w:bottom w:val="nil"/>
              <w:right w:val="nil"/>
            </w:tcBorders>
            <w:shd w:val="clear" w:color="000000" w:fill="FFFFFF"/>
            <w:noWrap/>
            <w:vAlign w:val="bottom"/>
            <w:hideMark/>
          </w:tcPr>
          <w:p w14:paraId="3CBA2EBD" w14:textId="77777777" w:rsidR="00CC37BA" w:rsidRPr="009F03E4" w:rsidRDefault="00CC37BA" w:rsidP="00CC37BA">
            <w:pPr>
              <w:jc w:val="center"/>
              <w:rPr>
                <w:rFonts w:cs="Arial"/>
                <w:sz w:val="18"/>
                <w:szCs w:val="18"/>
                <w:lang w:eastAsia="en-GB"/>
              </w:rPr>
            </w:pPr>
            <w:r w:rsidRPr="009F03E4">
              <w:rPr>
                <w:rFonts w:cs="Arial"/>
                <w:sz w:val="18"/>
                <w:szCs w:val="18"/>
                <w:lang w:eastAsia="en-GB"/>
              </w:rPr>
              <w:t>15</w:t>
            </w:r>
          </w:p>
        </w:tc>
        <w:tc>
          <w:tcPr>
            <w:tcW w:w="1396" w:type="dxa"/>
            <w:tcBorders>
              <w:top w:val="nil"/>
              <w:left w:val="nil"/>
              <w:bottom w:val="nil"/>
              <w:right w:val="single" w:sz="4" w:space="0" w:color="auto"/>
            </w:tcBorders>
            <w:shd w:val="clear" w:color="000000" w:fill="FFFFFF"/>
            <w:noWrap/>
            <w:hideMark/>
          </w:tcPr>
          <w:p w14:paraId="4D9FD9CF" w14:textId="6D407493" w:rsidR="00CC37BA" w:rsidRPr="009F03E4" w:rsidRDefault="00CC37BA" w:rsidP="00CC37BA">
            <w:pPr>
              <w:jc w:val="right"/>
              <w:rPr>
                <w:rFonts w:cs="Arial"/>
                <w:sz w:val="18"/>
                <w:szCs w:val="18"/>
                <w:lang w:eastAsia="en-GB"/>
              </w:rPr>
            </w:pPr>
            <w:r w:rsidRPr="009F03E4">
              <w:rPr>
                <w:rFonts w:cs="Arial"/>
                <w:sz w:val="18"/>
                <w:szCs w:val="18"/>
                <w:lang w:eastAsia="en-GB"/>
              </w:rPr>
              <w:t>0</w:t>
            </w:r>
          </w:p>
        </w:tc>
      </w:tr>
      <w:tr w:rsidR="00CC37BA" w:rsidRPr="009F03E4" w14:paraId="3A1F50B8" w14:textId="77777777" w:rsidTr="009F03E4">
        <w:trPr>
          <w:trHeight w:val="80"/>
          <w:jc w:val="center"/>
        </w:trPr>
        <w:tc>
          <w:tcPr>
            <w:tcW w:w="1555" w:type="dxa"/>
            <w:tcBorders>
              <w:top w:val="nil"/>
              <w:left w:val="single" w:sz="4" w:space="0" w:color="auto"/>
              <w:bottom w:val="nil"/>
              <w:right w:val="nil"/>
            </w:tcBorders>
            <w:shd w:val="clear" w:color="000000" w:fill="FFFFFF"/>
            <w:noWrap/>
            <w:hideMark/>
          </w:tcPr>
          <w:p w14:paraId="582DE80E" w14:textId="77777777" w:rsidR="00CC37BA" w:rsidRPr="009F03E4" w:rsidRDefault="00CC37BA" w:rsidP="00CC37BA">
            <w:pPr>
              <w:rPr>
                <w:rFonts w:cs="Arial"/>
                <w:sz w:val="18"/>
                <w:szCs w:val="18"/>
                <w:lang w:eastAsia="en-GB"/>
              </w:rPr>
            </w:pPr>
            <w:r w:rsidRPr="009F03E4">
              <w:rPr>
                <w:rFonts w:cs="Arial"/>
                <w:sz w:val="18"/>
                <w:szCs w:val="18"/>
                <w:lang w:eastAsia="en-GB"/>
              </w:rPr>
              <w:t> </w:t>
            </w:r>
          </w:p>
        </w:tc>
        <w:tc>
          <w:tcPr>
            <w:tcW w:w="425" w:type="dxa"/>
            <w:tcBorders>
              <w:top w:val="nil"/>
              <w:left w:val="nil"/>
              <w:bottom w:val="nil"/>
              <w:right w:val="nil"/>
            </w:tcBorders>
            <w:shd w:val="clear" w:color="000000" w:fill="FFFFFF"/>
            <w:noWrap/>
            <w:hideMark/>
          </w:tcPr>
          <w:p w14:paraId="742C5094" w14:textId="77777777" w:rsidR="00CC37BA" w:rsidRPr="009F03E4" w:rsidRDefault="00CC37BA" w:rsidP="00CC37BA">
            <w:pPr>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631C2264" w14:textId="77777777" w:rsidR="00CC37BA" w:rsidRPr="009F03E4" w:rsidRDefault="00CC37BA" w:rsidP="00CC37BA">
            <w:pPr>
              <w:rPr>
                <w:rFonts w:cs="Arial"/>
                <w:sz w:val="18"/>
                <w:szCs w:val="18"/>
                <w:lang w:eastAsia="en-GB"/>
              </w:rPr>
            </w:pPr>
            <w:r w:rsidRPr="009F03E4">
              <w:rPr>
                <w:rFonts w:cs="Arial"/>
                <w:sz w:val="18"/>
                <w:szCs w:val="18"/>
                <w:lang w:eastAsia="en-GB"/>
              </w:rPr>
              <w:t> </w:t>
            </w:r>
          </w:p>
        </w:tc>
        <w:tc>
          <w:tcPr>
            <w:tcW w:w="731" w:type="dxa"/>
            <w:tcBorders>
              <w:top w:val="nil"/>
              <w:left w:val="nil"/>
              <w:bottom w:val="nil"/>
              <w:right w:val="nil"/>
            </w:tcBorders>
            <w:shd w:val="clear" w:color="000000" w:fill="FFFFFF"/>
            <w:noWrap/>
            <w:vAlign w:val="bottom"/>
            <w:hideMark/>
          </w:tcPr>
          <w:p w14:paraId="4960546F" w14:textId="77777777" w:rsidR="00CC37BA" w:rsidRPr="009F03E4" w:rsidRDefault="00CC37BA" w:rsidP="00CC37BA">
            <w:pPr>
              <w:jc w:val="center"/>
              <w:rPr>
                <w:rFonts w:cs="Arial"/>
                <w:sz w:val="18"/>
                <w:szCs w:val="18"/>
                <w:lang w:eastAsia="en-GB"/>
              </w:rPr>
            </w:pPr>
            <w:r w:rsidRPr="009F03E4">
              <w:rPr>
                <w:rFonts w:cs="Arial"/>
                <w:sz w:val="18"/>
                <w:szCs w:val="18"/>
                <w:lang w:eastAsia="en-GB"/>
              </w:rPr>
              <w:t> </w:t>
            </w:r>
          </w:p>
        </w:tc>
        <w:tc>
          <w:tcPr>
            <w:tcW w:w="1396" w:type="dxa"/>
            <w:tcBorders>
              <w:top w:val="nil"/>
              <w:left w:val="nil"/>
              <w:bottom w:val="nil"/>
              <w:right w:val="single" w:sz="4" w:space="0" w:color="auto"/>
            </w:tcBorders>
            <w:shd w:val="clear" w:color="000000" w:fill="FFFFFF"/>
            <w:noWrap/>
            <w:hideMark/>
          </w:tcPr>
          <w:p w14:paraId="0F93F4B4" w14:textId="77777777" w:rsidR="00CC37BA" w:rsidRPr="009F03E4" w:rsidRDefault="00CC37BA" w:rsidP="00CC37BA">
            <w:pPr>
              <w:rPr>
                <w:rFonts w:cs="Arial"/>
                <w:sz w:val="18"/>
                <w:szCs w:val="18"/>
                <w:lang w:eastAsia="en-GB"/>
              </w:rPr>
            </w:pPr>
            <w:r w:rsidRPr="009F03E4">
              <w:rPr>
                <w:rFonts w:cs="Arial"/>
                <w:sz w:val="18"/>
                <w:szCs w:val="18"/>
                <w:lang w:eastAsia="en-GB"/>
              </w:rPr>
              <w:t> </w:t>
            </w:r>
          </w:p>
        </w:tc>
      </w:tr>
      <w:tr w:rsidR="00CC37BA" w:rsidRPr="009F03E4" w14:paraId="3FC5AD90" w14:textId="77777777" w:rsidTr="009F03E4">
        <w:trPr>
          <w:trHeight w:val="117"/>
          <w:jc w:val="center"/>
        </w:trPr>
        <w:tc>
          <w:tcPr>
            <w:tcW w:w="1555" w:type="dxa"/>
            <w:tcBorders>
              <w:top w:val="single" w:sz="4" w:space="0" w:color="auto"/>
              <w:left w:val="single" w:sz="4" w:space="0" w:color="auto"/>
              <w:bottom w:val="nil"/>
              <w:right w:val="nil"/>
            </w:tcBorders>
            <w:shd w:val="clear" w:color="000000" w:fill="FFFFFF"/>
            <w:noWrap/>
            <w:vAlign w:val="bottom"/>
            <w:hideMark/>
          </w:tcPr>
          <w:p w14:paraId="5E686694" w14:textId="3FB1944E" w:rsidR="00CC37BA" w:rsidRPr="009F03E4" w:rsidRDefault="0078717B" w:rsidP="00CC37BA">
            <w:pPr>
              <w:jc w:val="right"/>
              <w:rPr>
                <w:rFonts w:cs="Arial"/>
                <w:b/>
                <w:bCs/>
                <w:sz w:val="18"/>
                <w:szCs w:val="18"/>
                <w:lang w:eastAsia="en-GB"/>
              </w:rPr>
            </w:pPr>
            <w:r>
              <w:rPr>
                <w:rFonts w:cs="Arial"/>
                <w:b/>
                <w:bCs/>
                <w:sz w:val="18"/>
                <w:szCs w:val="18"/>
                <w:lang w:eastAsia="en-GB"/>
              </w:rPr>
              <w:t>(</w:t>
            </w:r>
            <w:r w:rsidR="00CC37BA" w:rsidRPr="009F03E4">
              <w:rPr>
                <w:rFonts w:cs="Arial"/>
                <w:b/>
                <w:bCs/>
                <w:sz w:val="18"/>
                <w:szCs w:val="18"/>
                <w:lang w:eastAsia="en-GB"/>
              </w:rPr>
              <w:t>17,433</w:t>
            </w:r>
            <w:r>
              <w:rPr>
                <w:rFonts w:cs="Arial"/>
                <w:b/>
                <w:bCs/>
                <w:sz w:val="18"/>
                <w:szCs w:val="18"/>
                <w:lang w:eastAsia="en-GB"/>
              </w:rPr>
              <w:t>)</w:t>
            </w:r>
          </w:p>
        </w:tc>
        <w:tc>
          <w:tcPr>
            <w:tcW w:w="425" w:type="dxa"/>
            <w:tcBorders>
              <w:top w:val="nil"/>
              <w:left w:val="nil"/>
              <w:bottom w:val="nil"/>
              <w:right w:val="nil"/>
            </w:tcBorders>
            <w:shd w:val="clear" w:color="000000" w:fill="FFFFFF"/>
            <w:noWrap/>
            <w:vAlign w:val="bottom"/>
            <w:hideMark/>
          </w:tcPr>
          <w:p w14:paraId="66341D65" w14:textId="77777777" w:rsidR="00CC37BA" w:rsidRPr="009F03E4" w:rsidRDefault="00CC37BA" w:rsidP="00CC37BA">
            <w:pPr>
              <w:jc w:val="right"/>
              <w:rPr>
                <w:rFonts w:cs="Arial"/>
                <w:b/>
                <w:bCs/>
                <w:sz w:val="18"/>
                <w:szCs w:val="18"/>
                <w:lang w:eastAsia="en-GB"/>
              </w:rPr>
            </w:pPr>
            <w:r w:rsidRPr="009F03E4">
              <w:rPr>
                <w:rFonts w:cs="Arial"/>
                <w:b/>
                <w:bCs/>
                <w:sz w:val="18"/>
                <w:szCs w:val="18"/>
                <w:lang w:eastAsia="en-GB"/>
              </w:rPr>
              <w:t> </w:t>
            </w:r>
          </w:p>
        </w:tc>
        <w:tc>
          <w:tcPr>
            <w:tcW w:w="5245" w:type="dxa"/>
            <w:tcBorders>
              <w:top w:val="nil"/>
              <w:left w:val="nil"/>
              <w:bottom w:val="nil"/>
              <w:right w:val="nil"/>
            </w:tcBorders>
            <w:shd w:val="clear" w:color="000000" w:fill="FFFFFF"/>
            <w:noWrap/>
            <w:vAlign w:val="bottom"/>
            <w:hideMark/>
          </w:tcPr>
          <w:p w14:paraId="78589F87" w14:textId="77777777" w:rsidR="00CC37BA" w:rsidRPr="009F03E4" w:rsidRDefault="00CC37BA" w:rsidP="00CC37BA">
            <w:pPr>
              <w:rPr>
                <w:rFonts w:cs="Arial"/>
                <w:b/>
                <w:bCs/>
                <w:sz w:val="18"/>
                <w:szCs w:val="18"/>
                <w:lang w:eastAsia="en-GB"/>
              </w:rPr>
            </w:pPr>
            <w:r w:rsidRPr="009F03E4">
              <w:rPr>
                <w:rFonts w:cs="Arial"/>
                <w:b/>
                <w:bCs/>
                <w:sz w:val="18"/>
                <w:szCs w:val="18"/>
                <w:lang w:eastAsia="en-GB"/>
              </w:rPr>
              <w:t>Long Term Liabilities</w:t>
            </w:r>
          </w:p>
        </w:tc>
        <w:tc>
          <w:tcPr>
            <w:tcW w:w="731" w:type="dxa"/>
            <w:tcBorders>
              <w:top w:val="nil"/>
              <w:left w:val="nil"/>
              <w:bottom w:val="nil"/>
              <w:right w:val="nil"/>
            </w:tcBorders>
            <w:shd w:val="clear" w:color="000000" w:fill="FFFFFF"/>
            <w:noWrap/>
            <w:vAlign w:val="bottom"/>
            <w:hideMark/>
          </w:tcPr>
          <w:p w14:paraId="7AECF733" w14:textId="77777777" w:rsidR="00CC37BA" w:rsidRPr="009F03E4" w:rsidRDefault="00CC37BA" w:rsidP="00CC37BA">
            <w:pPr>
              <w:jc w:val="center"/>
              <w:rPr>
                <w:rFonts w:cs="Arial"/>
                <w:sz w:val="18"/>
                <w:szCs w:val="18"/>
                <w:lang w:eastAsia="en-GB"/>
              </w:rPr>
            </w:pPr>
            <w:r w:rsidRPr="009F03E4">
              <w:rPr>
                <w:rFonts w:cs="Arial"/>
                <w:sz w:val="18"/>
                <w:szCs w:val="18"/>
                <w:lang w:eastAsia="en-GB"/>
              </w:rPr>
              <w:t> </w:t>
            </w:r>
          </w:p>
        </w:tc>
        <w:tc>
          <w:tcPr>
            <w:tcW w:w="1396" w:type="dxa"/>
            <w:tcBorders>
              <w:top w:val="single" w:sz="4" w:space="0" w:color="auto"/>
              <w:left w:val="nil"/>
              <w:bottom w:val="nil"/>
              <w:right w:val="single" w:sz="4" w:space="0" w:color="auto"/>
            </w:tcBorders>
            <w:shd w:val="clear" w:color="000000" w:fill="FFFFFF"/>
            <w:noWrap/>
            <w:vAlign w:val="bottom"/>
            <w:hideMark/>
          </w:tcPr>
          <w:p w14:paraId="6FD454CA" w14:textId="10E2052F" w:rsidR="00CC37BA" w:rsidRPr="009F03E4" w:rsidRDefault="00CC37BA" w:rsidP="00CC37BA">
            <w:pPr>
              <w:jc w:val="right"/>
              <w:rPr>
                <w:rFonts w:cs="Arial"/>
                <w:b/>
                <w:bCs/>
                <w:sz w:val="18"/>
                <w:szCs w:val="18"/>
                <w:lang w:eastAsia="en-GB"/>
              </w:rPr>
            </w:pPr>
            <w:r w:rsidRPr="009F03E4">
              <w:rPr>
                <w:rFonts w:cs="Arial"/>
                <w:b/>
                <w:bCs/>
                <w:sz w:val="18"/>
                <w:szCs w:val="18"/>
                <w:lang w:eastAsia="en-GB"/>
              </w:rPr>
              <w:t>0</w:t>
            </w:r>
          </w:p>
        </w:tc>
      </w:tr>
      <w:tr w:rsidR="00CC37BA" w:rsidRPr="009F03E4" w14:paraId="54F12108" w14:textId="77777777" w:rsidTr="009F03E4">
        <w:trPr>
          <w:trHeight w:val="101"/>
          <w:jc w:val="center"/>
        </w:trPr>
        <w:tc>
          <w:tcPr>
            <w:tcW w:w="1555" w:type="dxa"/>
            <w:tcBorders>
              <w:top w:val="nil"/>
              <w:left w:val="single" w:sz="4" w:space="0" w:color="auto"/>
              <w:bottom w:val="nil"/>
              <w:right w:val="nil"/>
            </w:tcBorders>
            <w:shd w:val="clear" w:color="000000" w:fill="FFFFFF"/>
            <w:noWrap/>
            <w:vAlign w:val="bottom"/>
            <w:hideMark/>
          </w:tcPr>
          <w:p w14:paraId="1DA0419C" w14:textId="77777777" w:rsidR="00CC37BA" w:rsidRPr="009F03E4" w:rsidRDefault="00CC37BA" w:rsidP="00CC37BA">
            <w:pPr>
              <w:rPr>
                <w:rFonts w:cs="Arial"/>
                <w:sz w:val="18"/>
                <w:szCs w:val="18"/>
                <w:lang w:eastAsia="en-GB"/>
              </w:rPr>
            </w:pPr>
            <w:r w:rsidRPr="009F03E4">
              <w:rPr>
                <w:rFonts w:cs="Arial"/>
                <w:sz w:val="18"/>
                <w:szCs w:val="18"/>
                <w:lang w:eastAsia="en-GB"/>
              </w:rPr>
              <w:t> </w:t>
            </w:r>
          </w:p>
        </w:tc>
        <w:tc>
          <w:tcPr>
            <w:tcW w:w="425" w:type="dxa"/>
            <w:tcBorders>
              <w:top w:val="nil"/>
              <w:left w:val="nil"/>
              <w:bottom w:val="nil"/>
              <w:right w:val="nil"/>
            </w:tcBorders>
            <w:shd w:val="clear" w:color="000000" w:fill="FFFFFF"/>
            <w:noWrap/>
            <w:vAlign w:val="bottom"/>
            <w:hideMark/>
          </w:tcPr>
          <w:p w14:paraId="2801BE69" w14:textId="77777777" w:rsidR="00CC37BA" w:rsidRPr="009F03E4" w:rsidRDefault="00CC37BA" w:rsidP="00CC37BA">
            <w:pPr>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65F29995" w14:textId="77777777" w:rsidR="00CC37BA" w:rsidRPr="009F03E4" w:rsidRDefault="00CC37BA" w:rsidP="00CC37BA">
            <w:pPr>
              <w:rPr>
                <w:rFonts w:cs="Arial"/>
                <w:sz w:val="18"/>
                <w:szCs w:val="18"/>
                <w:lang w:eastAsia="en-GB"/>
              </w:rPr>
            </w:pPr>
            <w:r w:rsidRPr="009F03E4">
              <w:rPr>
                <w:rFonts w:cs="Arial"/>
                <w:sz w:val="18"/>
                <w:szCs w:val="18"/>
                <w:lang w:eastAsia="en-GB"/>
              </w:rPr>
              <w:t> </w:t>
            </w:r>
          </w:p>
        </w:tc>
        <w:tc>
          <w:tcPr>
            <w:tcW w:w="731" w:type="dxa"/>
            <w:tcBorders>
              <w:top w:val="nil"/>
              <w:left w:val="nil"/>
              <w:bottom w:val="nil"/>
              <w:right w:val="nil"/>
            </w:tcBorders>
            <w:shd w:val="clear" w:color="000000" w:fill="FFFFFF"/>
            <w:noWrap/>
            <w:vAlign w:val="bottom"/>
            <w:hideMark/>
          </w:tcPr>
          <w:p w14:paraId="26FAE85C" w14:textId="77777777" w:rsidR="00CC37BA" w:rsidRPr="009F03E4" w:rsidRDefault="00CC37BA" w:rsidP="00CC37BA">
            <w:pPr>
              <w:jc w:val="center"/>
              <w:rPr>
                <w:rFonts w:cs="Arial"/>
                <w:sz w:val="18"/>
                <w:szCs w:val="18"/>
                <w:lang w:eastAsia="en-GB"/>
              </w:rPr>
            </w:pPr>
            <w:r w:rsidRPr="009F03E4">
              <w:rPr>
                <w:rFonts w:cs="Arial"/>
                <w:sz w:val="18"/>
                <w:szCs w:val="18"/>
                <w:lang w:eastAsia="en-GB"/>
              </w:rPr>
              <w:t> </w:t>
            </w:r>
          </w:p>
        </w:tc>
        <w:tc>
          <w:tcPr>
            <w:tcW w:w="1396" w:type="dxa"/>
            <w:tcBorders>
              <w:top w:val="nil"/>
              <w:left w:val="nil"/>
              <w:bottom w:val="nil"/>
              <w:right w:val="single" w:sz="4" w:space="0" w:color="auto"/>
            </w:tcBorders>
            <w:shd w:val="clear" w:color="000000" w:fill="FFFFFF"/>
            <w:noWrap/>
            <w:vAlign w:val="bottom"/>
            <w:hideMark/>
          </w:tcPr>
          <w:p w14:paraId="02B0D53C" w14:textId="77777777" w:rsidR="00CC37BA" w:rsidRPr="009F03E4" w:rsidRDefault="00CC37BA" w:rsidP="00CC37BA">
            <w:pPr>
              <w:rPr>
                <w:rFonts w:cs="Arial"/>
                <w:sz w:val="18"/>
                <w:szCs w:val="18"/>
                <w:lang w:eastAsia="en-GB"/>
              </w:rPr>
            </w:pPr>
            <w:r w:rsidRPr="009F03E4">
              <w:rPr>
                <w:rFonts w:cs="Arial"/>
                <w:sz w:val="18"/>
                <w:szCs w:val="18"/>
                <w:lang w:eastAsia="en-GB"/>
              </w:rPr>
              <w:t> </w:t>
            </w:r>
          </w:p>
        </w:tc>
      </w:tr>
      <w:tr w:rsidR="00CC37BA" w:rsidRPr="009F03E4" w14:paraId="466ED5CB" w14:textId="77777777" w:rsidTr="00CC37BA">
        <w:trPr>
          <w:trHeight w:val="310"/>
          <w:jc w:val="center"/>
        </w:trPr>
        <w:tc>
          <w:tcPr>
            <w:tcW w:w="1555" w:type="dxa"/>
            <w:tcBorders>
              <w:top w:val="single" w:sz="4" w:space="0" w:color="auto"/>
              <w:left w:val="single" w:sz="4" w:space="0" w:color="auto"/>
              <w:bottom w:val="double" w:sz="6" w:space="0" w:color="auto"/>
              <w:right w:val="nil"/>
            </w:tcBorders>
            <w:shd w:val="clear" w:color="000000" w:fill="FFFFFF"/>
            <w:noWrap/>
            <w:vAlign w:val="center"/>
            <w:hideMark/>
          </w:tcPr>
          <w:p w14:paraId="418D1FA0" w14:textId="77777777" w:rsidR="00CC37BA" w:rsidRPr="009F03E4" w:rsidRDefault="00CC37BA" w:rsidP="00CC37BA">
            <w:pPr>
              <w:jc w:val="right"/>
              <w:rPr>
                <w:rFonts w:cs="Arial"/>
                <w:b/>
                <w:bCs/>
                <w:sz w:val="18"/>
                <w:szCs w:val="18"/>
                <w:lang w:eastAsia="en-GB"/>
              </w:rPr>
            </w:pPr>
            <w:r w:rsidRPr="009F03E4">
              <w:rPr>
                <w:rFonts w:cs="Arial"/>
                <w:b/>
                <w:bCs/>
                <w:sz w:val="18"/>
                <w:szCs w:val="18"/>
                <w:lang w:eastAsia="en-GB"/>
              </w:rPr>
              <w:t>21,331</w:t>
            </w:r>
          </w:p>
        </w:tc>
        <w:tc>
          <w:tcPr>
            <w:tcW w:w="425" w:type="dxa"/>
            <w:tcBorders>
              <w:top w:val="nil"/>
              <w:left w:val="nil"/>
              <w:bottom w:val="nil"/>
              <w:right w:val="nil"/>
            </w:tcBorders>
            <w:shd w:val="clear" w:color="000000" w:fill="FFFFFF"/>
            <w:noWrap/>
            <w:vAlign w:val="center"/>
            <w:hideMark/>
          </w:tcPr>
          <w:p w14:paraId="5E03274C" w14:textId="77777777" w:rsidR="00CC37BA" w:rsidRPr="009F03E4" w:rsidRDefault="00CC37BA" w:rsidP="00CC37BA">
            <w:pPr>
              <w:jc w:val="right"/>
              <w:rPr>
                <w:rFonts w:cs="Arial"/>
                <w:b/>
                <w:bCs/>
                <w:sz w:val="18"/>
                <w:szCs w:val="18"/>
                <w:lang w:eastAsia="en-GB"/>
              </w:rPr>
            </w:pPr>
            <w:r w:rsidRPr="009F03E4">
              <w:rPr>
                <w:rFonts w:cs="Arial"/>
                <w:b/>
                <w:bCs/>
                <w:sz w:val="18"/>
                <w:szCs w:val="18"/>
                <w:lang w:eastAsia="en-GB"/>
              </w:rPr>
              <w:t> </w:t>
            </w:r>
          </w:p>
        </w:tc>
        <w:tc>
          <w:tcPr>
            <w:tcW w:w="5245" w:type="dxa"/>
            <w:tcBorders>
              <w:top w:val="nil"/>
              <w:left w:val="nil"/>
              <w:bottom w:val="nil"/>
              <w:right w:val="nil"/>
            </w:tcBorders>
            <w:shd w:val="clear" w:color="000000" w:fill="FFFFFF"/>
            <w:noWrap/>
            <w:vAlign w:val="center"/>
            <w:hideMark/>
          </w:tcPr>
          <w:p w14:paraId="3A077736" w14:textId="77777777" w:rsidR="00CC37BA" w:rsidRPr="009F03E4" w:rsidRDefault="00CC37BA" w:rsidP="00CC37BA">
            <w:pPr>
              <w:rPr>
                <w:rFonts w:cs="Arial"/>
                <w:b/>
                <w:bCs/>
                <w:sz w:val="18"/>
                <w:szCs w:val="18"/>
                <w:lang w:eastAsia="en-GB"/>
              </w:rPr>
            </w:pPr>
            <w:r w:rsidRPr="009F03E4">
              <w:rPr>
                <w:rFonts w:cs="Arial"/>
                <w:b/>
                <w:bCs/>
                <w:sz w:val="18"/>
                <w:szCs w:val="18"/>
                <w:lang w:eastAsia="en-GB"/>
              </w:rPr>
              <w:t>Net Assets</w:t>
            </w:r>
          </w:p>
        </w:tc>
        <w:tc>
          <w:tcPr>
            <w:tcW w:w="731" w:type="dxa"/>
            <w:tcBorders>
              <w:top w:val="nil"/>
              <w:left w:val="nil"/>
              <w:bottom w:val="nil"/>
              <w:right w:val="nil"/>
            </w:tcBorders>
            <w:shd w:val="clear" w:color="000000" w:fill="FFFFFF"/>
            <w:noWrap/>
            <w:vAlign w:val="bottom"/>
            <w:hideMark/>
          </w:tcPr>
          <w:p w14:paraId="4B751BF9" w14:textId="77777777" w:rsidR="00CC37BA" w:rsidRPr="009F03E4" w:rsidRDefault="00CC37BA" w:rsidP="00CC37BA">
            <w:pPr>
              <w:jc w:val="center"/>
              <w:rPr>
                <w:rFonts w:cs="Arial"/>
                <w:sz w:val="18"/>
                <w:szCs w:val="18"/>
                <w:lang w:eastAsia="en-GB"/>
              </w:rPr>
            </w:pPr>
            <w:r w:rsidRPr="009F03E4">
              <w:rPr>
                <w:rFonts w:cs="Arial"/>
                <w:sz w:val="18"/>
                <w:szCs w:val="18"/>
                <w:lang w:eastAsia="en-GB"/>
              </w:rPr>
              <w:t> </w:t>
            </w:r>
          </w:p>
        </w:tc>
        <w:tc>
          <w:tcPr>
            <w:tcW w:w="1396" w:type="dxa"/>
            <w:tcBorders>
              <w:top w:val="single" w:sz="4" w:space="0" w:color="auto"/>
              <w:left w:val="nil"/>
              <w:bottom w:val="double" w:sz="6" w:space="0" w:color="auto"/>
              <w:right w:val="single" w:sz="4" w:space="0" w:color="auto"/>
            </w:tcBorders>
            <w:shd w:val="clear" w:color="000000" w:fill="FFFFFF"/>
            <w:noWrap/>
            <w:vAlign w:val="center"/>
            <w:hideMark/>
          </w:tcPr>
          <w:p w14:paraId="66BEF2A0" w14:textId="5388AF32" w:rsidR="00CC37BA" w:rsidRPr="009F03E4" w:rsidRDefault="00CC37BA" w:rsidP="00CC37BA">
            <w:pPr>
              <w:jc w:val="right"/>
              <w:rPr>
                <w:rFonts w:cs="Arial"/>
                <w:b/>
                <w:bCs/>
                <w:sz w:val="18"/>
                <w:szCs w:val="18"/>
                <w:lang w:eastAsia="en-GB"/>
              </w:rPr>
            </w:pPr>
            <w:r w:rsidRPr="009F03E4">
              <w:rPr>
                <w:rFonts w:cs="Arial"/>
                <w:b/>
                <w:bCs/>
                <w:sz w:val="18"/>
                <w:szCs w:val="18"/>
                <w:lang w:eastAsia="en-GB"/>
              </w:rPr>
              <w:t>4</w:t>
            </w:r>
            <w:r w:rsidR="0078717B">
              <w:rPr>
                <w:rFonts w:cs="Arial"/>
                <w:b/>
                <w:bCs/>
                <w:sz w:val="18"/>
                <w:szCs w:val="18"/>
                <w:lang w:eastAsia="en-GB"/>
              </w:rPr>
              <w:t>5,</w:t>
            </w:r>
            <w:r w:rsidR="005D6A99">
              <w:rPr>
                <w:rFonts w:cs="Arial"/>
                <w:b/>
                <w:bCs/>
                <w:sz w:val="18"/>
                <w:szCs w:val="18"/>
                <w:lang w:eastAsia="en-GB"/>
              </w:rPr>
              <w:t>135</w:t>
            </w:r>
          </w:p>
        </w:tc>
      </w:tr>
      <w:tr w:rsidR="00CC37BA" w:rsidRPr="009F03E4" w14:paraId="4CA5AA23" w14:textId="77777777" w:rsidTr="009F03E4">
        <w:trPr>
          <w:trHeight w:val="102"/>
          <w:jc w:val="center"/>
        </w:trPr>
        <w:tc>
          <w:tcPr>
            <w:tcW w:w="1555" w:type="dxa"/>
            <w:tcBorders>
              <w:top w:val="nil"/>
              <w:left w:val="single" w:sz="4" w:space="0" w:color="auto"/>
              <w:bottom w:val="nil"/>
              <w:right w:val="nil"/>
            </w:tcBorders>
            <w:shd w:val="clear" w:color="000000" w:fill="FFFFFF"/>
            <w:noWrap/>
            <w:vAlign w:val="bottom"/>
            <w:hideMark/>
          </w:tcPr>
          <w:p w14:paraId="250C9547" w14:textId="77777777" w:rsidR="00CC37BA" w:rsidRPr="009F03E4" w:rsidRDefault="00CC37BA" w:rsidP="00CC37BA">
            <w:pPr>
              <w:rPr>
                <w:rFonts w:cs="Arial"/>
                <w:sz w:val="18"/>
                <w:szCs w:val="18"/>
                <w:lang w:eastAsia="en-GB"/>
              </w:rPr>
            </w:pPr>
            <w:r w:rsidRPr="009F03E4">
              <w:rPr>
                <w:rFonts w:cs="Arial"/>
                <w:sz w:val="18"/>
                <w:szCs w:val="18"/>
                <w:lang w:eastAsia="en-GB"/>
              </w:rPr>
              <w:t> </w:t>
            </w:r>
          </w:p>
        </w:tc>
        <w:tc>
          <w:tcPr>
            <w:tcW w:w="425" w:type="dxa"/>
            <w:tcBorders>
              <w:top w:val="nil"/>
              <w:left w:val="nil"/>
              <w:bottom w:val="nil"/>
              <w:right w:val="nil"/>
            </w:tcBorders>
            <w:shd w:val="clear" w:color="000000" w:fill="FFFFFF"/>
            <w:noWrap/>
            <w:vAlign w:val="bottom"/>
            <w:hideMark/>
          </w:tcPr>
          <w:p w14:paraId="6EC79809" w14:textId="77777777" w:rsidR="00CC37BA" w:rsidRPr="009F03E4" w:rsidRDefault="00CC37BA" w:rsidP="00CC37BA">
            <w:pPr>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7A2089E7" w14:textId="77777777" w:rsidR="00CC37BA" w:rsidRPr="009F03E4" w:rsidRDefault="00CC37BA" w:rsidP="00CC37BA">
            <w:pPr>
              <w:rPr>
                <w:rFonts w:cs="Arial"/>
                <w:sz w:val="18"/>
                <w:szCs w:val="18"/>
                <w:lang w:eastAsia="en-GB"/>
              </w:rPr>
            </w:pPr>
            <w:r w:rsidRPr="009F03E4">
              <w:rPr>
                <w:rFonts w:cs="Arial"/>
                <w:sz w:val="18"/>
                <w:szCs w:val="18"/>
                <w:lang w:eastAsia="en-GB"/>
              </w:rPr>
              <w:t> </w:t>
            </w:r>
          </w:p>
        </w:tc>
        <w:tc>
          <w:tcPr>
            <w:tcW w:w="731" w:type="dxa"/>
            <w:tcBorders>
              <w:top w:val="nil"/>
              <w:left w:val="nil"/>
              <w:bottom w:val="nil"/>
              <w:right w:val="nil"/>
            </w:tcBorders>
            <w:shd w:val="clear" w:color="000000" w:fill="FFFFFF"/>
            <w:noWrap/>
            <w:vAlign w:val="bottom"/>
            <w:hideMark/>
          </w:tcPr>
          <w:p w14:paraId="4D574DD7" w14:textId="77777777" w:rsidR="00CC37BA" w:rsidRPr="009F03E4" w:rsidRDefault="00CC37BA" w:rsidP="00CC37BA">
            <w:pPr>
              <w:jc w:val="center"/>
              <w:rPr>
                <w:rFonts w:cs="Arial"/>
                <w:sz w:val="18"/>
                <w:szCs w:val="18"/>
                <w:lang w:eastAsia="en-GB"/>
              </w:rPr>
            </w:pPr>
            <w:r w:rsidRPr="009F03E4">
              <w:rPr>
                <w:rFonts w:cs="Arial"/>
                <w:sz w:val="18"/>
                <w:szCs w:val="18"/>
                <w:lang w:eastAsia="en-GB"/>
              </w:rPr>
              <w:t> </w:t>
            </w:r>
          </w:p>
        </w:tc>
        <w:tc>
          <w:tcPr>
            <w:tcW w:w="1396" w:type="dxa"/>
            <w:tcBorders>
              <w:top w:val="nil"/>
              <w:left w:val="nil"/>
              <w:bottom w:val="nil"/>
              <w:right w:val="single" w:sz="4" w:space="0" w:color="auto"/>
            </w:tcBorders>
            <w:shd w:val="clear" w:color="000000" w:fill="FFFFFF"/>
            <w:noWrap/>
            <w:vAlign w:val="bottom"/>
            <w:hideMark/>
          </w:tcPr>
          <w:p w14:paraId="295212BD" w14:textId="77777777" w:rsidR="00CC37BA" w:rsidRPr="009F03E4" w:rsidRDefault="00CC37BA" w:rsidP="00CC37BA">
            <w:pPr>
              <w:rPr>
                <w:rFonts w:cs="Arial"/>
                <w:sz w:val="18"/>
                <w:szCs w:val="18"/>
                <w:lang w:eastAsia="en-GB"/>
              </w:rPr>
            </w:pPr>
            <w:r w:rsidRPr="009F03E4">
              <w:rPr>
                <w:rFonts w:cs="Arial"/>
                <w:sz w:val="18"/>
                <w:szCs w:val="18"/>
                <w:lang w:eastAsia="en-GB"/>
              </w:rPr>
              <w:t> </w:t>
            </w:r>
          </w:p>
        </w:tc>
      </w:tr>
      <w:tr w:rsidR="00CC37BA" w:rsidRPr="009F03E4" w14:paraId="36B06B27" w14:textId="77777777" w:rsidTr="009F03E4">
        <w:trPr>
          <w:trHeight w:val="179"/>
          <w:jc w:val="center"/>
        </w:trPr>
        <w:tc>
          <w:tcPr>
            <w:tcW w:w="1555" w:type="dxa"/>
            <w:tcBorders>
              <w:top w:val="nil"/>
              <w:left w:val="single" w:sz="4" w:space="0" w:color="auto"/>
              <w:bottom w:val="nil"/>
              <w:right w:val="nil"/>
            </w:tcBorders>
            <w:shd w:val="clear" w:color="000000" w:fill="FFFFFF"/>
            <w:noWrap/>
            <w:vAlign w:val="bottom"/>
            <w:hideMark/>
          </w:tcPr>
          <w:p w14:paraId="0A7CD384" w14:textId="77777777" w:rsidR="00CC37BA" w:rsidRPr="009F03E4" w:rsidRDefault="00CC37BA" w:rsidP="00CC37BA">
            <w:pPr>
              <w:rPr>
                <w:rFonts w:cs="Arial"/>
                <w:sz w:val="18"/>
                <w:szCs w:val="18"/>
                <w:lang w:eastAsia="en-GB"/>
              </w:rPr>
            </w:pPr>
            <w:r w:rsidRPr="009F03E4">
              <w:rPr>
                <w:rFonts w:cs="Arial"/>
                <w:sz w:val="18"/>
                <w:szCs w:val="18"/>
                <w:lang w:eastAsia="en-GB"/>
              </w:rPr>
              <w:t> </w:t>
            </w:r>
          </w:p>
        </w:tc>
        <w:tc>
          <w:tcPr>
            <w:tcW w:w="425" w:type="dxa"/>
            <w:tcBorders>
              <w:top w:val="nil"/>
              <w:left w:val="nil"/>
              <w:bottom w:val="nil"/>
              <w:right w:val="nil"/>
            </w:tcBorders>
            <w:shd w:val="clear" w:color="000000" w:fill="FFFFFF"/>
            <w:noWrap/>
            <w:vAlign w:val="bottom"/>
            <w:hideMark/>
          </w:tcPr>
          <w:p w14:paraId="71CB1769" w14:textId="77777777" w:rsidR="00CC37BA" w:rsidRPr="009F03E4" w:rsidRDefault="00CC37BA" w:rsidP="00CC37BA">
            <w:pPr>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174E1AA6" w14:textId="77777777" w:rsidR="00CC37BA" w:rsidRPr="009F03E4" w:rsidRDefault="00CC37BA" w:rsidP="00CC37BA">
            <w:pPr>
              <w:rPr>
                <w:rFonts w:cs="Arial"/>
                <w:b/>
                <w:bCs/>
                <w:sz w:val="18"/>
                <w:szCs w:val="18"/>
                <w:lang w:eastAsia="en-GB"/>
              </w:rPr>
            </w:pPr>
            <w:r w:rsidRPr="009F03E4">
              <w:rPr>
                <w:rFonts w:cs="Arial"/>
                <w:b/>
                <w:bCs/>
                <w:sz w:val="18"/>
                <w:szCs w:val="18"/>
                <w:lang w:eastAsia="en-GB"/>
              </w:rPr>
              <w:t>Usable Reserves</w:t>
            </w:r>
          </w:p>
        </w:tc>
        <w:tc>
          <w:tcPr>
            <w:tcW w:w="731" w:type="dxa"/>
            <w:tcBorders>
              <w:top w:val="nil"/>
              <w:left w:val="nil"/>
              <w:bottom w:val="nil"/>
              <w:right w:val="nil"/>
            </w:tcBorders>
            <w:shd w:val="clear" w:color="000000" w:fill="FFFFFF"/>
            <w:noWrap/>
            <w:vAlign w:val="bottom"/>
            <w:hideMark/>
          </w:tcPr>
          <w:p w14:paraId="2A60FD64" w14:textId="77777777" w:rsidR="00CC37BA" w:rsidRPr="009F03E4" w:rsidRDefault="00CC37BA" w:rsidP="00CC37BA">
            <w:pPr>
              <w:jc w:val="center"/>
              <w:rPr>
                <w:rFonts w:cs="Arial"/>
                <w:sz w:val="18"/>
                <w:szCs w:val="18"/>
                <w:lang w:eastAsia="en-GB"/>
              </w:rPr>
            </w:pPr>
            <w:r w:rsidRPr="009F03E4">
              <w:rPr>
                <w:rFonts w:cs="Arial"/>
                <w:sz w:val="18"/>
                <w:szCs w:val="18"/>
                <w:lang w:eastAsia="en-GB"/>
              </w:rPr>
              <w:t> </w:t>
            </w:r>
          </w:p>
        </w:tc>
        <w:tc>
          <w:tcPr>
            <w:tcW w:w="1396" w:type="dxa"/>
            <w:tcBorders>
              <w:top w:val="nil"/>
              <w:left w:val="nil"/>
              <w:bottom w:val="nil"/>
              <w:right w:val="single" w:sz="4" w:space="0" w:color="auto"/>
            </w:tcBorders>
            <w:shd w:val="clear" w:color="000000" w:fill="FFFFFF"/>
            <w:noWrap/>
            <w:vAlign w:val="bottom"/>
            <w:hideMark/>
          </w:tcPr>
          <w:p w14:paraId="65E5A9D0" w14:textId="77777777" w:rsidR="00CC37BA" w:rsidRPr="009F03E4" w:rsidRDefault="00CC37BA" w:rsidP="00CC37BA">
            <w:pPr>
              <w:rPr>
                <w:rFonts w:cs="Arial"/>
                <w:sz w:val="18"/>
                <w:szCs w:val="18"/>
                <w:lang w:eastAsia="en-GB"/>
              </w:rPr>
            </w:pPr>
            <w:r w:rsidRPr="009F03E4">
              <w:rPr>
                <w:rFonts w:cs="Arial"/>
                <w:sz w:val="18"/>
                <w:szCs w:val="18"/>
                <w:lang w:eastAsia="en-GB"/>
              </w:rPr>
              <w:t> </w:t>
            </w:r>
          </w:p>
        </w:tc>
      </w:tr>
      <w:tr w:rsidR="00CC37BA" w:rsidRPr="009F03E4" w14:paraId="03D39DDA" w14:textId="77777777" w:rsidTr="009F03E4">
        <w:trPr>
          <w:trHeight w:val="247"/>
          <w:jc w:val="center"/>
        </w:trPr>
        <w:tc>
          <w:tcPr>
            <w:tcW w:w="1555" w:type="dxa"/>
            <w:tcBorders>
              <w:top w:val="nil"/>
              <w:left w:val="single" w:sz="4" w:space="0" w:color="auto"/>
              <w:bottom w:val="nil"/>
              <w:right w:val="nil"/>
            </w:tcBorders>
            <w:shd w:val="clear" w:color="000000" w:fill="FFFFFF"/>
            <w:noWrap/>
            <w:hideMark/>
          </w:tcPr>
          <w:p w14:paraId="290B81CC" w14:textId="77777777" w:rsidR="00CC37BA" w:rsidRPr="009F03E4" w:rsidRDefault="00CC37BA" w:rsidP="00CC37BA">
            <w:pPr>
              <w:jc w:val="right"/>
              <w:rPr>
                <w:rFonts w:cs="Arial"/>
                <w:sz w:val="18"/>
                <w:szCs w:val="18"/>
                <w:lang w:eastAsia="en-GB"/>
              </w:rPr>
            </w:pPr>
            <w:r w:rsidRPr="009F03E4">
              <w:rPr>
                <w:rFonts w:cs="Arial"/>
                <w:sz w:val="18"/>
                <w:szCs w:val="18"/>
                <w:lang w:eastAsia="en-GB"/>
              </w:rPr>
              <w:t>0</w:t>
            </w:r>
          </w:p>
        </w:tc>
        <w:tc>
          <w:tcPr>
            <w:tcW w:w="425" w:type="dxa"/>
            <w:tcBorders>
              <w:top w:val="nil"/>
              <w:left w:val="nil"/>
              <w:bottom w:val="nil"/>
              <w:right w:val="nil"/>
            </w:tcBorders>
            <w:shd w:val="clear" w:color="000000" w:fill="FFFFFF"/>
            <w:noWrap/>
            <w:hideMark/>
          </w:tcPr>
          <w:p w14:paraId="397F45A7"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629FE9A3" w14:textId="77777777" w:rsidR="00CC37BA" w:rsidRPr="009F03E4" w:rsidRDefault="00CC37BA" w:rsidP="00CC37BA">
            <w:pPr>
              <w:rPr>
                <w:rFonts w:cs="Arial"/>
                <w:sz w:val="18"/>
                <w:szCs w:val="18"/>
                <w:lang w:eastAsia="en-GB"/>
              </w:rPr>
            </w:pPr>
            <w:r w:rsidRPr="009F03E4">
              <w:rPr>
                <w:rFonts w:cs="Arial"/>
                <w:sz w:val="18"/>
                <w:szCs w:val="18"/>
                <w:lang w:eastAsia="en-GB"/>
              </w:rPr>
              <w:t>Capital Receipts Reserve</w:t>
            </w:r>
          </w:p>
        </w:tc>
        <w:tc>
          <w:tcPr>
            <w:tcW w:w="731" w:type="dxa"/>
            <w:tcBorders>
              <w:top w:val="nil"/>
              <w:left w:val="nil"/>
              <w:bottom w:val="nil"/>
              <w:right w:val="nil"/>
            </w:tcBorders>
            <w:shd w:val="clear" w:color="000000" w:fill="FFFFFF"/>
            <w:noWrap/>
            <w:vAlign w:val="bottom"/>
            <w:hideMark/>
          </w:tcPr>
          <w:p w14:paraId="2BD3077B" w14:textId="77777777" w:rsidR="00CC37BA" w:rsidRPr="009F03E4" w:rsidRDefault="00CC37BA" w:rsidP="00CC37BA">
            <w:pPr>
              <w:jc w:val="center"/>
              <w:rPr>
                <w:rFonts w:cs="Arial"/>
                <w:sz w:val="18"/>
                <w:szCs w:val="18"/>
                <w:lang w:eastAsia="en-GB"/>
              </w:rPr>
            </w:pPr>
            <w:r w:rsidRPr="009F03E4">
              <w:rPr>
                <w:rFonts w:cs="Arial"/>
                <w:sz w:val="18"/>
                <w:szCs w:val="18"/>
                <w:lang w:eastAsia="en-GB"/>
              </w:rPr>
              <w:t>9</w:t>
            </w:r>
          </w:p>
        </w:tc>
        <w:tc>
          <w:tcPr>
            <w:tcW w:w="1396" w:type="dxa"/>
            <w:tcBorders>
              <w:top w:val="nil"/>
              <w:left w:val="nil"/>
              <w:bottom w:val="nil"/>
              <w:right w:val="single" w:sz="4" w:space="0" w:color="auto"/>
            </w:tcBorders>
            <w:shd w:val="clear" w:color="000000" w:fill="FFFFFF"/>
            <w:noWrap/>
            <w:hideMark/>
          </w:tcPr>
          <w:p w14:paraId="59D2B76C" w14:textId="571B1156" w:rsidR="00CC37BA" w:rsidRPr="009F03E4" w:rsidRDefault="0078717B" w:rsidP="00CC37BA">
            <w:pPr>
              <w:jc w:val="right"/>
              <w:rPr>
                <w:rFonts w:cs="Arial"/>
                <w:sz w:val="18"/>
                <w:szCs w:val="18"/>
                <w:lang w:eastAsia="en-GB"/>
              </w:rPr>
            </w:pPr>
            <w:r>
              <w:rPr>
                <w:rFonts w:cs="Arial"/>
                <w:sz w:val="18"/>
                <w:szCs w:val="18"/>
                <w:lang w:eastAsia="en-GB"/>
              </w:rPr>
              <w:t>1</w:t>
            </w:r>
            <w:r w:rsidR="00CC37BA" w:rsidRPr="009F03E4">
              <w:rPr>
                <w:rFonts w:cs="Arial"/>
                <w:sz w:val="18"/>
                <w:szCs w:val="18"/>
                <w:lang w:eastAsia="en-GB"/>
              </w:rPr>
              <w:t>,275</w:t>
            </w:r>
          </w:p>
        </w:tc>
      </w:tr>
      <w:tr w:rsidR="00CC37BA" w:rsidRPr="009F03E4" w14:paraId="0C8B933D" w14:textId="77777777" w:rsidTr="009F03E4">
        <w:trPr>
          <w:trHeight w:val="150"/>
          <w:jc w:val="center"/>
        </w:trPr>
        <w:tc>
          <w:tcPr>
            <w:tcW w:w="1555" w:type="dxa"/>
            <w:tcBorders>
              <w:top w:val="nil"/>
              <w:left w:val="single" w:sz="4" w:space="0" w:color="auto"/>
              <w:bottom w:val="nil"/>
              <w:right w:val="nil"/>
            </w:tcBorders>
            <w:shd w:val="clear" w:color="000000" w:fill="FFFFFF"/>
            <w:noWrap/>
            <w:hideMark/>
          </w:tcPr>
          <w:p w14:paraId="685B7215" w14:textId="1A9339A6" w:rsidR="00CC37BA" w:rsidRPr="009F03E4" w:rsidRDefault="00CC37BA" w:rsidP="00CC37BA">
            <w:pPr>
              <w:jc w:val="right"/>
              <w:rPr>
                <w:rFonts w:cs="Arial"/>
                <w:sz w:val="18"/>
                <w:szCs w:val="18"/>
                <w:lang w:eastAsia="en-GB"/>
              </w:rPr>
            </w:pPr>
            <w:r w:rsidRPr="009F03E4">
              <w:rPr>
                <w:rFonts w:cs="Arial"/>
                <w:sz w:val="18"/>
                <w:szCs w:val="18"/>
                <w:lang w:eastAsia="en-GB"/>
              </w:rPr>
              <w:t>283</w:t>
            </w:r>
          </w:p>
        </w:tc>
        <w:tc>
          <w:tcPr>
            <w:tcW w:w="425" w:type="dxa"/>
            <w:tcBorders>
              <w:top w:val="nil"/>
              <w:left w:val="nil"/>
              <w:bottom w:val="nil"/>
              <w:right w:val="nil"/>
            </w:tcBorders>
            <w:shd w:val="clear" w:color="000000" w:fill="FFFFFF"/>
            <w:noWrap/>
            <w:hideMark/>
          </w:tcPr>
          <w:p w14:paraId="1734912F"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56B26DB9" w14:textId="77777777" w:rsidR="00CC37BA" w:rsidRPr="009F03E4" w:rsidRDefault="00CC37BA" w:rsidP="00CC37BA">
            <w:pPr>
              <w:rPr>
                <w:rFonts w:cs="Arial"/>
                <w:sz w:val="18"/>
                <w:szCs w:val="18"/>
                <w:lang w:eastAsia="en-GB"/>
              </w:rPr>
            </w:pPr>
            <w:r w:rsidRPr="009F03E4">
              <w:rPr>
                <w:rFonts w:cs="Arial"/>
                <w:sz w:val="18"/>
                <w:szCs w:val="18"/>
                <w:lang w:eastAsia="en-GB"/>
              </w:rPr>
              <w:t>Capital Grants Unapplied Reserve</w:t>
            </w:r>
          </w:p>
        </w:tc>
        <w:tc>
          <w:tcPr>
            <w:tcW w:w="731" w:type="dxa"/>
            <w:tcBorders>
              <w:top w:val="nil"/>
              <w:left w:val="nil"/>
              <w:bottom w:val="nil"/>
              <w:right w:val="nil"/>
            </w:tcBorders>
            <w:shd w:val="clear" w:color="000000" w:fill="FFFFFF"/>
            <w:noWrap/>
            <w:vAlign w:val="bottom"/>
            <w:hideMark/>
          </w:tcPr>
          <w:p w14:paraId="16282E26" w14:textId="77777777" w:rsidR="00CC37BA" w:rsidRPr="009F03E4" w:rsidRDefault="00CC37BA" w:rsidP="00CC37BA">
            <w:pPr>
              <w:jc w:val="center"/>
              <w:rPr>
                <w:rFonts w:cs="Arial"/>
                <w:sz w:val="18"/>
                <w:szCs w:val="18"/>
                <w:lang w:eastAsia="en-GB"/>
              </w:rPr>
            </w:pPr>
            <w:r w:rsidRPr="009F03E4">
              <w:rPr>
                <w:rFonts w:cs="Arial"/>
                <w:sz w:val="18"/>
                <w:szCs w:val="18"/>
                <w:lang w:eastAsia="en-GB"/>
              </w:rPr>
              <w:t>9</w:t>
            </w:r>
          </w:p>
        </w:tc>
        <w:tc>
          <w:tcPr>
            <w:tcW w:w="1396" w:type="dxa"/>
            <w:tcBorders>
              <w:top w:val="nil"/>
              <w:left w:val="nil"/>
              <w:bottom w:val="nil"/>
              <w:right w:val="single" w:sz="4" w:space="0" w:color="auto"/>
            </w:tcBorders>
            <w:shd w:val="clear" w:color="000000" w:fill="FFFFFF"/>
            <w:noWrap/>
            <w:hideMark/>
          </w:tcPr>
          <w:p w14:paraId="1E7F166A" w14:textId="799ABE13" w:rsidR="00CC37BA" w:rsidRPr="009F03E4" w:rsidRDefault="00CC37BA" w:rsidP="00CC37BA">
            <w:pPr>
              <w:jc w:val="right"/>
              <w:rPr>
                <w:rFonts w:cs="Arial"/>
                <w:sz w:val="18"/>
                <w:szCs w:val="18"/>
                <w:lang w:eastAsia="en-GB"/>
              </w:rPr>
            </w:pPr>
            <w:r w:rsidRPr="009F03E4">
              <w:rPr>
                <w:rFonts w:cs="Arial"/>
                <w:sz w:val="18"/>
                <w:szCs w:val="18"/>
                <w:lang w:eastAsia="en-GB"/>
              </w:rPr>
              <w:t>255</w:t>
            </w:r>
          </w:p>
        </w:tc>
      </w:tr>
      <w:tr w:rsidR="00CC37BA" w:rsidRPr="009F03E4" w14:paraId="30CDBA50" w14:textId="77777777" w:rsidTr="009F03E4">
        <w:trPr>
          <w:trHeight w:val="225"/>
          <w:jc w:val="center"/>
        </w:trPr>
        <w:tc>
          <w:tcPr>
            <w:tcW w:w="1555" w:type="dxa"/>
            <w:tcBorders>
              <w:top w:val="nil"/>
              <w:left w:val="single" w:sz="4" w:space="0" w:color="auto"/>
              <w:bottom w:val="nil"/>
              <w:right w:val="nil"/>
            </w:tcBorders>
            <w:shd w:val="clear" w:color="000000" w:fill="FFFFFF"/>
            <w:noWrap/>
            <w:hideMark/>
          </w:tcPr>
          <w:p w14:paraId="619C3D83" w14:textId="1D174975" w:rsidR="00CC37BA" w:rsidRPr="009F03E4" w:rsidRDefault="00CC37BA" w:rsidP="00CC37BA">
            <w:pPr>
              <w:jc w:val="right"/>
              <w:rPr>
                <w:rFonts w:cs="Arial"/>
                <w:sz w:val="18"/>
                <w:szCs w:val="18"/>
                <w:lang w:eastAsia="en-GB"/>
              </w:rPr>
            </w:pPr>
            <w:r w:rsidRPr="009F03E4">
              <w:rPr>
                <w:rFonts w:cs="Arial"/>
                <w:sz w:val="18"/>
                <w:szCs w:val="18"/>
                <w:lang w:eastAsia="en-GB"/>
              </w:rPr>
              <w:t>2,276</w:t>
            </w:r>
          </w:p>
        </w:tc>
        <w:tc>
          <w:tcPr>
            <w:tcW w:w="425" w:type="dxa"/>
            <w:tcBorders>
              <w:top w:val="nil"/>
              <w:left w:val="nil"/>
              <w:bottom w:val="nil"/>
              <w:right w:val="nil"/>
            </w:tcBorders>
            <w:shd w:val="clear" w:color="000000" w:fill="FFFFFF"/>
            <w:noWrap/>
            <w:hideMark/>
          </w:tcPr>
          <w:p w14:paraId="41F0A6D4"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483CDD7F" w14:textId="77777777" w:rsidR="00CC37BA" w:rsidRPr="009F03E4" w:rsidRDefault="00CC37BA" w:rsidP="00CC37BA">
            <w:pPr>
              <w:rPr>
                <w:rFonts w:cs="Arial"/>
                <w:sz w:val="18"/>
                <w:szCs w:val="18"/>
                <w:lang w:eastAsia="en-GB"/>
              </w:rPr>
            </w:pPr>
            <w:r w:rsidRPr="009F03E4">
              <w:rPr>
                <w:rFonts w:cs="Arial"/>
                <w:sz w:val="18"/>
                <w:szCs w:val="18"/>
                <w:lang w:eastAsia="en-GB"/>
              </w:rPr>
              <w:t>Earmarked Reserves</w:t>
            </w:r>
          </w:p>
        </w:tc>
        <w:tc>
          <w:tcPr>
            <w:tcW w:w="731" w:type="dxa"/>
            <w:tcBorders>
              <w:top w:val="nil"/>
              <w:left w:val="nil"/>
              <w:bottom w:val="nil"/>
              <w:right w:val="nil"/>
            </w:tcBorders>
            <w:shd w:val="clear" w:color="000000" w:fill="FFFFFF"/>
            <w:noWrap/>
            <w:vAlign w:val="bottom"/>
            <w:hideMark/>
          </w:tcPr>
          <w:p w14:paraId="620A19BE" w14:textId="77777777" w:rsidR="00CC37BA" w:rsidRPr="009F03E4" w:rsidRDefault="00CC37BA" w:rsidP="00CC37BA">
            <w:pPr>
              <w:jc w:val="center"/>
              <w:rPr>
                <w:rFonts w:cs="Arial"/>
                <w:sz w:val="18"/>
                <w:szCs w:val="18"/>
                <w:lang w:eastAsia="en-GB"/>
              </w:rPr>
            </w:pPr>
            <w:r w:rsidRPr="009F03E4">
              <w:rPr>
                <w:rFonts w:cs="Arial"/>
                <w:sz w:val="18"/>
                <w:szCs w:val="18"/>
                <w:lang w:eastAsia="en-GB"/>
              </w:rPr>
              <w:t>30</w:t>
            </w:r>
          </w:p>
        </w:tc>
        <w:tc>
          <w:tcPr>
            <w:tcW w:w="1396" w:type="dxa"/>
            <w:tcBorders>
              <w:top w:val="nil"/>
              <w:left w:val="nil"/>
              <w:bottom w:val="nil"/>
              <w:right w:val="single" w:sz="4" w:space="0" w:color="auto"/>
            </w:tcBorders>
            <w:shd w:val="clear" w:color="000000" w:fill="FFFFFF"/>
            <w:noWrap/>
            <w:hideMark/>
          </w:tcPr>
          <w:p w14:paraId="388A683D" w14:textId="5B44CDDF" w:rsidR="00CC37BA" w:rsidRPr="009F03E4" w:rsidRDefault="00CC37BA" w:rsidP="00CC37BA">
            <w:pPr>
              <w:jc w:val="right"/>
              <w:rPr>
                <w:rFonts w:cs="Arial"/>
                <w:sz w:val="18"/>
                <w:szCs w:val="18"/>
                <w:lang w:eastAsia="en-GB"/>
              </w:rPr>
            </w:pPr>
            <w:r w:rsidRPr="009F03E4">
              <w:rPr>
                <w:rFonts w:cs="Arial"/>
                <w:sz w:val="18"/>
                <w:szCs w:val="18"/>
                <w:lang w:eastAsia="en-GB"/>
              </w:rPr>
              <w:t>1,841</w:t>
            </w:r>
          </w:p>
        </w:tc>
      </w:tr>
      <w:tr w:rsidR="00CC37BA" w:rsidRPr="009F03E4" w14:paraId="7E26464C" w14:textId="77777777" w:rsidTr="009F03E4">
        <w:trPr>
          <w:trHeight w:val="143"/>
          <w:jc w:val="center"/>
        </w:trPr>
        <w:tc>
          <w:tcPr>
            <w:tcW w:w="1555" w:type="dxa"/>
            <w:tcBorders>
              <w:top w:val="nil"/>
              <w:left w:val="single" w:sz="4" w:space="0" w:color="auto"/>
              <w:bottom w:val="nil"/>
              <w:right w:val="nil"/>
            </w:tcBorders>
            <w:shd w:val="clear" w:color="000000" w:fill="FFFFFF"/>
            <w:noWrap/>
            <w:hideMark/>
          </w:tcPr>
          <w:p w14:paraId="5F7153D8" w14:textId="2169D12B" w:rsidR="00CC37BA" w:rsidRPr="009F03E4" w:rsidRDefault="00CC37BA" w:rsidP="00CC37BA">
            <w:pPr>
              <w:jc w:val="right"/>
              <w:rPr>
                <w:rFonts w:cs="Arial"/>
                <w:sz w:val="18"/>
                <w:szCs w:val="18"/>
                <w:lang w:eastAsia="en-GB"/>
              </w:rPr>
            </w:pPr>
            <w:r w:rsidRPr="009F03E4">
              <w:rPr>
                <w:rFonts w:cs="Arial"/>
                <w:sz w:val="18"/>
                <w:szCs w:val="18"/>
                <w:lang w:eastAsia="en-GB"/>
              </w:rPr>
              <w:t>1,259</w:t>
            </w:r>
          </w:p>
        </w:tc>
        <w:tc>
          <w:tcPr>
            <w:tcW w:w="425" w:type="dxa"/>
            <w:tcBorders>
              <w:top w:val="nil"/>
              <w:left w:val="nil"/>
              <w:bottom w:val="nil"/>
              <w:right w:val="nil"/>
            </w:tcBorders>
            <w:shd w:val="clear" w:color="000000" w:fill="FFFFFF"/>
            <w:noWrap/>
            <w:hideMark/>
          </w:tcPr>
          <w:p w14:paraId="19AA7BEF"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3C6139F8" w14:textId="77777777" w:rsidR="00CC37BA" w:rsidRPr="009F03E4" w:rsidRDefault="00CC37BA" w:rsidP="00CC37BA">
            <w:pPr>
              <w:rPr>
                <w:rFonts w:cs="Arial"/>
                <w:sz w:val="18"/>
                <w:szCs w:val="18"/>
                <w:lang w:eastAsia="en-GB"/>
              </w:rPr>
            </w:pPr>
            <w:r w:rsidRPr="009F03E4">
              <w:rPr>
                <w:rFonts w:cs="Arial"/>
                <w:sz w:val="18"/>
                <w:szCs w:val="18"/>
                <w:lang w:eastAsia="en-GB"/>
              </w:rPr>
              <w:t>General Reserve</w:t>
            </w:r>
          </w:p>
        </w:tc>
        <w:tc>
          <w:tcPr>
            <w:tcW w:w="731" w:type="dxa"/>
            <w:tcBorders>
              <w:top w:val="nil"/>
              <w:left w:val="nil"/>
              <w:bottom w:val="nil"/>
              <w:right w:val="nil"/>
            </w:tcBorders>
            <w:shd w:val="clear" w:color="000000" w:fill="FFFFFF"/>
            <w:noWrap/>
            <w:vAlign w:val="bottom"/>
            <w:hideMark/>
          </w:tcPr>
          <w:p w14:paraId="78F9B722" w14:textId="77777777" w:rsidR="00CC37BA" w:rsidRPr="009F03E4" w:rsidRDefault="00CC37BA" w:rsidP="00CC37BA">
            <w:pPr>
              <w:jc w:val="center"/>
              <w:rPr>
                <w:rFonts w:cs="Arial"/>
                <w:sz w:val="18"/>
                <w:szCs w:val="18"/>
                <w:lang w:eastAsia="en-GB"/>
              </w:rPr>
            </w:pPr>
            <w:r w:rsidRPr="009F03E4">
              <w:rPr>
                <w:rFonts w:cs="Arial"/>
                <w:sz w:val="18"/>
                <w:szCs w:val="18"/>
                <w:lang w:eastAsia="en-GB"/>
              </w:rPr>
              <w:t>9</w:t>
            </w:r>
          </w:p>
        </w:tc>
        <w:tc>
          <w:tcPr>
            <w:tcW w:w="1396" w:type="dxa"/>
            <w:tcBorders>
              <w:top w:val="nil"/>
              <w:left w:val="nil"/>
              <w:bottom w:val="nil"/>
              <w:right w:val="single" w:sz="4" w:space="0" w:color="auto"/>
            </w:tcBorders>
            <w:shd w:val="clear" w:color="000000" w:fill="FFFFFF"/>
            <w:noWrap/>
            <w:hideMark/>
          </w:tcPr>
          <w:p w14:paraId="1EF37D9A" w14:textId="3898DC36" w:rsidR="00CC37BA" w:rsidRPr="009F03E4" w:rsidRDefault="00CC37BA" w:rsidP="00CC37BA">
            <w:pPr>
              <w:jc w:val="right"/>
              <w:rPr>
                <w:rFonts w:cs="Arial"/>
                <w:sz w:val="18"/>
                <w:szCs w:val="18"/>
                <w:lang w:eastAsia="en-GB"/>
              </w:rPr>
            </w:pPr>
            <w:r w:rsidRPr="009F03E4">
              <w:rPr>
                <w:rFonts w:cs="Arial"/>
                <w:sz w:val="18"/>
                <w:szCs w:val="18"/>
                <w:lang w:eastAsia="en-GB"/>
              </w:rPr>
              <w:t>1,570</w:t>
            </w:r>
          </w:p>
        </w:tc>
      </w:tr>
      <w:tr w:rsidR="00CC37BA" w:rsidRPr="009F03E4" w14:paraId="2DEE5EA2" w14:textId="77777777" w:rsidTr="009F03E4">
        <w:trPr>
          <w:trHeight w:val="216"/>
          <w:jc w:val="center"/>
        </w:trPr>
        <w:tc>
          <w:tcPr>
            <w:tcW w:w="1555" w:type="dxa"/>
            <w:tcBorders>
              <w:top w:val="nil"/>
              <w:left w:val="single" w:sz="4" w:space="0" w:color="auto"/>
              <w:bottom w:val="nil"/>
              <w:right w:val="nil"/>
            </w:tcBorders>
            <w:shd w:val="clear" w:color="000000" w:fill="FFFFFF"/>
            <w:noWrap/>
            <w:hideMark/>
          </w:tcPr>
          <w:p w14:paraId="1D63CB25"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425" w:type="dxa"/>
            <w:tcBorders>
              <w:top w:val="nil"/>
              <w:left w:val="nil"/>
              <w:bottom w:val="nil"/>
              <w:right w:val="nil"/>
            </w:tcBorders>
            <w:shd w:val="clear" w:color="000000" w:fill="FFFFFF"/>
            <w:noWrap/>
            <w:hideMark/>
          </w:tcPr>
          <w:p w14:paraId="187515E6"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5ED5C8A8" w14:textId="77777777" w:rsidR="00CC37BA" w:rsidRPr="009F03E4" w:rsidRDefault="00CC37BA" w:rsidP="00CC37BA">
            <w:pPr>
              <w:rPr>
                <w:rFonts w:cs="Arial"/>
                <w:b/>
                <w:bCs/>
                <w:sz w:val="18"/>
                <w:szCs w:val="18"/>
                <w:lang w:eastAsia="en-GB"/>
              </w:rPr>
            </w:pPr>
            <w:r w:rsidRPr="009F03E4">
              <w:rPr>
                <w:rFonts w:cs="Arial"/>
                <w:b/>
                <w:bCs/>
                <w:sz w:val="18"/>
                <w:szCs w:val="18"/>
                <w:lang w:eastAsia="en-GB"/>
              </w:rPr>
              <w:t>Unusable Reserves</w:t>
            </w:r>
          </w:p>
        </w:tc>
        <w:tc>
          <w:tcPr>
            <w:tcW w:w="731" w:type="dxa"/>
            <w:tcBorders>
              <w:top w:val="nil"/>
              <w:left w:val="nil"/>
              <w:bottom w:val="nil"/>
              <w:right w:val="nil"/>
            </w:tcBorders>
            <w:shd w:val="clear" w:color="000000" w:fill="FFFFFF"/>
            <w:noWrap/>
            <w:vAlign w:val="bottom"/>
            <w:hideMark/>
          </w:tcPr>
          <w:p w14:paraId="4A7FC666" w14:textId="77777777" w:rsidR="00CC37BA" w:rsidRPr="009F03E4" w:rsidRDefault="00CC37BA" w:rsidP="00CC37BA">
            <w:pPr>
              <w:jc w:val="center"/>
              <w:rPr>
                <w:rFonts w:cs="Arial"/>
                <w:sz w:val="18"/>
                <w:szCs w:val="18"/>
                <w:lang w:eastAsia="en-GB"/>
              </w:rPr>
            </w:pPr>
            <w:r w:rsidRPr="009F03E4">
              <w:rPr>
                <w:rFonts w:cs="Arial"/>
                <w:sz w:val="18"/>
                <w:szCs w:val="18"/>
                <w:lang w:eastAsia="en-GB"/>
              </w:rPr>
              <w:t> </w:t>
            </w:r>
          </w:p>
        </w:tc>
        <w:tc>
          <w:tcPr>
            <w:tcW w:w="1396" w:type="dxa"/>
            <w:tcBorders>
              <w:top w:val="nil"/>
              <w:left w:val="nil"/>
              <w:bottom w:val="nil"/>
              <w:right w:val="single" w:sz="4" w:space="0" w:color="auto"/>
            </w:tcBorders>
            <w:shd w:val="clear" w:color="000000" w:fill="FFFFFF"/>
            <w:noWrap/>
            <w:hideMark/>
          </w:tcPr>
          <w:p w14:paraId="22EB0A14"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r>
      <w:tr w:rsidR="00CC37BA" w:rsidRPr="009F03E4" w14:paraId="325CC331" w14:textId="77777777" w:rsidTr="009F03E4">
        <w:trPr>
          <w:trHeight w:val="149"/>
          <w:jc w:val="center"/>
        </w:trPr>
        <w:tc>
          <w:tcPr>
            <w:tcW w:w="1555" w:type="dxa"/>
            <w:tcBorders>
              <w:top w:val="nil"/>
              <w:left w:val="single" w:sz="4" w:space="0" w:color="auto"/>
              <w:bottom w:val="nil"/>
              <w:right w:val="nil"/>
            </w:tcBorders>
            <w:shd w:val="clear" w:color="000000" w:fill="FFFFFF"/>
            <w:noWrap/>
            <w:hideMark/>
          </w:tcPr>
          <w:p w14:paraId="2CB13DA0" w14:textId="738A12EB" w:rsidR="00CC37BA" w:rsidRPr="009F03E4" w:rsidRDefault="00CC37BA" w:rsidP="00CC37BA">
            <w:pPr>
              <w:jc w:val="right"/>
              <w:rPr>
                <w:rFonts w:cs="Arial"/>
                <w:sz w:val="18"/>
                <w:szCs w:val="18"/>
                <w:lang w:eastAsia="en-GB"/>
              </w:rPr>
            </w:pPr>
            <w:r w:rsidRPr="009F03E4">
              <w:rPr>
                <w:rFonts w:cs="Arial"/>
                <w:sz w:val="18"/>
                <w:szCs w:val="18"/>
                <w:lang w:eastAsia="en-GB"/>
              </w:rPr>
              <w:t>9,047</w:t>
            </w:r>
          </w:p>
        </w:tc>
        <w:tc>
          <w:tcPr>
            <w:tcW w:w="425" w:type="dxa"/>
            <w:tcBorders>
              <w:top w:val="nil"/>
              <w:left w:val="nil"/>
              <w:bottom w:val="nil"/>
              <w:right w:val="nil"/>
            </w:tcBorders>
            <w:shd w:val="clear" w:color="000000" w:fill="FFFFFF"/>
            <w:noWrap/>
            <w:hideMark/>
          </w:tcPr>
          <w:p w14:paraId="2695F59F"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61FCAE13" w14:textId="77777777" w:rsidR="00CC37BA" w:rsidRPr="009F03E4" w:rsidRDefault="00CC37BA" w:rsidP="00CC37BA">
            <w:pPr>
              <w:rPr>
                <w:rFonts w:cs="Arial"/>
                <w:sz w:val="18"/>
                <w:szCs w:val="18"/>
                <w:lang w:eastAsia="en-GB"/>
              </w:rPr>
            </w:pPr>
            <w:r w:rsidRPr="009F03E4">
              <w:rPr>
                <w:rFonts w:cs="Arial"/>
                <w:sz w:val="18"/>
                <w:szCs w:val="18"/>
                <w:lang w:eastAsia="en-GB"/>
              </w:rPr>
              <w:t>Revaluation Reserve</w:t>
            </w:r>
          </w:p>
        </w:tc>
        <w:tc>
          <w:tcPr>
            <w:tcW w:w="731" w:type="dxa"/>
            <w:tcBorders>
              <w:top w:val="nil"/>
              <w:left w:val="nil"/>
              <w:bottom w:val="nil"/>
              <w:right w:val="nil"/>
            </w:tcBorders>
            <w:shd w:val="clear" w:color="000000" w:fill="FFFFFF"/>
            <w:noWrap/>
            <w:vAlign w:val="bottom"/>
            <w:hideMark/>
          </w:tcPr>
          <w:p w14:paraId="35AEFC86" w14:textId="77777777" w:rsidR="00CC37BA" w:rsidRPr="009F03E4" w:rsidRDefault="00CC37BA" w:rsidP="00CC37BA">
            <w:pPr>
              <w:jc w:val="center"/>
              <w:rPr>
                <w:rFonts w:cs="Arial"/>
                <w:sz w:val="18"/>
                <w:szCs w:val="18"/>
                <w:lang w:eastAsia="en-GB"/>
              </w:rPr>
            </w:pPr>
            <w:r w:rsidRPr="009F03E4">
              <w:rPr>
                <w:rFonts w:cs="Arial"/>
                <w:sz w:val="18"/>
                <w:szCs w:val="18"/>
                <w:lang w:eastAsia="en-GB"/>
              </w:rPr>
              <w:t>9</w:t>
            </w:r>
          </w:p>
        </w:tc>
        <w:tc>
          <w:tcPr>
            <w:tcW w:w="1396" w:type="dxa"/>
            <w:tcBorders>
              <w:top w:val="nil"/>
              <w:left w:val="nil"/>
              <w:bottom w:val="nil"/>
              <w:right w:val="single" w:sz="4" w:space="0" w:color="auto"/>
            </w:tcBorders>
            <w:shd w:val="clear" w:color="000000" w:fill="FFFFFF"/>
            <w:noWrap/>
            <w:hideMark/>
          </w:tcPr>
          <w:p w14:paraId="151A708E" w14:textId="0D9C0D68" w:rsidR="00CC37BA" w:rsidRPr="009F03E4" w:rsidRDefault="00CC37BA" w:rsidP="00CC37BA">
            <w:pPr>
              <w:jc w:val="right"/>
              <w:rPr>
                <w:rFonts w:cs="Arial"/>
                <w:sz w:val="18"/>
                <w:szCs w:val="18"/>
                <w:lang w:eastAsia="en-GB"/>
              </w:rPr>
            </w:pPr>
            <w:r w:rsidRPr="009F03E4">
              <w:rPr>
                <w:rFonts w:cs="Arial"/>
                <w:sz w:val="18"/>
                <w:szCs w:val="18"/>
                <w:lang w:eastAsia="en-GB"/>
              </w:rPr>
              <w:t>1</w:t>
            </w:r>
            <w:r w:rsidR="0078717B">
              <w:rPr>
                <w:rFonts w:cs="Arial"/>
                <w:sz w:val="18"/>
                <w:szCs w:val="18"/>
                <w:lang w:eastAsia="en-GB"/>
              </w:rPr>
              <w:t>1,0</w:t>
            </w:r>
            <w:r w:rsidR="005D6A99">
              <w:rPr>
                <w:rFonts w:cs="Arial"/>
                <w:sz w:val="18"/>
                <w:szCs w:val="18"/>
                <w:lang w:eastAsia="en-GB"/>
              </w:rPr>
              <w:t>34</w:t>
            </w:r>
          </w:p>
        </w:tc>
      </w:tr>
      <w:tr w:rsidR="00CC37BA" w:rsidRPr="009F03E4" w14:paraId="2DD34253" w14:textId="77777777" w:rsidTr="009F03E4">
        <w:trPr>
          <w:trHeight w:val="223"/>
          <w:jc w:val="center"/>
        </w:trPr>
        <w:tc>
          <w:tcPr>
            <w:tcW w:w="1555" w:type="dxa"/>
            <w:tcBorders>
              <w:top w:val="nil"/>
              <w:left w:val="single" w:sz="4" w:space="0" w:color="auto"/>
              <w:bottom w:val="nil"/>
              <w:right w:val="nil"/>
            </w:tcBorders>
            <w:shd w:val="clear" w:color="000000" w:fill="FFFFFF"/>
            <w:noWrap/>
            <w:hideMark/>
          </w:tcPr>
          <w:p w14:paraId="2BB8ECD8" w14:textId="1304B956" w:rsidR="00CC37BA" w:rsidRPr="009F03E4" w:rsidRDefault="00CC37BA" w:rsidP="00CC37BA">
            <w:pPr>
              <w:jc w:val="right"/>
              <w:rPr>
                <w:rFonts w:cs="Arial"/>
                <w:sz w:val="18"/>
                <w:szCs w:val="18"/>
                <w:lang w:eastAsia="en-GB"/>
              </w:rPr>
            </w:pPr>
            <w:r w:rsidRPr="009F03E4">
              <w:rPr>
                <w:rFonts w:cs="Arial"/>
                <w:sz w:val="18"/>
                <w:szCs w:val="18"/>
                <w:lang w:eastAsia="en-GB"/>
              </w:rPr>
              <w:t>26,000</w:t>
            </w:r>
          </w:p>
        </w:tc>
        <w:tc>
          <w:tcPr>
            <w:tcW w:w="425" w:type="dxa"/>
            <w:tcBorders>
              <w:top w:val="nil"/>
              <w:left w:val="nil"/>
              <w:bottom w:val="nil"/>
              <w:right w:val="nil"/>
            </w:tcBorders>
            <w:shd w:val="clear" w:color="000000" w:fill="FFFFFF"/>
            <w:noWrap/>
            <w:hideMark/>
          </w:tcPr>
          <w:p w14:paraId="7062DD3A"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1BCDF435" w14:textId="77777777" w:rsidR="00CC37BA" w:rsidRPr="009F03E4" w:rsidRDefault="00CC37BA" w:rsidP="00CC37BA">
            <w:pPr>
              <w:rPr>
                <w:rFonts w:cs="Arial"/>
                <w:sz w:val="18"/>
                <w:szCs w:val="18"/>
                <w:lang w:eastAsia="en-GB"/>
              </w:rPr>
            </w:pPr>
            <w:r w:rsidRPr="009F03E4">
              <w:rPr>
                <w:rFonts w:cs="Arial"/>
                <w:sz w:val="18"/>
                <w:szCs w:val="18"/>
                <w:lang w:eastAsia="en-GB"/>
              </w:rPr>
              <w:t>Capital Adjustment Account</w:t>
            </w:r>
          </w:p>
        </w:tc>
        <w:tc>
          <w:tcPr>
            <w:tcW w:w="731" w:type="dxa"/>
            <w:tcBorders>
              <w:top w:val="nil"/>
              <w:left w:val="nil"/>
              <w:bottom w:val="nil"/>
              <w:right w:val="nil"/>
            </w:tcBorders>
            <w:shd w:val="clear" w:color="000000" w:fill="FFFFFF"/>
            <w:noWrap/>
            <w:vAlign w:val="bottom"/>
            <w:hideMark/>
          </w:tcPr>
          <w:p w14:paraId="471E4BBA" w14:textId="77777777" w:rsidR="00CC37BA" w:rsidRPr="009F03E4" w:rsidRDefault="00CC37BA" w:rsidP="00CC37BA">
            <w:pPr>
              <w:jc w:val="center"/>
              <w:rPr>
                <w:rFonts w:cs="Arial"/>
                <w:sz w:val="18"/>
                <w:szCs w:val="18"/>
                <w:lang w:eastAsia="en-GB"/>
              </w:rPr>
            </w:pPr>
            <w:r w:rsidRPr="009F03E4">
              <w:rPr>
                <w:rFonts w:cs="Arial"/>
                <w:sz w:val="18"/>
                <w:szCs w:val="18"/>
                <w:lang w:eastAsia="en-GB"/>
              </w:rPr>
              <w:t>9</w:t>
            </w:r>
          </w:p>
        </w:tc>
        <w:tc>
          <w:tcPr>
            <w:tcW w:w="1396" w:type="dxa"/>
            <w:tcBorders>
              <w:top w:val="nil"/>
              <w:left w:val="nil"/>
              <w:bottom w:val="nil"/>
              <w:right w:val="single" w:sz="4" w:space="0" w:color="auto"/>
            </w:tcBorders>
            <w:shd w:val="clear" w:color="000000" w:fill="FFFFFF"/>
            <w:noWrap/>
            <w:hideMark/>
          </w:tcPr>
          <w:p w14:paraId="704BFA6E" w14:textId="040C7E2C" w:rsidR="00CC37BA" w:rsidRPr="009F03E4" w:rsidRDefault="00CC37BA" w:rsidP="00CC37BA">
            <w:pPr>
              <w:jc w:val="right"/>
              <w:rPr>
                <w:rFonts w:cs="Arial"/>
                <w:sz w:val="18"/>
                <w:szCs w:val="18"/>
                <w:lang w:eastAsia="en-GB"/>
              </w:rPr>
            </w:pPr>
            <w:r w:rsidRPr="009F03E4">
              <w:rPr>
                <w:rFonts w:cs="Arial"/>
                <w:sz w:val="18"/>
                <w:szCs w:val="18"/>
                <w:lang w:eastAsia="en-GB"/>
              </w:rPr>
              <w:t>24,</w:t>
            </w:r>
            <w:r w:rsidR="0078717B">
              <w:rPr>
                <w:rFonts w:cs="Arial"/>
                <w:sz w:val="18"/>
                <w:szCs w:val="18"/>
                <w:lang w:eastAsia="en-GB"/>
              </w:rPr>
              <w:t>611</w:t>
            </w:r>
          </w:p>
        </w:tc>
      </w:tr>
      <w:tr w:rsidR="00CC37BA" w:rsidRPr="009F03E4" w14:paraId="3A6174DA" w14:textId="77777777" w:rsidTr="009F03E4">
        <w:trPr>
          <w:trHeight w:val="141"/>
          <w:jc w:val="center"/>
        </w:trPr>
        <w:tc>
          <w:tcPr>
            <w:tcW w:w="1555" w:type="dxa"/>
            <w:tcBorders>
              <w:top w:val="nil"/>
              <w:left w:val="single" w:sz="4" w:space="0" w:color="auto"/>
              <w:bottom w:val="nil"/>
              <w:right w:val="nil"/>
            </w:tcBorders>
            <w:shd w:val="clear" w:color="000000" w:fill="FFFFFF"/>
            <w:noWrap/>
            <w:hideMark/>
          </w:tcPr>
          <w:p w14:paraId="1CA44771" w14:textId="30E87031" w:rsidR="00CC37BA" w:rsidRPr="009F03E4" w:rsidRDefault="0078717B" w:rsidP="00CC37BA">
            <w:pPr>
              <w:jc w:val="right"/>
              <w:rPr>
                <w:rFonts w:cs="Arial"/>
                <w:sz w:val="18"/>
                <w:szCs w:val="18"/>
                <w:lang w:eastAsia="en-GB"/>
              </w:rPr>
            </w:pPr>
            <w:r>
              <w:rPr>
                <w:rFonts w:cs="Arial"/>
                <w:sz w:val="18"/>
                <w:szCs w:val="18"/>
                <w:lang w:eastAsia="en-GB"/>
              </w:rPr>
              <w:t>(</w:t>
            </w:r>
            <w:r w:rsidR="00CC37BA" w:rsidRPr="009F03E4">
              <w:rPr>
                <w:rFonts w:cs="Arial"/>
                <w:sz w:val="18"/>
                <w:szCs w:val="18"/>
                <w:lang w:eastAsia="en-GB"/>
              </w:rPr>
              <w:t>101</w:t>
            </w:r>
            <w:r>
              <w:rPr>
                <w:rFonts w:cs="Arial"/>
                <w:sz w:val="18"/>
                <w:szCs w:val="18"/>
                <w:lang w:eastAsia="en-GB"/>
              </w:rPr>
              <w:t>)</w:t>
            </w:r>
          </w:p>
        </w:tc>
        <w:tc>
          <w:tcPr>
            <w:tcW w:w="425" w:type="dxa"/>
            <w:tcBorders>
              <w:top w:val="nil"/>
              <w:left w:val="nil"/>
              <w:bottom w:val="nil"/>
              <w:right w:val="nil"/>
            </w:tcBorders>
            <w:shd w:val="clear" w:color="000000" w:fill="FFFFFF"/>
            <w:noWrap/>
            <w:hideMark/>
          </w:tcPr>
          <w:p w14:paraId="655572FF"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1A297C47" w14:textId="77777777" w:rsidR="00CC37BA" w:rsidRPr="009F03E4" w:rsidRDefault="00CC37BA" w:rsidP="00CC37BA">
            <w:pPr>
              <w:rPr>
                <w:rFonts w:cs="Arial"/>
                <w:sz w:val="18"/>
                <w:szCs w:val="18"/>
                <w:lang w:eastAsia="en-GB"/>
              </w:rPr>
            </w:pPr>
            <w:r w:rsidRPr="009F03E4">
              <w:rPr>
                <w:rFonts w:cs="Arial"/>
                <w:sz w:val="18"/>
                <w:szCs w:val="18"/>
                <w:lang w:eastAsia="en-GB"/>
              </w:rPr>
              <w:t>Accumulated Absences Account</w:t>
            </w:r>
          </w:p>
        </w:tc>
        <w:tc>
          <w:tcPr>
            <w:tcW w:w="731" w:type="dxa"/>
            <w:tcBorders>
              <w:top w:val="nil"/>
              <w:left w:val="nil"/>
              <w:bottom w:val="nil"/>
              <w:right w:val="nil"/>
            </w:tcBorders>
            <w:shd w:val="clear" w:color="000000" w:fill="FFFFFF"/>
            <w:noWrap/>
            <w:vAlign w:val="bottom"/>
            <w:hideMark/>
          </w:tcPr>
          <w:p w14:paraId="449168E3" w14:textId="77777777" w:rsidR="00CC37BA" w:rsidRPr="009F03E4" w:rsidRDefault="00CC37BA" w:rsidP="00CC37BA">
            <w:pPr>
              <w:jc w:val="center"/>
              <w:rPr>
                <w:rFonts w:cs="Arial"/>
                <w:sz w:val="18"/>
                <w:szCs w:val="18"/>
                <w:lang w:eastAsia="en-GB"/>
              </w:rPr>
            </w:pPr>
            <w:r w:rsidRPr="009F03E4">
              <w:rPr>
                <w:rFonts w:cs="Arial"/>
                <w:sz w:val="18"/>
                <w:szCs w:val="18"/>
                <w:lang w:eastAsia="en-GB"/>
              </w:rPr>
              <w:t> </w:t>
            </w:r>
          </w:p>
        </w:tc>
        <w:tc>
          <w:tcPr>
            <w:tcW w:w="1396" w:type="dxa"/>
            <w:tcBorders>
              <w:top w:val="nil"/>
              <w:left w:val="nil"/>
              <w:bottom w:val="nil"/>
              <w:right w:val="single" w:sz="4" w:space="0" w:color="auto"/>
            </w:tcBorders>
            <w:shd w:val="clear" w:color="000000" w:fill="FFFFFF"/>
            <w:noWrap/>
            <w:hideMark/>
          </w:tcPr>
          <w:p w14:paraId="1971B60B" w14:textId="38287B3C" w:rsidR="00CC37BA" w:rsidRPr="009F03E4" w:rsidRDefault="0078717B" w:rsidP="00CC37BA">
            <w:pPr>
              <w:jc w:val="right"/>
              <w:rPr>
                <w:rFonts w:cs="Arial"/>
                <w:sz w:val="18"/>
                <w:szCs w:val="18"/>
                <w:lang w:eastAsia="en-GB"/>
              </w:rPr>
            </w:pPr>
            <w:r>
              <w:rPr>
                <w:rFonts w:cs="Arial"/>
                <w:sz w:val="18"/>
                <w:szCs w:val="18"/>
                <w:lang w:eastAsia="en-GB"/>
              </w:rPr>
              <w:t>(</w:t>
            </w:r>
            <w:r w:rsidR="00CC37BA" w:rsidRPr="009F03E4">
              <w:rPr>
                <w:rFonts w:cs="Arial"/>
                <w:sz w:val="18"/>
                <w:szCs w:val="18"/>
                <w:lang w:eastAsia="en-GB"/>
              </w:rPr>
              <w:t>254</w:t>
            </w:r>
            <w:r>
              <w:rPr>
                <w:rFonts w:cs="Arial"/>
                <w:sz w:val="18"/>
                <w:szCs w:val="18"/>
                <w:lang w:eastAsia="en-GB"/>
              </w:rPr>
              <w:t>)</w:t>
            </w:r>
          </w:p>
        </w:tc>
      </w:tr>
      <w:tr w:rsidR="00CC37BA" w:rsidRPr="009F03E4" w14:paraId="3A70BDA8" w14:textId="77777777" w:rsidTr="009F03E4">
        <w:trPr>
          <w:trHeight w:val="215"/>
          <w:jc w:val="center"/>
        </w:trPr>
        <w:tc>
          <w:tcPr>
            <w:tcW w:w="1555" w:type="dxa"/>
            <w:tcBorders>
              <w:top w:val="nil"/>
              <w:left w:val="single" w:sz="4" w:space="0" w:color="auto"/>
              <w:bottom w:val="nil"/>
              <w:right w:val="nil"/>
            </w:tcBorders>
            <w:shd w:val="clear" w:color="000000" w:fill="FFFFFF"/>
            <w:noWrap/>
            <w:hideMark/>
          </w:tcPr>
          <w:p w14:paraId="47CC9328" w14:textId="7F284252" w:rsidR="00CC37BA" w:rsidRPr="009F03E4" w:rsidRDefault="0078717B" w:rsidP="00CC37BA">
            <w:pPr>
              <w:jc w:val="right"/>
              <w:rPr>
                <w:rFonts w:cs="Arial"/>
                <w:sz w:val="18"/>
                <w:szCs w:val="18"/>
                <w:lang w:eastAsia="en-GB"/>
              </w:rPr>
            </w:pPr>
            <w:r>
              <w:rPr>
                <w:rFonts w:cs="Arial"/>
                <w:sz w:val="18"/>
                <w:szCs w:val="18"/>
                <w:lang w:eastAsia="en-GB"/>
              </w:rPr>
              <w:t>(</w:t>
            </w:r>
            <w:r w:rsidR="00CC37BA" w:rsidRPr="009F03E4">
              <w:rPr>
                <w:rFonts w:cs="Arial"/>
                <w:sz w:val="18"/>
                <w:szCs w:val="18"/>
                <w:lang w:eastAsia="en-GB"/>
              </w:rPr>
              <w:t>17,433</w:t>
            </w:r>
            <w:r>
              <w:rPr>
                <w:rFonts w:cs="Arial"/>
                <w:sz w:val="18"/>
                <w:szCs w:val="18"/>
                <w:lang w:eastAsia="en-GB"/>
              </w:rPr>
              <w:t>)</w:t>
            </w:r>
          </w:p>
        </w:tc>
        <w:tc>
          <w:tcPr>
            <w:tcW w:w="425" w:type="dxa"/>
            <w:tcBorders>
              <w:top w:val="nil"/>
              <w:left w:val="nil"/>
              <w:bottom w:val="nil"/>
              <w:right w:val="nil"/>
            </w:tcBorders>
            <w:shd w:val="clear" w:color="000000" w:fill="FFFFFF"/>
            <w:noWrap/>
            <w:hideMark/>
          </w:tcPr>
          <w:p w14:paraId="0E3635B5" w14:textId="77777777" w:rsidR="00CC37BA" w:rsidRPr="009F03E4" w:rsidRDefault="00CC37BA" w:rsidP="00CC37BA">
            <w:pPr>
              <w:jc w:val="right"/>
              <w:rPr>
                <w:rFonts w:cs="Arial"/>
                <w:sz w:val="18"/>
                <w:szCs w:val="18"/>
                <w:lang w:eastAsia="en-GB"/>
              </w:rPr>
            </w:pPr>
            <w:r w:rsidRPr="009F03E4">
              <w:rPr>
                <w:rFonts w:cs="Arial"/>
                <w:sz w:val="18"/>
                <w:szCs w:val="18"/>
                <w:lang w:eastAsia="en-GB"/>
              </w:rPr>
              <w:t> </w:t>
            </w:r>
          </w:p>
        </w:tc>
        <w:tc>
          <w:tcPr>
            <w:tcW w:w="5245" w:type="dxa"/>
            <w:tcBorders>
              <w:top w:val="nil"/>
              <w:left w:val="nil"/>
              <w:bottom w:val="nil"/>
              <w:right w:val="nil"/>
            </w:tcBorders>
            <w:shd w:val="clear" w:color="000000" w:fill="FFFFFF"/>
            <w:noWrap/>
            <w:vAlign w:val="bottom"/>
            <w:hideMark/>
          </w:tcPr>
          <w:p w14:paraId="50B721DE" w14:textId="77777777" w:rsidR="00CC37BA" w:rsidRPr="009F03E4" w:rsidRDefault="00CC37BA" w:rsidP="00CC37BA">
            <w:pPr>
              <w:rPr>
                <w:rFonts w:cs="Arial"/>
                <w:sz w:val="18"/>
                <w:szCs w:val="18"/>
                <w:lang w:eastAsia="en-GB"/>
              </w:rPr>
            </w:pPr>
            <w:r w:rsidRPr="009F03E4">
              <w:rPr>
                <w:rFonts w:cs="Arial"/>
                <w:sz w:val="18"/>
                <w:szCs w:val="18"/>
                <w:lang w:eastAsia="en-GB"/>
              </w:rPr>
              <w:t>Pension Reserve</w:t>
            </w:r>
          </w:p>
        </w:tc>
        <w:tc>
          <w:tcPr>
            <w:tcW w:w="731" w:type="dxa"/>
            <w:tcBorders>
              <w:top w:val="nil"/>
              <w:left w:val="nil"/>
              <w:bottom w:val="nil"/>
              <w:right w:val="nil"/>
            </w:tcBorders>
            <w:shd w:val="clear" w:color="000000" w:fill="FFFFFF"/>
            <w:noWrap/>
            <w:vAlign w:val="bottom"/>
            <w:hideMark/>
          </w:tcPr>
          <w:p w14:paraId="1C9B1592" w14:textId="77777777" w:rsidR="00CC37BA" w:rsidRPr="009F03E4" w:rsidRDefault="00CC37BA" w:rsidP="00CC37BA">
            <w:pPr>
              <w:jc w:val="center"/>
              <w:rPr>
                <w:rFonts w:cs="Arial"/>
                <w:sz w:val="18"/>
                <w:szCs w:val="18"/>
                <w:lang w:eastAsia="en-GB"/>
              </w:rPr>
            </w:pPr>
            <w:r w:rsidRPr="009F03E4">
              <w:rPr>
                <w:rFonts w:cs="Arial"/>
                <w:sz w:val="18"/>
                <w:szCs w:val="18"/>
                <w:lang w:eastAsia="en-GB"/>
              </w:rPr>
              <w:t>15</w:t>
            </w:r>
          </w:p>
        </w:tc>
        <w:tc>
          <w:tcPr>
            <w:tcW w:w="1396" w:type="dxa"/>
            <w:tcBorders>
              <w:top w:val="nil"/>
              <w:left w:val="nil"/>
              <w:bottom w:val="nil"/>
              <w:right w:val="single" w:sz="4" w:space="0" w:color="auto"/>
            </w:tcBorders>
            <w:shd w:val="clear" w:color="000000" w:fill="FFFFFF"/>
            <w:noWrap/>
            <w:hideMark/>
          </w:tcPr>
          <w:p w14:paraId="0497464D" w14:textId="6FEBBDF2" w:rsidR="00CC37BA" w:rsidRPr="009F03E4" w:rsidRDefault="00CC37BA" w:rsidP="00CC37BA">
            <w:pPr>
              <w:jc w:val="right"/>
              <w:rPr>
                <w:rFonts w:cs="Arial"/>
                <w:sz w:val="18"/>
                <w:szCs w:val="18"/>
                <w:lang w:eastAsia="en-GB"/>
              </w:rPr>
            </w:pPr>
            <w:r w:rsidRPr="009F03E4">
              <w:rPr>
                <w:rFonts w:cs="Arial"/>
                <w:sz w:val="18"/>
                <w:szCs w:val="18"/>
                <w:lang w:eastAsia="en-GB"/>
              </w:rPr>
              <w:t>4,803</w:t>
            </w:r>
          </w:p>
        </w:tc>
      </w:tr>
      <w:tr w:rsidR="00CC37BA" w:rsidRPr="009F03E4" w14:paraId="77929C02" w14:textId="77777777" w:rsidTr="009F03E4">
        <w:trPr>
          <w:trHeight w:val="147"/>
          <w:jc w:val="center"/>
        </w:trPr>
        <w:tc>
          <w:tcPr>
            <w:tcW w:w="1555" w:type="dxa"/>
            <w:tcBorders>
              <w:top w:val="nil"/>
              <w:left w:val="single" w:sz="4" w:space="0" w:color="auto"/>
              <w:bottom w:val="nil"/>
              <w:right w:val="nil"/>
            </w:tcBorders>
            <w:shd w:val="clear" w:color="000000" w:fill="FFFFFF"/>
            <w:noWrap/>
            <w:vAlign w:val="bottom"/>
            <w:hideMark/>
          </w:tcPr>
          <w:p w14:paraId="1228AD07" w14:textId="77777777" w:rsidR="00CC37BA" w:rsidRPr="009F03E4" w:rsidRDefault="00CC37BA" w:rsidP="00CC37BA">
            <w:pPr>
              <w:rPr>
                <w:rFonts w:cs="Arial"/>
                <w:color w:val="000000"/>
                <w:sz w:val="18"/>
                <w:szCs w:val="18"/>
                <w:lang w:eastAsia="en-GB"/>
              </w:rPr>
            </w:pPr>
            <w:r w:rsidRPr="009F03E4">
              <w:rPr>
                <w:rFonts w:cs="Arial"/>
                <w:color w:val="000000"/>
                <w:sz w:val="18"/>
                <w:szCs w:val="18"/>
                <w:lang w:eastAsia="en-GB"/>
              </w:rPr>
              <w:t> </w:t>
            </w:r>
          </w:p>
        </w:tc>
        <w:tc>
          <w:tcPr>
            <w:tcW w:w="425" w:type="dxa"/>
            <w:tcBorders>
              <w:top w:val="nil"/>
              <w:left w:val="nil"/>
              <w:bottom w:val="nil"/>
              <w:right w:val="nil"/>
            </w:tcBorders>
            <w:shd w:val="clear" w:color="000000" w:fill="FFFFFF"/>
            <w:noWrap/>
            <w:vAlign w:val="bottom"/>
            <w:hideMark/>
          </w:tcPr>
          <w:p w14:paraId="3D829499" w14:textId="77777777" w:rsidR="00CC37BA" w:rsidRPr="009F03E4" w:rsidRDefault="00CC37BA" w:rsidP="00CC37BA">
            <w:pPr>
              <w:rPr>
                <w:rFonts w:cs="Arial"/>
                <w:color w:val="000000"/>
                <w:sz w:val="18"/>
                <w:szCs w:val="18"/>
                <w:lang w:eastAsia="en-GB"/>
              </w:rPr>
            </w:pPr>
            <w:r w:rsidRPr="009F03E4">
              <w:rPr>
                <w:rFonts w:cs="Arial"/>
                <w:color w:val="000000"/>
                <w:sz w:val="18"/>
                <w:szCs w:val="18"/>
                <w:lang w:eastAsia="en-GB"/>
              </w:rPr>
              <w:t> </w:t>
            </w:r>
          </w:p>
        </w:tc>
        <w:tc>
          <w:tcPr>
            <w:tcW w:w="5245" w:type="dxa"/>
            <w:tcBorders>
              <w:top w:val="nil"/>
              <w:left w:val="nil"/>
              <w:bottom w:val="nil"/>
              <w:right w:val="nil"/>
            </w:tcBorders>
            <w:shd w:val="clear" w:color="000000" w:fill="FFFFFF"/>
            <w:noWrap/>
            <w:vAlign w:val="bottom"/>
            <w:hideMark/>
          </w:tcPr>
          <w:p w14:paraId="558B8E1E" w14:textId="77777777" w:rsidR="00CC37BA" w:rsidRPr="009F03E4" w:rsidRDefault="00CC37BA" w:rsidP="00CC37BA">
            <w:pPr>
              <w:rPr>
                <w:rFonts w:cs="Arial"/>
                <w:color w:val="000000"/>
                <w:sz w:val="18"/>
                <w:szCs w:val="18"/>
                <w:lang w:eastAsia="en-GB"/>
              </w:rPr>
            </w:pPr>
            <w:r w:rsidRPr="009F03E4">
              <w:rPr>
                <w:rFonts w:cs="Arial"/>
                <w:color w:val="000000"/>
                <w:sz w:val="18"/>
                <w:szCs w:val="18"/>
                <w:lang w:eastAsia="en-GB"/>
              </w:rPr>
              <w:t> </w:t>
            </w:r>
          </w:p>
        </w:tc>
        <w:tc>
          <w:tcPr>
            <w:tcW w:w="731" w:type="dxa"/>
            <w:tcBorders>
              <w:top w:val="nil"/>
              <w:left w:val="nil"/>
              <w:bottom w:val="nil"/>
              <w:right w:val="nil"/>
            </w:tcBorders>
            <w:shd w:val="clear" w:color="000000" w:fill="FFFFFF"/>
            <w:noWrap/>
            <w:vAlign w:val="bottom"/>
            <w:hideMark/>
          </w:tcPr>
          <w:p w14:paraId="65D7FB40" w14:textId="77777777" w:rsidR="00CC37BA" w:rsidRPr="009F03E4" w:rsidRDefault="00CC37BA" w:rsidP="00CC37BA">
            <w:pPr>
              <w:rPr>
                <w:rFonts w:cs="Arial"/>
                <w:color w:val="000000"/>
                <w:sz w:val="18"/>
                <w:szCs w:val="18"/>
                <w:lang w:eastAsia="en-GB"/>
              </w:rPr>
            </w:pPr>
            <w:r w:rsidRPr="009F03E4">
              <w:rPr>
                <w:rFonts w:cs="Arial"/>
                <w:color w:val="000000"/>
                <w:sz w:val="18"/>
                <w:szCs w:val="18"/>
                <w:lang w:eastAsia="en-GB"/>
              </w:rPr>
              <w:t> </w:t>
            </w:r>
          </w:p>
        </w:tc>
        <w:tc>
          <w:tcPr>
            <w:tcW w:w="1396" w:type="dxa"/>
            <w:tcBorders>
              <w:top w:val="nil"/>
              <w:left w:val="nil"/>
              <w:bottom w:val="nil"/>
              <w:right w:val="single" w:sz="4" w:space="0" w:color="auto"/>
            </w:tcBorders>
            <w:shd w:val="clear" w:color="000000" w:fill="FFFFFF"/>
            <w:noWrap/>
            <w:vAlign w:val="bottom"/>
            <w:hideMark/>
          </w:tcPr>
          <w:p w14:paraId="29CEA4BC" w14:textId="77777777" w:rsidR="00CC37BA" w:rsidRPr="009F03E4" w:rsidRDefault="00CC37BA" w:rsidP="00CC37BA">
            <w:pPr>
              <w:rPr>
                <w:rFonts w:cs="Arial"/>
                <w:color w:val="000000"/>
                <w:sz w:val="18"/>
                <w:szCs w:val="18"/>
                <w:lang w:eastAsia="en-GB"/>
              </w:rPr>
            </w:pPr>
            <w:r w:rsidRPr="009F03E4">
              <w:rPr>
                <w:rFonts w:cs="Arial"/>
                <w:color w:val="000000"/>
                <w:sz w:val="18"/>
                <w:szCs w:val="18"/>
                <w:lang w:eastAsia="en-GB"/>
              </w:rPr>
              <w:t> </w:t>
            </w:r>
          </w:p>
        </w:tc>
      </w:tr>
      <w:tr w:rsidR="00CC37BA" w:rsidRPr="009F03E4" w14:paraId="7A3720E4" w14:textId="77777777" w:rsidTr="00CC37BA">
        <w:trPr>
          <w:trHeight w:val="310"/>
          <w:jc w:val="center"/>
        </w:trPr>
        <w:tc>
          <w:tcPr>
            <w:tcW w:w="1555" w:type="dxa"/>
            <w:tcBorders>
              <w:top w:val="single" w:sz="4" w:space="0" w:color="auto"/>
              <w:left w:val="single" w:sz="4" w:space="0" w:color="auto"/>
              <w:bottom w:val="double" w:sz="6" w:space="0" w:color="auto"/>
              <w:right w:val="nil"/>
            </w:tcBorders>
            <w:shd w:val="clear" w:color="000000" w:fill="FFFFFF"/>
            <w:noWrap/>
            <w:vAlign w:val="center"/>
            <w:hideMark/>
          </w:tcPr>
          <w:p w14:paraId="4E77DF27" w14:textId="468535C1" w:rsidR="00CC37BA" w:rsidRPr="009F03E4" w:rsidRDefault="00CC37BA" w:rsidP="00CC37BA">
            <w:pPr>
              <w:jc w:val="right"/>
              <w:rPr>
                <w:rFonts w:cs="Arial"/>
                <w:b/>
                <w:bCs/>
                <w:sz w:val="18"/>
                <w:szCs w:val="18"/>
                <w:lang w:eastAsia="en-GB"/>
              </w:rPr>
            </w:pPr>
            <w:r w:rsidRPr="009F03E4">
              <w:rPr>
                <w:rFonts w:cs="Arial"/>
                <w:b/>
                <w:bCs/>
                <w:sz w:val="18"/>
                <w:szCs w:val="18"/>
                <w:lang w:eastAsia="en-GB"/>
              </w:rPr>
              <w:t>21,331</w:t>
            </w:r>
          </w:p>
        </w:tc>
        <w:tc>
          <w:tcPr>
            <w:tcW w:w="425" w:type="dxa"/>
            <w:tcBorders>
              <w:top w:val="nil"/>
              <w:left w:val="nil"/>
              <w:bottom w:val="nil"/>
              <w:right w:val="nil"/>
            </w:tcBorders>
            <w:shd w:val="clear" w:color="000000" w:fill="FFFFFF"/>
            <w:noWrap/>
            <w:vAlign w:val="center"/>
            <w:hideMark/>
          </w:tcPr>
          <w:p w14:paraId="67B8C0B2" w14:textId="77777777" w:rsidR="00CC37BA" w:rsidRPr="009F03E4" w:rsidRDefault="00CC37BA" w:rsidP="00CC37BA">
            <w:pPr>
              <w:jc w:val="right"/>
              <w:rPr>
                <w:rFonts w:cs="Arial"/>
                <w:b/>
                <w:bCs/>
                <w:sz w:val="18"/>
                <w:szCs w:val="18"/>
                <w:lang w:eastAsia="en-GB"/>
              </w:rPr>
            </w:pPr>
            <w:r w:rsidRPr="009F03E4">
              <w:rPr>
                <w:rFonts w:cs="Arial"/>
                <w:b/>
                <w:bCs/>
                <w:sz w:val="18"/>
                <w:szCs w:val="18"/>
                <w:lang w:eastAsia="en-GB"/>
              </w:rPr>
              <w:t> </w:t>
            </w:r>
          </w:p>
        </w:tc>
        <w:tc>
          <w:tcPr>
            <w:tcW w:w="5245" w:type="dxa"/>
            <w:tcBorders>
              <w:top w:val="nil"/>
              <w:left w:val="nil"/>
              <w:bottom w:val="nil"/>
              <w:right w:val="nil"/>
            </w:tcBorders>
            <w:shd w:val="clear" w:color="000000" w:fill="FFFFFF"/>
            <w:noWrap/>
            <w:vAlign w:val="center"/>
            <w:hideMark/>
          </w:tcPr>
          <w:p w14:paraId="35C54B39" w14:textId="77777777" w:rsidR="00CC37BA" w:rsidRPr="009F03E4" w:rsidRDefault="00CC37BA" w:rsidP="00CC37BA">
            <w:pPr>
              <w:rPr>
                <w:rFonts w:cs="Arial"/>
                <w:b/>
                <w:bCs/>
                <w:sz w:val="18"/>
                <w:szCs w:val="18"/>
                <w:lang w:eastAsia="en-GB"/>
              </w:rPr>
            </w:pPr>
            <w:r w:rsidRPr="009F03E4">
              <w:rPr>
                <w:rFonts w:cs="Arial"/>
                <w:b/>
                <w:bCs/>
                <w:sz w:val="18"/>
                <w:szCs w:val="18"/>
                <w:lang w:eastAsia="en-GB"/>
              </w:rPr>
              <w:t>Total Reserves</w:t>
            </w:r>
          </w:p>
        </w:tc>
        <w:tc>
          <w:tcPr>
            <w:tcW w:w="731" w:type="dxa"/>
            <w:tcBorders>
              <w:top w:val="nil"/>
              <w:left w:val="nil"/>
              <w:bottom w:val="nil"/>
              <w:right w:val="nil"/>
            </w:tcBorders>
            <w:shd w:val="clear" w:color="000000" w:fill="FFFFFF"/>
            <w:noWrap/>
            <w:vAlign w:val="bottom"/>
            <w:hideMark/>
          </w:tcPr>
          <w:p w14:paraId="6CE3AC63" w14:textId="77777777" w:rsidR="00CC37BA" w:rsidRPr="009F03E4" w:rsidRDefault="00CC37BA" w:rsidP="00CC37BA">
            <w:pPr>
              <w:rPr>
                <w:rFonts w:cs="Arial"/>
                <w:sz w:val="18"/>
                <w:szCs w:val="18"/>
                <w:lang w:eastAsia="en-GB"/>
              </w:rPr>
            </w:pPr>
            <w:r w:rsidRPr="009F03E4">
              <w:rPr>
                <w:rFonts w:cs="Arial"/>
                <w:sz w:val="18"/>
                <w:szCs w:val="18"/>
                <w:lang w:eastAsia="en-GB"/>
              </w:rPr>
              <w:t> </w:t>
            </w:r>
          </w:p>
        </w:tc>
        <w:tc>
          <w:tcPr>
            <w:tcW w:w="1396" w:type="dxa"/>
            <w:tcBorders>
              <w:top w:val="single" w:sz="4" w:space="0" w:color="auto"/>
              <w:left w:val="nil"/>
              <w:bottom w:val="double" w:sz="6" w:space="0" w:color="auto"/>
              <w:right w:val="single" w:sz="4" w:space="0" w:color="auto"/>
            </w:tcBorders>
            <w:shd w:val="clear" w:color="000000" w:fill="FFFFFF"/>
            <w:noWrap/>
            <w:vAlign w:val="center"/>
            <w:hideMark/>
          </w:tcPr>
          <w:p w14:paraId="75593445" w14:textId="7E4BE65A" w:rsidR="00CC37BA" w:rsidRPr="009F03E4" w:rsidRDefault="00CC37BA" w:rsidP="00CC37BA">
            <w:pPr>
              <w:jc w:val="right"/>
              <w:rPr>
                <w:rFonts w:cs="Arial"/>
                <w:b/>
                <w:bCs/>
                <w:sz w:val="18"/>
                <w:szCs w:val="18"/>
                <w:lang w:eastAsia="en-GB"/>
              </w:rPr>
            </w:pPr>
            <w:r w:rsidRPr="009F03E4">
              <w:rPr>
                <w:rFonts w:cs="Arial"/>
                <w:b/>
                <w:bCs/>
                <w:sz w:val="18"/>
                <w:szCs w:val="18"/>
                <w:lang w:eastAsia="en-GB"/>
              </w:rPr>
              <w:t>4</w:t>
            </w:r>
            <w:r w:rsidR="0078717B">
              <w:rPr>
                <w:rFonts w:cs="Arial"/>
                <w:b/>
                <w:bCs/>
                <w:sz w:val="18"/>
                <w:szCs w:val="18"/>
                <w:lang w:eastAsia="en-GB"/>
              </w:rPr>
              <w:t>5,1</w:t>
            </w:r>
            <w:r w:rsidR="005D6A99">
              <w:rPr>
                <w:rFonts w:cs="Arial"/>
                <w:b/>
                <w:bCs/>
                <w:sz w:val="18"/>
                <w:szCs w:val="18"/>
                <w:lang w:eastAsia="en-GB"/>
              </w:rPr>
              <w:t>35</w:t>
            </w:r>
          </w:p>
        </w:tc>
      </w:tr>
      <w:tr w:rsidR="00CC37BA" w:rsidRPr="009F03E4" w14:paraId="582A3E43" w14:textId="77777777" w:rsidTr="009F03E4">
        <w:trPr>
          <w:trHeight w:val="46"/>
          <w:jc w:val="center"/>
        </w:trPr>
        <w:tc>
          <w:tcPr>
            <w:tcW w:w="1555" w:type="dxa"/>
            <w:tcBorders>
              <w:top w:val="nil"/>
              <w:left w:val="single" w:sz="4" w:space="0" w:color="auto"/>
              <w:bottom w:val="single" w:sz="4" w:space="0" w:color="auto"/>
              <w:right w:val="nil"/>
            </w:tcBorders>
            <w:shd w:val="clear" w:color="000000" w:fill="FFFFFF"/>
            <w:noWrap/>
            <w:vAlign w:val="bottom"/>
            <w:hideMark/>
          </w:tcPr>
          <w:p w14:paraId="2FF5C556" w14:textId="77777777" w:rsidR="00CC37BA" w:rsidRPr="009F03E4" w:rsidRDefault="00CC37BA" w:rsidP="00CC37BA">
            <w:pPr>
              <w:jc w:val="right"/>
              <w:rPr>
                <w:rFonts w:cs="Arial"/>
                <w:b/>
                <w:bCs/>
                <w:sz w:val="18"/>
                <w:szCs w:val="18"/>
                <w:lang w:eastAsia="en-GB"/>
              </w:rPr>
            </w:pPr>
            <w:r w:rsidRPr="009F03E4">
              <w:rPr>
                <w:rFonts w:cs="Arial"/>
                <w:b/>
                <w:bCs/>
                <w:sz w:val="18"/>
                <w:szCs w:val="18"/>
                <w:lang w:eastAsia="en-GB"/>
              </w:rPr>
              <w:t> </w:t>
            </w:r>
          </w:p>
        </w:tc>
        <w:tc>
          <w:tcPr>
            <w:tcW w:w="425" w:type="dxa"/>
            <w:tcBorders>
              <w:top w:val="nil"/>
              <w:left w:val="nil"/>
              <w:bottom w:val="single" w:sz="4" w:space="0" w:color="auto"/>
              <w:right w:val="nil"/>
            </w:tcBorders>
            <w:shd w:val="clear" w:color="000000" w:fill="FFFFFF"/>
            <w:noWrap/>
            <w:vAlign w:val="bottom"/>
            <w:hideMark/>
          </w:tcPr>
          <w:p w14:paraId="02A04D7C" w14:textId="77777777" w:rsidR="00CC37BA" w:rsidRPr="009F03E4" w:rsidRDefault="00CC37BA" w:rsidP="00CC37BA">
            <w:pPr>
              <w:jc w:val="right"/>
              <w:rPr>
                <w:rFonts w:cs="Arial"/>
                <w:b/>
                <w:bCs/>
                <w:sz w:val="18"/>
                <w:szCs w:val="18"/>
                <w:lang w:eastAsia="en-GB"/>
              </w:rPr>
            </w:pPr>
            <w:r w:rsidRPr="009F03E4">
              <w:rPr>
                <w:rFonts w:cs="Arial"/>
                <w:b/>
                <w:bCs/>
                <w:sz w:val="18"/>
                <w:szCs w:val="18"/>
                <w:lang w:eastAsia="en-GB"/>
              </w:rPr>
              <w:t> </w:t>
            </w:r>
          </w:p>
        </w:tc>
        <w:tc>
          <w:tcPr>
            <w:tcW w:w="5245" w:type="dxa"/>
            <w:tcBorders>
              <w:top w:val="nil"/>
              <w:left w:val="nil"/>
              <w:bottom w:val="single" w:sz="4" w:space="0" w:color="auto"/>
              <w:right w:val="nil"/>
            </w:tcBorders>
            <w:shd w:val="clear" w:color="000000" w:fill="FFFFFF"/>
            <w:noWrap/>
            <w:vAlign w:val="bottom"/>
            <w:hideMark/>
          </w:tcPr>
          <w:p w14:paraId="5AC94E56" w14:textId="77777777" w:rsidR="00CC37BA" w:rsidRPr="009F03E4" w:rsidRDefault="00CC37BA" w:rsidP="00CC37BA">
            <w:pPr>
              <w:rPr>
                <w:rFonts w:cs="Arial"/>
                <w:sz w:val="18"/>
                <w:szCs w:val="18"/>
                <w:lang w:eastAsia="en-GB"/>
              </w:rPr>
            </w:pPr>
            <w:r w:rsidRPr="009F03E4">
              <w:rPr>
                <w:rFonts w:cs="Arial"/>
                <w:sz w:val="18"/>
                <w:szCs w:val="18"/>
                <w:lang w:eastAsia="en-GB"/>
              </w:rPr>
              <w:t> </w:t>
            </w:r>
          </w:p>
        </w:tc>
        <w:tc>
          <w:tcPr>
            <w:tcW w:w="731" w:type="dxa"/>
            <w:tcBorders>
              <w:top w:val="nil"/>
              <w:left w:val="nil"/>
              <w:bottom w:val="single" w:sz="4" w:space="0" w:color="auto"/>
              <w:right w:val="nil"/>
            </w:tcBorders>
            <w:shd w:val="clear" w:color="000000" w:fill="FFFFFF"/>
            <w:noWrap/>
            <w:vAlign w:val="bottom"/>
            <w:hideMark/>
          </w:tcPr>
          <w:p w14:paraId="77CF0D3C" w14:textId="77777777" w:rsidR="00CC37BA" w:rsidRPr="009F03E4" w:rsidRDefault="00CC37BA" w:rsidP="00CC37BA">
            <w:pPr>
              <w:rPr>
                <w:rFonts w:cs="Arial"/>
                <w:sz w:val="18"/>
                <w:szCs w:val="18"/>
                <w:lang w:eastAsia="en-GB"/>
              </w:rPr>
            </w:pPr>
            <w:r w:rsidRPr="009F03E4">
              <w:rPr>
                <w:rFonts w:cs="Arial"/>
                <w:sz w:val="18"/>
                <w:szCs w:val="18"/>
                <w:lang w:eastAsia="en-GB"/>
              </w:rPr>
              <w:t> </w:t>
            </w:r>
          </w:p>
        </w:tc>
        <w:tc>
          <w:tcPr>
            <w:tcW w:w="1396" w:type="dxa"/>
            <w:tcBorders>
              <w:top w:val="nil"/>
              <w:left w:val="nil"/>
              <w:bottom w:val="single" w:sz="4" w:space="0" w:color="auto"/>
              <w:right w:val="single" w:sz="4" w:space="0" w:color="auto"/>
            </w:tcBorders>
            <w:shd w:val="clear" w:color="000000" w:fill="FFFFFF"/>
            <w:noWrap/>
            <w:vAlign w:val="bottom"/>
            <w:hideMark/>
          </w:tcPr>
          <w:p w14:paraId="5D3BBF64" w14:textId="77777777" w:rsidR="00CC37BA" w:rsidRPr="009F03E4" w:rsidRDefault="00CC37BA" w:rsidP="00CC37BA">
            <w:pPr>
              <w:rPr>
                <w:rFonts w:cs="Arial"/>
                <w:sz w:val="18"/>
                <w:szCs w:val="18"/>
                <w:lang w:eastAsia="en-GB"/>
              </w:rPr>
            </w:pPr>
            <w:r w:rsidRPr="009F03E4">
              <w:rPr>
                <w:rFonts w:cs="Arial"/>
                <w:sz w:val="18"/>
                <w:szCs w:val="18"/>
                <w:lang w:eastAsia="en-GB"/>
              </w:rPr>
              <w:t> </w:t>
            </w:r>
          </w:p>
        </w:tc>
      </w:tr>
    </w:tbl>
    <w:p w14:paraId="116FE8ED" w14:textId="77777777" w:rsidR="009F03E4" w:rsidRDefault="009F03E4" w:rsidP="00737683">
      <w:pPr>
        <w:pStyle w:val="ListParagraph"/>
        <w:ind w:left="360"/>
        <w:rPr>
          <w:sz w:val="23"/>
          <w:szCs w:val="23"/>
          <w:u w:val="none"/>
        </w:rPr>
      </w:pPr>
    </w:p>
    <w:p w14:paraId="26AD44FA" w14:textId="6FE5891A" w:rsidR="00737683" w:rsidRPr="00CC37BA" w:rsidRDefault="00737683" w:rsidP="00737683">
      <w:pPr>
        <w:pStyle w:val="ListParagraph"/>
        <w:ind w:left="360"/>
      </w:pPr>
      <w:r w:rsidRPr="00CC37BA">
        <w:rPr>
          <w:sz w:val="23"/>
          <w:szCs w:val="23"/>
          <w:u w:val="none"/>
        </w:rPr>
        <w:t xml:space="preserve">The Balance Sheet shows the value of the assets and liabilities recognised by the Authority. The net assets of the Authority (assets less liabilities) are matched by the reserves held by the Authority. Reserves are reported in two categories. </w:t>
      </w:r>
      <w:r w:rsidR="009F03E4">
        <w:rPr>
          <w:sz w:val="23"/>
          <w:szCs w:val="23"/>
          <w:u w:val="none"/>
        </w:rPr>
        <w:t>U</w:t>
      </w:r>
      <w:r w:rsidRPr="00CC37BA">
        <w:rPr>
          <w:sz w:val="23"/>
          <w:szCs w:val="23"/>
          <w:u w:val="none"/>
        </w:rPr>
        <w:t>sable reserves, being those reserves that the Authority may use to provide services. Use of these is subject to the need to maintain a prudent level of reserves and any statutory limitations on their use for example the capital receipts reserve that may only be used to fund capital expenditure or repay debt. The second category of reserves are those that the Authority is not able to use to provide services. This category includes reserves that hold unrealised gains and losses, for example the revaluation reserve, where amounts would only become available to provide services if the assets are sold. It also includes reserves that hold timing differences shown in the Movement in Reserves Statement line “adjustments between accounting basis and funding basis under regulations”.</w:t>
      </w:r>
    </w:p>
    <w:p w14:paraId="0B440E17" w14:textId="01F6206C" w:rsidR="00737683" w:rsidRPr="004D5CA8" w:rsidRDefault="00737683" w:rsidP="00B72CF2">
      <w:pPr>
        <w:tabs>
          <w:tab w:val="left" w:pos="0"/>
        </w:tabs>
        <w:jc w:val="center"/>
        <w:rPr>
          <w:b/>
          <w:sz w:val="28"/>
          <w:szCs w:val="28"/>
          <w:highlight w:val="yellow"/>
        </w:rPr>
        <w:sectPr w:rsidR="00737683" w:rsidRPr="004D5CA8" w:rsidSect="00E0332A">
          <w:pgSz w:w="11906" w:h="16838" w:code="9"/>
          <w:pgMar w:top="1077" w:right="424" w:bottom="720" w:left="709" w:header="709" w:footer="403" w:gutter="0"/>
          <w:cols w:space="708"/>
          <w:docGrid w:linePitch="360"/>
        </w:sectPr>
      </w:pPr>
    </w:p>
    <w:p w14:paraId="485A45AB" w14:textId="77777777" w:rsidR="00F408E5" w:rsidRDefault="00276F53" w:rsidP="00F408E5">
      <w:pPr>
        <w:tabs>
          <w:tab w:val="left" w:pos="0"/>
        </w:tabs>
        <w:jc w:val="center"/>
        <w:rPr>
          <w:b/>
          <w:sz w:val="28"/>
          <w:szCs w:val="28"/>
        </w:rPr>
      </w:pPr>
      <w:r w:rsidRPr="00C17CCF">
        <w:rPr>
          <w:b/>
          <w:sz w:val="28"/>
          <w:szCs w:val="28"/>
        </w:rPr>
        <w:lastRenderedPageBreak/>
        <w:t>C</w:t>
      </w:r>
      <w:r w:rsidR="00F408E5" w:rsidRPr="00C17CCF">
        <w:rPr>
          <w:b/>
          <w:sz w:val="28"/>
          <w:szCs w:val="28"/>
        </w:rPr>
        <w:t>ASH FLOW STATEMENT</w:t>
      </w:r>
    </w:p>
    <w:p w14:paraId="7B84578B" w14:textId="77777777" w:rsidR="00FA17FF" w:rsidRDefault="00FA17FF" w:rsidP="00F408E5">
      <w:pPr>
        <w:tabs>
          <w:tab w:val="left" w:pos="0"/>
        </w:tabs>
        <w:jc w:val="center"/>
        <w:rPr>
          <w:b/>
          <w:sz w:val="28"/>
          <w:szCs w:val="28"/>
        </w:rPr>
      </w:pPr>
    </w:p>
    <w:p w14:paraId="5E3B9536" w14:textId="7C9D08B9" w:rsidR="000D30FA" w:rsidRDefault="000D30FA" w:rsidP="00F408E5">
      <w:pPr>
        <w:tabs>
          <w:tab w:val="left" w:pos="0"/>
        </w:tabs>
        <w:jc w:val="center"/>
        <w:rPr>
          <w:rFonts w:ascii="Times New Roman" w:hAnsi="Times New Roman"/>
          <w:sz w:val="20"/>
          <w:szCs w:val="20"/>
          <w:lang w:eastAsia="en-GB"/>
        </w:rPr>
      </w:pPr>
      <w:r>
        <w:fldChar w:fldCharType="begin"/>
      </w:r>
      <w:r>
        <w:instrText xml:space="preserve"> LINK </w:instrText>
      </w:r>
      <w:r w:rsidR="004D7221">
        <w:instrText xml:space="preserve">Excel.Sheet.12 "\\\\ldnpa\\authority\\Finance\\Finance Unrestricted\\Working Year 22-23\\Year End 22-23\\TB CIES and balance sheet\\CIES and balance sheet 2223 24_5_23.xlsx" Cashflow!R3C2:R48C13 </w:instrText>
      </w:r>
      <w:r>
        <w:instrText xml:space="preserve">\a \f 4 \h  \* MERGEFORMAT </w:instrText>
      </w:r>
      <w:r>
        <w:fldChar w:fldCharType="separate"/>
      </w:r>
    </w:p>
    <w:p w14:paraId="434411F0" w14:textId="2F01841D" w:rsidR="00C17CCF" w:rsidRDefault="000D30FA" w:rsidP="00F408E5">
      <w:pPr>
        <w:tabs>
          <w:tab w:val="left" w:pos="0"/>
        </w:tabs>
        <w:jc w:val="center"/>
        <w:rPr>
          <w:b/>
          <w:sz w:val="28"/>
          <w:szCs w:val="28"/>
        </w:rPr>
      </w:pPr>
      <w:r>
        <w:rPr>
          <w:b/>
          <w:sz w:val="28"/>
          <w:szCs w:val="28"/>
        </w:rPr>
        <w:fldChar w:fldCharType="end"/>
      </w:r>
      <w:r w:rsidR="00FC3A39" w:rsidRPr="00FC3A39">
        <w:rPr>
          <w:noProof/>
        </w:rPr>
        <w:drawing>
          <wp:inline distT="0" distB="0" distL="0" distR="0" wp14:anchorId="282A92E6" wp14:editId="60E89885">
            <wp:extent cx="5143500" cy="6641035"/>
            <wp:effectExtent l="0" t="0" r="0" b="7620"/>
            <wp:docPr id="16791248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57258" cy="6658799"/>
                    </a:xfrm>
                    <a:prstGeom prst="rect">
                      <a:avLst/>
                    </a:prstGeom>
                    <a:noFill/>
                    <a:ln>
                      <a:noFill/>
                    </a:ln>
                  </pic:spPr>
                </pic:pic>
              </a:graphicData>
            </a:graphic>
          </wp:inline>
        </w:drawing>
      </w:r>
    </w:p>
    <w:p w14:paraId="485A45AC" w14:textId="77777777" w:rsidR="00F408E5" w:rsidRPr="00C17CCF" w:rsidRDefault="00F408E5" w:rsidP="00F408E5">
      <w:pPr>
        <w:pStyle w:val="HEADING"/>
        <w:jc w:val="center"/>
      </w:pPr>
    </w:p>
    <w:p w14:paraId="485A45AD" w14:textId="18DFD98C" w:rsidR="00D44BEF" w:rsidRPr="00C17CCF" w:rsidRDefault="00D44BEF" w:rsidP="00F408E5">
      <w:pPr>
        <w:pStyle w:val="HEADING"/>
        <w:jc w:val="center"/>
      </w:pPr>
    </w:p>
    <w:p w14:paraId="72DFD258" w14:textId="77777777" w:rsidR="00737683" w:rsidRPr="00C17CCF" w:rsidRDefault="00737683" w:rsidP="00737683">
      <w:pPr>
        <w:ind w:left="360"/>
        <w:rPr>
          <w:rFonts w:cs="Arial"/>
        </w:rPr>
      </w:pPr>
      <w:r w:rsidRPr="00C17CCF">
        <w:rPr>
          <w:rFonts w:cs="Arial"/>
        </w:rPr>
        <w:t>The Cash Flow statement shows the changes in cash and cash equivalents during the reporting period. The statement shows how the Authority generates and uses cash and cash equivalents by classifying cash flows as; operating, investing and financing activities. The amount of net cash flows arising from operating activities is a key indicator of the extent to which the operations of the Authority are funded by way of taxation and grant income or from the recipients of services provided by the Authority. Investing activities represent the extent to which cash outflows have been made for resources which are intended to contribute to the Authority’s future service delivery. Cash flows arising from financing activities are useful in predicting claims on future cash flows by providers of capital, for example borrowing, to the Authority.</w:t>
      </w:r>
    </w:p>
    <w:p w14:paraId="485A45B0" w14:textId="77777777" w:rsidR="00B020A7" w:rsidRPr="004D5CA8" w:rsidRDefault="00B020A7" w:rsidP="00F408E5">
      <w:pPr>
        <w:pStyle w:val="HEADING"/>
        <w:jc w:val="center"/>
        <w:rPr>
          <w:highlight w:val="yellow"/>
        </w:rPr>
      </w:pPr>
    </w:p>
    <w:p w14:paraId="485A45B1" w14:textId="77777777" w:rsidR="00B020A7" w:rsidRPr="004D5CA8" w:rsidRDefault="00B020A7" w:rsidP="00F408E5">
      <w:pPr>
        <w:pStyle w:val="HEADING"/>
        <w:jc w:val="center"/>
        <w:rPr>
          <w:highlight w:val="yellow"/>
        </w:rPr>
      </w:pPr>
    </w:p>
    <w:p w14:paraId="485A45B6" w14:textId="435CAA8E" w:rsidR="009367F6" w:rsidRPr="00397EBC" w:rsidRDefault="009367F6" w:rsidP="007B7B41">
      <w:pPr>
        <w:tabs>
          <w:tab w:val="left" w:pos="0"/>
        </w:tabs>
        <w:rPr>
          <w:b/>
          <w:sz w:val="28"/>
          <w:szCs w:val="28"/>
        </w:rPr>
      </w:pPr>
      <w:r w:rsidRPr="00397EBC">
        <w:rPr>
          <w:b/>
          <w:sz w:val="28"/>
          <w:szCs w:val="28"/>
        </w:rPr>
        <w:t>NOTES TO THE CORE FINANCIAL STATEMENTS</w:t>
      </w:r>
    </w:p>
    <w:p w14:paraId="485A45B7" w14:textId="77777777" w:rsidR="009367F6" w:rsidRPr="00397EBC" w:rsidRDefault="009367F6" w:rsidP="009367F6">
      <w:pPr>
        <w:tabs>
          <w:tab w:val="left" w:pos="0"/>
        </w:tabs>
        <w:rPr>
          <w:b/>
        </w:rPr>
      </w:pPr>
    </w:p>
    <w:p w14:paraId="485A45B8" w14:textId="77777777" w:rsidR="009367F6" w:rsidRPr="00397EBC" w:rsidRDefault="009367F6" w:rsidP="00317745">
      <w:pPr>
        <w:numPr>
          <w:ilvl w:val="0"/>
          <w:numId w:val="17"/>
        </w:numPr>
        <w:ind w:left="567" w:hanging="567"/>
        <w:rPr>
          <w:b/>
          <w:lang w:eastAsia="en-GB"/>
        </w:rPr>
      </w:pPr>
      <w:r w:rsidRPr="00397EBC">
        <w:rPr>
          <w:b/>
          <w:lang w:eastAsia="en-GB"/>
        </w:rPr>
        <w:t>Expenditure and Funding Analysis</w:t>
      </w:r>
    </w:p>
    <w:p w14:paraId="485A45B9" w14:textId="77777777" w:rsidR="009367F6" w:rsidRPr="004D5CA8" w:rsidRDefault="009367F6" w:rsidP="009367F6">
      <w:pPr>
        <w:rPr>
          <w:b/>
          <w:highlight w:val="yellow"/>
          <w:lang w:eastAsia="en-GB"/>
        </w:rPr>
      </w:pPr>
    </w:p>
    <w:p w14:paraId="485A45BA" w14:textId="4448EC9D" w:rsidR="009367F6" w:rsidRDefault="009367F6" w:rsidP="009367F6">
      <w:pPr>
        <w:rPr>
          <w:lang w:eastAsia="en-GB"/>
        </w:rPr>
      </w:pPr>
      <w:r w:rsidRPr="00397EBC">
        <w:rPr>
          <w:lang w:eastAsia="en-GB"/>
        </w:rPr>
        <w:t>The objective of the Expenditure and Funding Analysis is to demonstrate to council tax and rate payers how the funding available to the Authority (</w:t>
      </w:r>
      <w:r w:rsidR="00C0301F" w:rsidRPr="00397EBC">
        <w:rPr>
          <w:lang w:eastAsia="en-GB"/>
        </w:rPr>
        <w:t>i.e.</w:t>
      </w:r>
      <w:r w:rsidRPr="00397EBC">
        <w:rPr>
          <w:lang w:eastAsia="en-GB"/>
        </w:rPr>
        <w:t xml:space="preserve"> government grants, rents, council tax and business rates) for the year has been used in providing services in comparison with those resources consumed or earned by the Authority in accordance with generally accepted accounting practices. The Expenditure and Funding Analysis also shows how this expenditure is allocated for decision making purposes between the Authority’s services. Income and expenditure accounted for under generally accepted accounting practices is presented more fully in the Comprehensive Income and Expenditure Statement.</w:t>
      </w:r>
    </w:p>
    <w:p w14:paraId="1039AFDA" w14:textId="77777777" w:rsidR="00397EBC" w:rsidRDefault="00397EBC" w:rsidP="009367F6">
      <w:pPr>
        <w:rPr>
          <w:lang w:eastAsia="en-GB"/>
        </w:rPr>
      </w:pPr>
    </w:p>
    <w:p w14:paraId="69B01C27" w14:textId="5DC5D779" w:rsidR="007B7B41" w:rsidRPr="00397EBC" w:rsidRDefault="00397EBC" w:rsidP="009367F6">
      <w:pPr>
        <w:rPr>
          <w:lang w:eastAsia="en-GB"/>
        </w:rPr>
      </w:pPr>
      <w:r>
        <w:rPr>
          <w:lang w:eastAsia="en-GB"/>
        </w:rPr>
        <w:t xml:space="preserve">The outturn report for 2022/23 prepared for Resource Management will reflect the Net Expenditure </w:t>
      </w:r>
      <w:r w:rsidR="00321978">
        <w:rPr>
          <w:lang w:eastAsia="en-GB"/>
        </w:rPr>
        <w:t>Chargeable to the General Fund</w:t>
      </w:r>
      <w:r>
        <w:rPr>
          <w:lang w:eastAsia="en-GB"/>
        </w:rPr>
        <w:t xml:space="preserve"> without the need for Adjustments to arrive at the net amount charged to the General Fund.</w:t>
      </w:r>
    </w:p>
    <w:p w14:paraId="5BF8FB9D" w14:textId="77777777" w:rsidR="00737683" w:rsidRPr="00397EBC" w:rsidRDefault="00737683" w:rsidP="009367F6">
      <w:pPr>
        <w:rPr>
          <w:lang w:eastAsia="en-GB"/>
        </w:rPr>
      </w:pPr>
    </w:p>
    <w:p w14:paraId="78F2AA30" w14:textId="05361FDD" w:rsidR="00397EBC" w:rsidRPr="00397EBC" w:rsidRDefault="009473E3" w:rsidP="009367F6">
      <w:pPr>
        <w:rPr>
          <w:lang w:eastAsia="en-GB"/>
        </w:rPr>
      </w:pPr>
      <w:r w:rsidRPr="009473E3">
        <w:rPr>
          <w:noProof/>
        </w:rPr>
        <w:drawing>
          <wp:inline distT="0" distB="0" distL="0" distR="0" wp14:anchorId="52160DA8" wp14:editId="4F60A022">
            <wp:extent cx="6106795" cy="3815715"/>
            <wp:effectExtent l="0" t="0" r="8255" b="0"/>
            <wp:docPr id="1080043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06795" cy="3815715"/>
                    </a:xfrm>
                    <a:prstGeom prst="rect">
                      <a:avLst/>
                    </a:prstGeom>
                    <a:noFill/>
                    <a:ln>
                      <a:noFill/>
                    </a:ln>
                  </pic:spPr>
                </pic:pic>
              </a:graphicData>
            </a:graphic>
          </wp:inline>
        </w:drawing>
      </w:r>
    </w:p>
    <w:p w14:paraId="22C15421" w14:textId="77777777" w:rsidR="000E1426" w:rsidRDefault="000E1426" w:rsidP="009367F6">
      <w:pPr>
        <w:rPr>
          <w:lang w:eastAsia="en-GB"/>
        </w:rPr>
      </w:pPr>
    </w:p>
    <w:p w14:paraId="2D642C5B" w14:textId="77777777" w:rsidR="007B7B41" w:rsidRDefault="007B7B41" w:rsidP="009367F6">
      <w:pPr>
        <w:rPr>
          <w:lang w:eastAsia="en-GB"/>
        </w:rPr>
      </w:pPr>
    </w:p>
    <w:p w14:paraId="4A2D0145" w14:textId="77777777" w:rsidR="007B7B41" w:rsidRDefault="007B7B41" w:rsidP="009367F6">
      <w:pPr>
        <w:rPr>
          <w:lang w:eastAsia="en-GB"/>
        </w:rPr>
      </w:pPr>
    </w:p>
    <w:p w14:paraId="1C193493" w14:textId="77777777" w:rsidR="007B7B41" w:rsidRDefault="007B7B41" w:rsidP="009367F6">
      <w:pPr>
        <w:rPr>
          <w:lang w:eastAsia="en-GB"/>
        </w:rPr>
      </w:pPr>
    </w:p>
    <w:p w14:paraId="16032A80" w14:textId="77777777" w:rsidR="007B7B41" w:rsidRDefault="007B7B41" w:rsidP="009367F6">
      <w:pPr>
        <w:rPr>
          <w:lang w:eastAsia="en-GB"/>
        </w:rPr>
      </w:pPr>
    </w:p>
    <w:p w14:paraId="252105B4" w14:textId="77777777" w:rsidR="007B7B41" w:rsidRDefault="007B7B41" w:rsidP="009367F6">
      <w:pPr>
        <w:rPr>
          <w:lang w:eastAsia="en-GB"/>
        </w:rPr>
      </w:pPr>
    </w:p>
    <w:p w14:paraId="1F9235C1" w14:textId="77777777" w:rsidR="007B7B41" w:rsidRDefault="007B7B41" w:rsidP="009367F6">
      <w:pPr>
        <w:rPr>
          <w:lang w:eastAsia="en-GB"/>
        </w:rPr>
      </w:pPr>
    </w:p>
    <w:p w14:paraId="68FAA9CD" w14:textId="77777777" w:rsidR="003D6751" w:rsidRDefault="003D6751" w:rsidP="009367F6">
      <w:pPr>
        <w:rPr>
          <w:lang w:eastAsia="en-GB"/>
        </w:rPr>
      </w:pPr>
    </w:p>
    <w:p w14:paraId="04940515" w14:textId="77777777" w:rsidR="003D6751" w:rsidRDefault="003D6751" w:rsidP="009367F6">
      <w:pPr>
        <w:rPr>
          <w:lang w:eastAsia="en-GB"/>
        </w:rPr>
      </w:pPr>
    </w:p>
    <w:p w14:paraId="65A99734" w14:textId="77777777" w:rsidR="003D6751" w:rsidRDefault="003D6751" w:rsidP="009367F6">
      <w:pPr>
        <w:rPr>
          <w:lang w:eastAsia="en-GB"/>
        </w:rPr>
      </w:pPr>
    </w:p>
    <w:p w14:paraId="3249B31B" w14:textId="77777777" w:rsidR="003D6751" w:rsidRDefault="003D6751" w:rsidP="009367F6">
      <w:pPr>
        <w:rPr>
          <w:lang w:eastAsia="en-GB"/>
        </w:rPr>
      </w:pPr>
    </w:p>
    <w:p w14:paraId="62E6FE03" w14:textId="77777777" w:rsidR="003D6751" w:rsidRDefault="003D6751" w:rsidP="009367F6">
      <w:pPr>
        <w:rPr>
          <w:lang w:eastAsia="en-GB"/>
        </w:rPr>
      </w:pPr>
    </w:p>
    <w:p w14:paraId="1CF6B1B4" w14:textId="77777777" w:rsidR="003D6751" w:rsidRDefault="003D6751" w:rsidP="009367F6">
      <w:pPr>
        <w:rPr>
          <w:lang w:eastAsia="en-GB"/>
        </w:rPr>
      </w:pPr>
    </w:p>
    <w:p w14:paraId="6D024FF0" w14:textId="77777777" w:rsidR="007B7B41" w:rsidRDefault="007B7B41" w:rsidP="009367F6">
      <w:pPr>
        <w:rPr>
          <w:lang w:eastAsia="en-GB"/>
        </w:rPr>
      </w:pPr>
    </w:p>
    <w:p w14:paraId="7BC6DAAD" w14:textId="77777777" w:rsidR="007B7B41" w:rsidRDefault="007B7B41" w:rsidP="009367F6">
      <w:pPr>
        <w:rPr>
          <w:lang w:eastAsia="en-GB"/>
        </w:rPr>
      </w:pPr>
    </w:p>
    <w:p w14:paraId="512138BD" w14:textId="4470051C" w:rsidR="007B7B41" w:rsidRDefault="007B7B41" w:rsidP="009367F6">
      <w:pPr>
        <w:rPr>
          <w:lang w:eastAsia="en-GB"/>
        </w:rPr>
      </w:pPr>
      <w:r>
        <w:rPr>
          <w:lang w:eastAsia="en-GB"/>
        </w:rPr>
        <w:lastRenderedPageBreak/>
        <w:t>The comparative figures for the prior year are as follows:</w:t>
      </w:r>
    </w:p>
    <w:p w14:paraId="1906BD49" w14:textId="77777777" w:rsidR="007B7B41" w:rsidRPr="00397EBC" w:rsidRDefault="007B7B41" w:rsidP="009367F6">
      <w:pPr>
        <w:rPr>
          <w:lang w:eastAsia="en-GB"/>
        </w:rPr>
      </w:pPr>
    </w:p>
    <w:p w14:paraId="2A95E158" w14:textId="61107F46" w:rsidR="000E1426" w:rsidRPr="00397EBC" w:rsidRDefault="000E1426" w:rsidP="009367F6">
      <w:pPr>
        <w:rPr>
          <w:lang w:eastAsia="en-GB"/>
        </w:rPr>
      </w:pPr>
      <w:r w:rsidRPr="00397EBC">
        <w:rPr>
          <w:noProof/>
          <w:lang w:eastAsia="en-GB"/>
        </w:rPr>
        <w:drawing>
          <wp:inline distT="0" distB="0" distL="0" distR="0" wp14:anchorId="2A2CC291" wp14:editId="635136B0">
            <wp:extent cx="6376670" cy="4418845"/>
            <wp:effectExtent l="0" t="0" r="508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76670" cy="4418845"/>
                    </a:xfrm>
                    <a:prstGeom prst="rect">
                      <a:avLst/>
                    </a:prstGeom>
                    <a:noFill/>
                    <a:ln>
                      <a:noFill/>
                    </a:ln>
                  </pic:spPr>
                </pic:pic>
              </a:graphicData>
            </a:graphic>
          </wp:inline>
        </w:drawing>
      </w:r>
    </w:p>
    <w:p w14:paraId="485A45BB" w14:textId="77777777" w:rsidR="00277278" w:rsidRDefault="00277278" w:rsidP="009367F6">
      <w:pPr>
        <w:rPr>
          <w:lang w:eastAsia="en-GB"/>
        </w:rPr>
      </w:pPr>
    </w:p>
    <w:p w14:paraId="2A286438" w14:textId="77777777" w:rsidR="007B7B41" w:rsidRPr="00397EBC" w:rsidRDefault="007B7B41" w:rsidP="009367F6">
      <w:pPr>
        <w:rPr>
          <w:lang w:eastAsia="en-GB"/>
        </w:rPr>
      </w:pPr>
    </w:p>
    <w:p w14:paraId="485A45CC" w14:textId="77777777" w:rsidR="005C0905" w:rsidRPr="00384EBB" w:rsidRDefault="005C0905" w:rsidP="00317745">
      <w:pPr>
        <w:numPr>
          <w:ilvl w:val="0"/>
          <w:numId w:val="17"/>
        </w:numPr>
        <w:ind w:left="567" w:hanging="567"/>
        <w:rPr>
          <w:b/>
        </w:rPr>
      </w:pPr>
      <w:r w:rsidRPr="00384EBB">
        <w:rPr>
          <w:b/>
        </w:rPr>
        <w:t>Accounting Concepts</w:t>
      </w:r>
    </w:p>
    <w:p w14:paraId="485A45CD" w14:textId="77777777" w:rsidR="00C55970" w:rsidRPr="00384EBB" w:rsidRDefault="00C55970" w:rsidP="006D2EED">
      <w:pPr>
        <w:rPr>
          <w:b/>
        </w:rPr>
      </w:pPr>
    </w:p>
    <w:p w14:paraId="485A45CE" w14:textId="77777777" w:rsidR="005C0905" w:rsidRPr="00384EBB" w:rsidRDefault="005C0905" w:rsidP="003C092B">
      <w:pPr>
        <w:ind w:left="567"/>
        <w:rPr>
          <w:bCs/>
        </w:rPr>
      </w:pPr>
      <w:r w:rsidRPr="00384EBB">
        <w:rPr>
          <w:bCs/>
        </w:rPr>
        <w:t xml:space="preserve">In all cases, due consideration has been given to the relevance, reliability, comparability and </w:t>
      </w:r>
      <w:r w:rsidR="004D6A42" w:rsidRPr="00384EBB">
        <w:rPr>
          <w:bCs/>
        </w:rPr>
        <w:t>understandability</w:t>
      </w:r>
      <w:r w:rsidRPr="00384EBB">
        <w:rPr>
          <w:bCs/>
        </w:rPr>
        <w:t xml:space="preserve"> of financial information.</w:t>
      </w:r>
      <w:r w:rsidR="00D95903" w:rsidRPr="00384EBB">
        <w:rPr>
          <w:bCs/>
        </w:rPr>
        <w:t xml:space="preserve"> </w:t>
      </w:r>
      <w:r w:rsidRPr="00384EBB">
        <w:rPr>
          <w:bCs/>
        </w:rPr>
        <w:t>The materiality of particular items and issues has also been considered.</w:t>
      </w:r>
    </w:p>
    <w:p w14:paraId="485A45CF" w14:textId="77777777" w:rsidR="005C0905" w:rsidRPr="00384EBB" w:rsidRDefault="005C0905" w:rsidP="003C092B">
      <w:pPr>
        <w:ind w:left="567"/>
      </w:pPr>
    </w:p>
    <w:p w14:paraId="485A45D0" w14:textId="4D36E38A" w:rsidR="005C0905" w:rsidRDefault="005C0905" w:rsidP="003C092B">
      <w:pPr>
        <w:ind w:left="567"/>
      </w:pPr>
      <w:r w:rsidRPr="00384EBB">
        <w:t>The following accounting concepts have been used</w:t>
      </w:r>
      <w:r w:rsidR="00384EBB">
        <w:t>:</w:t>
      </w:r>
    </w:p>
    <w:p w14:paraId="727E2F1C" w14:textId="77777777" w:rsidR="00384EBB" w:rsidRPr="00384EBB" w:rsidRDefault="00384EBB" w:rsidP="00384EBB"/>
    <w:p w14:paraId="69F092A6" w14:textId="77777777" w:rsidR="00384EBB" w:rsidRDefault="005C0905" w:rsidP="00384EBB">
      <w:pPr>
        <w:numPr>
          <w:ilvl w:val="0"/>
          <w:numId w:val="14"/>
        </w:numPr>
        <w:ind w:left="1418" w:hanging="851"/>
      </w:pPr>
      <w:r w:rsidRPr="00384EBB">
        <w:t>Accruals - this means that income and expenditure are recognised as they are earned and incurred</w:t>
      </w:r>
      <w:r w:rsidR="009A628D" w:rsidRPr="00384EBB">
        <w:t>,</w:t>
      </w:r>
      <w:r w:rsidRPr="00384EBB">
        <w:t xml:space="preserve"> not as money is received or paid</w:t>
      </w:r>
    </w:p>
    <w:p w14:paraId="485A45D2" w14:textId="27EA7E00" w:rsidR="005C0905" w:rsidRPr="00384EBB" w:rsidRDefault="005C0905" w:rsidP="00384EBB">
      <w:pPr>
        <w:numPr>
          <w:ilvl w:val="0"/>
          <w:numId w:val="14"/>
        </w:numPr>
        <w:ind w:left="1418" w:hanging="851"/>
      </w:pPr>
      <w:r w:rsidRPr="00384EBB">
        <w:t xml:space="preserve">Going concern – this assumes that the Authority will continue to operate in the </w:t>
      </w:r>
      <w:r w:rsidR="00384EBB">
        <w:t xml:space="preserve">   </w:t>
      </w:r>
      <w:r w:rsidRPr="00384EBB">
        <w:t>future</w:t>
      </w:r>
    </w:p>
    <w:p w14:paraId="485A45D3" w14:textId="77777777" w:rsidR="005C0905" w:rsidRPr="00384EBB" w:rsidRDefault="005C0905" w:rsidP="00317745">
      <w:pPr>
        <w:numPr>
          <w:ilvl w:val="0"/>
          <w:numId w:val="14"/>
        </w:numPr>
        <w:ind w:left="1418" w:hanging="851"/>
        <w:rPr>
          <w:b/>
        </w:rPr>
      </w:pPr>
      <w:r w:rsidRPr="00384EBB">
        <w:t>Primacy of legislative requirements – this means that where specific legislative requirements and accounting principles conflict, the legislative arrangements shall be used.</w:t>
      </w:r>
    </w:p>
    <w:p w14:paraId="485A45D4" w14:textId="77777777" w:rsidR="005C0905" w:rsidRPr="00384EBB" w:rsidRDefault="005C0905" w:rsidP="003C092B">
      <w:pPr>
        <w:ind w:left="567"/>
        <w:rPr>
          <w:b/>
        </w:rPr>
      </w:pPr>
    </w:p>
    <w:p w14:paraId="485A45D5" w14:textId="77777777" w:rsidR="00C55970" w:rsidRPr="00384EBB" w:rsidRDefault="005C0905" w:rsidP="003C092B">
      <w:pPr>
        <w:ind w:left="567"/>
      </w:pPr>
      <w:r w:rsidRPr="00384EBB">
        <w:t>These concepts have been used in the selection of the accounting policies, estimation techniques and professional judgements employed.</w:t>
      </w:r>
    </w:p>
    <w:p w14:paraId="485A45D6" w14:textId="77777777" w:rsidR="00C55970" w:rsidRPr="00384EBB" w:rsidRDefault="00C55970" w:rsidP="003C092B">
      <w:pPr>
        <w:ind w:left="567"/>
      </w:pPr>
    </w:p>
    <w:p w14:paraId="485A45D7" w14:textId="4309ED51" w:rsidR="00420AE5" w:rsidRPr="00384EBB" w:rsidRDefault="00C55970" w:rsidP="00040C1A">
      <w:pPr>
        <w:ind w:left="567"/>
        <w:rPr>
          <w:rFonts w:cs="Arial"/>
          <w:b/>
        </w:rPr>
      </w:pPr>
      <w:r w:rsidRPr="00384EBB">
        <w:t>This approach aims to provide information about the Authority’s financial position, performance and cash flows in a way that meets the common needs of most users and shows the stewardship and accountabili</w:t>
      </w:r>
      <w:r w:rsidR="009A628D" w:rsidRPr="00384EBB">
        <w:t>ty of m</w:t>
      </w:r>
      <w:r w:rsidRPr="00384EBB">
        <w:t>embers and management for the resources entrusted to them.</w:t>
      </w:r>
      <w:r w:rsidR="005A703E" w:rsidRPr="00384EBB">
        <w:rPr>
          <w:rFonts w:cs="Arial"/>
          <w:b/>
        </w:rPr>
        <w:t xml:space="preserve"> </w:t>
      </w:r>
    </w:p>
    <w:p w14:paraId="3FDAE639" w14:textId="4BBEE343" w:rsidR="00D34FFC" w:rsidRPr="004D5CA8" w:rsidRDefault="00D34FFC" w:rsidP="00040C1A">
      <w:pPr>
        <w:ind w:left="567"/>
        <w:rPr>
          <w:rFonts w:cs="Arial"/>
          <w:b/>
          <w:highlight w:val="yellow"/>
        </w:rPr>
      </w:pPr>
    </w:p>
    <w:p w14:paraId="752150E9" w14:textId="77777777" w:rsidR="00D34FFC" w:rsidRDefault="00D34FFC" w:rsidP="00040C1A">
      <w:pPr>
        <w:ind w:left="567"/>
        <w:rPr>
          <w:rFonts w:cs="Arial"/>
          <w:b/>
          <w:highlight w:val="yellow"/>
        </w:rPr>
      </w:pPr>
    </w:p>
    <w:p w14:paraId="485A45D8" w14:textId="77777777" w:rsidR="00420AE5" w:rsidRPr="004D5CA8" w:rsidRDefault="00420AE5" w:rsidP="00040C1A">
      <w:pPr>
        <w:ind w:left="567"/>
        <w:rPr>
          <w:rFonts w:cs="Arial"/>
          <w:b/>
          <w:highlight w:val="yellow"/>
        </w:rPr>
      </w:pPr>
    </w:p>
    <w:p w14:paraId="485A45D9" w14:textId="77777777" w:rsidR="00E00863" w:rsidRPr="00384EBB" w:rsidRDefault="00972FC7">
      <w:pPr>
        <w:ind w:left="567" w:hanging="567"/>
        <w:rPr>
          <w:rFonts w:cs="Arial"/>
          <w:b/>
          <w:sz w:val="28"/>
        </w:rPr>
      </w:pPr>
      <w:r w:rsidRPr="00384EBB">
        <w:rPr>
          <w:rFonts w:cs="Arial"/>
          <w:b/>
        </w:rPr>
        <w:t>3</w:t>
      </w:r>
      <w:r w:rsidR="00E00863" w:rsidRPr="00384EBB">
        <w:rPr>
          <w:rFonts w:cs="Arial"/>
          <w:b/>
        </w:rPr>
        <w:t>.</w:t>
      </w:r>
      <w:r w:rsidR="00E00863" w:rsidRPr="00384EBB">
        <w:rPr>
          <w:rFonts w:cs="Arial"/>
          <w:b/>
          <w:sz w:val="28"/>
        </w:rPr>
        <w:tab/>
      </w:r>
      <w:r w:rsidR="00E00863" w:rsidRPr="00384EBB">
        <w:rPr>
          <w:b/>
        </w:rPr>
        <w:t>Accounting Standards that have been issued but have not yet been adopted</w:t>
      </w:r>
    </w:p>
    <w:p w14:paraId="485A45DA" w14:textId="77777777" w:rsidR="001664F4" w:rsidRPr="00384EBB" w:rsidRDefault="005A703E" w:rsidP="006D2EED">
      <w:pPr>
        <w:rPr>
          <w:rFonts w:cs="Arial"/>
          <w:b/>
          <w:sz w:val="28"/>
        </w:rPr>
      </w:pPr>
      <w:r w:rsidRPr="00384EBB">
        <w:rPr>
          <w:rFonts w:cs="Arial"/>
          <w:b/>
          <w:sz w:val="28"/>
        </w:rPr>
        <w:tab/>
      </w:r>
    </w:p>
    <w:p w14:paraId="27024BBC" w14:textId="4AB737CB" w:rsidR="00805B3D" w:rsidRDefault="00A149C7" w:rsidP="00805B3D">
      <w:pPr>
        <w:ind w:left="567"/>
        <w:rPr>
          <w:rFonts w:cs="Arial"/>
        </w:rPr>
      </w:pPr>
      <w:r w:rsidRPr="00384EBB">
        <w:rPr>
          <w:rFonts w:cs="Arial"/>
        </w:rPr>
        <w:t>The</w:t>
      </w:r>
      <w:r w:rsidR="00805B3D">
        <w:rPr>
          <w:rFonts w:cs="Arial"/>
        </w:rPr>
        <w:t>re are a number of standards that have been issued but have not been adopted by the 2022/23 Code. The following items have been adopted within the 2023/24 Code:</w:t>
      </w:r>
    </w:p>
    <w:p w14:paraId="0F5FA3C4" w14:textId="77777777" w:rsidR="00805B3D" w:rsidRDefault="00805B3D" w:rsidP="00805B3D">
      <w:pPr>
        <w:ind w:left="567"/>
        <w:rPr>
          <w:rFonts w:cs="Arial"/>
        </w:rPr>
      </w:pPr>
    </w:p>
    <w:p w14:paraId="31ED09DF" w14:textId="657FDC79" w:rsidR="00805B3D" w:rsidRPr="007B7B41" w:rsidRDefault="00805B3D" w:rsidP="00805B3D">
      <w:pPr>
        <w:pStyle w:val="ListParagraph"/>
        <w:numPr>
          <w:ilvl w:val="0"/>
          <w:numId w:val="50"/>
        </w:numPr>
        <w:rPr>
          <w:sz w:val="23"/>
          <w:szCs w:val="23"/>
          <w:u w:val="none"/>
        </w:rPr>
      </w:pPr>
      <w:r w:rsidRPr="007B7B41">
        <w:rPr>
          <w:sz w:val="23"/>
          <w:szCs w:val="23"/>
          <w:u w:val="none"/>
        </w:rPr>
        <w:t>IFRS 16 Leases,</w:t>
      </w:r>
      <w:r w:rsidR="00B05803" w:rsidRPr="007B7B41">
        <w:rPr>
          <w:sz w:val="23"/>
          <w:szCs w:val="23"/>
          <w:u w:val="none"/>
        </w:rPr>
        <w:t xml:space="preserve"> this only applies</w:t>
      </w:r>
      <w:r w:rsidRPr="007B7B41">
        <w:rPr>
          <w:sz w:val="23"/>
          <w:szCs w:val="23"/>
          <w:u w:val="none"/>
        </w:rPr>
        <w:t xml:space="preserve"> for those local authorities that have decided to voluntarily implement IFRS 16 in the 2023/24 year. LDNPA has not chosen to early adopt so this is not applicable</w:t>
      </w:r>
      <w:r w:rsidR="00B05803" w:rsidRPr="007B7B41">
        <w:rPr>
          <w:sz w:val="23"/>
          <w:szCs w:val="23"/>
          <w:u w:val="none"/>
        </w:rPr>
        <w:t xml:space="preserve"> albeit it will have a wide ranging impact on the authority’s accounting for leases and the associated capital and revenue entries</w:t>
      </w:r>
      <w:r w:rsidRPr="007B7B41">
        <w:rPr>
          <w:sz w:val="23"/>
          <w:szCs w:val="23"/>
          <w:u w:val="none"/>
        </w:rPr>
        <w:t>.</w:t>
      </w:r>
    </w:p>
    <w:p w14:paraId="623C0FBC" w14:textId="14B8833C" w:rsidR="00805B3D" w:rsidRPr="007B7B41" w:rsidRDefault="00805B3D" w:rsidP="00805B3D">
      <w:pPr>
        <w:pStyle w:val="ListParagraph"/>
        <w:numPr>
          <w:ilvl w:val="0"/>
          <w:numId w:val="50"/>
        </w:numPr>
        <w:rPr>
          <w:sz w:val="23"/>
          <w:szCs w:val="23"/>
          <w:u w:val="none"/>
        </w:rPr>
      </w:pPr>
      <w:r w:rsidRPr="007B7B41">
        <w:rPr>
          <w:sz w:val="23"/>
          <w:szCs w:val="23"/>
          <w:u w:val="none"/>
        </w:rPr>
        <w:t xml:space="preserve">Definition of Accounting Estimates (Amendments to IAS 8) issued in February 2021 and Disclosure of Accounting Policies (Amendments to IAS 1 and IFRS Practice Statement 2) also issued in February 2021 are unlikely to have a material impact on the amounts reported in the financial statements. </w:t>
      </w:r>
    </w:p>
    <w:p w14:paraId="01F8C4E5" w14:textId="02BDCA2E" w:rsidR="00805B3D" w:rsidRPr="007B7B41" w:rsidRDefault="00805B3D" w:rsidP="00805B3D">
      <w:pPr>
        <w:pStyle w:val="ListParagraph"/>
        <w:numPr>
          <w:ilvl w:val="0"/>
          <w:numId w:val="50"/>
        </w:numPr>
        <w:rPr>
          <w:sz w:val="23"/>
          <w:szCs w:val="23"/>
          <w:u w:val="none"/>
        </w:rPr>
      </w:pPr>
      <w:r w:rsidRPr="007B7B41">
        <w:rPr>
          <w:sz w:val="23"/>
          <w:szCs w:val="23"/>
          <w:u w:val="none"/>
        </w:rPr>
        <w:t>Deferred Tax related to Assets and Liabilities arising from a Single Transaction (Amendments to IAS 12) issued in May 2021 is unlikely to have an impact on the authority</w:t>
      </w:r>
    </w:p>
    <w:p w14:paraId="6911F030" w14:textId="565D83D3" w:rsidR="00805B3D" w:rsidRPr="007B7B41" w:rsidRDefault="00805B3D" w:rsidP="00805B3D">
      <w:pPr>
        <w:pStyle w:val="ListParagraph"/>
        <w:numPr>
          <w:ilvl w:val="0"/>
          <w:numId w:val="50"/>
        </w:numPr>
        <w:rPr>
          <w:sz w:val="23"/>
          <w:szCs w:val="23"/>
          <w:u w:val="none"/>
        </w:rPr>
      </w:pPr>
      <w:r w:rsidRPr="007B7B41">
        <w:rPr>
          <w:sz w:val="23"/>
          <w:szCs w:val="23"/>
          <w:u w:val="none"/>
        </w:rPr>
        <w:t xml:space="preserve">Updating a Reference to the Conceptual Framework (Amendments to IFRS 3) issued in May 2020 has limited applicability. </w:t>
      </w:r>
    </w:p>
    <w:p w14:paraId="3A1B6F63" w14:textId="77777777" w:rsidR="00805B3D" w:rsidRDefault="00805B3D" w:rsidP="00805B3D">
      <w:pPr>
        <w:ind w:left="567"/>
      </w:pPr>
    </w:p>
    <w:p w14:paraId="485A45EB" w14:textId="77777777" w:rsidR="00276F53" w:rsidRPr="004D5CA8" w:rsidRDefault="00276F53" w:rsidP="00261CF6">
      <w:pPr>
        <w:tabs>
          <w:tab w:val="left" w:pos="567"/>
        </w:tabs>
        <w:rPr>
          <w:highlight w:val="yellow"/>
        </w:rPr>
      </w:pPr>
    </w:p>
    <w:p w14:paraId="485A45EC" w14:textId="77777777" w:rsidR="00E00863" w:rsidRPr="00556541" w:rsidRDefault="00E81B4A" w:rsidP="00261CF6">
      <w:pPr>
        <w:tabs>
          <w:tab w:val="left" w:pos="567"/>
        </w:tabs>
        <w:rPr>
          <w:b/>
        </w:rPr>
      </w:pPr>
      <w:r w:rsidRPr="00556541">
        <w:t xml:space="preserve"> </w:t>
      </w:r>
      <w:r w:rsidR="00972FC7" w:rsidRPr="00556541">
        <w:rPr>
          <w:rFonts w:cs="Arial"/>
          <w:b/>
        </w:rPr>
        <w:t>4</w:t>
      </w:r>
      <w:r w:rsidR="00E00863" w:rsidRPr="00556541">
        <w:rPr>
          <w:rFonts w:cs="Arial"/>
          <w:b/>
        </w:rPr>
        <w:t>.</w:t>
      </w:r>
      <w:r w:rsidR="00E00863" w:rsidRPr="00556541">
        <w:rPr>
          <w:rFonts w:cs="Arial"/>
          <w:b/>
        </w:rPr>
        <w:tab/>
      </w:r>
      <w:r w:rsidR="00E00863" w:rsidRPr="00556541">
        <w:rPr>
          <w:b/>
        </w:rPr>
        <w:t>Critical Judgements in Applying Accounting Policies</w:t>
      </w:r>
    </w:p>
    <w:p w14:paraId="485A45ED" w14:textId="77777777" w:rsidR="00E00863" w:rsidRPr="00556541" w:rsidRDefault="00E00863" w:rsidP="006D2EED">
      <w:pPr>
        <w:rPr>
          <w:rFonts w:cs="Arial"/>
          <w:b/>
        </w:rPr>
      </w:pPr>
    </w:p>
    <w:p w14:paraId="485A45EE" w14:textId="77777777" w:rsidR="00E00863" w:rsidRPr="00556541" w:rsidRDefault="00E00863" w:rsidP="00261CF6">
      <w:pPr>
        <w:ind w:left="567"/>
        <w:rPr>
          <w:rFonts w:cs="Arial"/>
        </w:rPr>
      </w:pPr>
      <w:r w:rsidRPr="00556541">
        <w:rPr>
          <w:rFonts w:cs="Arial"/>
        </w:rPr>
        <w:t>In applying the accounting policies set out above, the Authority has had to make certain judgements about complex transactions or those involving uncertainty about future events. The critical judgements made in the Statement of Accounts are:</w:t>
      </w:r>
    </w:p>
    <w:p w14:paraId="485A45EF" w14:textId="77777777" w:rsidR="002343D6" w:rsidRPr="00556541" w:rsidRDefault="002343D6" w:rsidP="006D2EED">
      <w:pPr>
        <w:ind w:left="720"/>
        <w:rPr>
          <w:rFonts w:cs="Arial"/>
        </w:rPr>
      </w:pPr>
    </w:p>
    <w:p w14:paraId="485A45F0" w14:textId="59C07709" w:rsidR="002343D6" w:rsidRPr="00556541" w:rsidRDefault="00B05803" w:rsidP="00317745">
      <w:pPr>
        <w:numPr>
          <w:ilvl w:val="0"/>
          <w:numId w:val="8"/>
        </w:numPr>
        <w:rPr>
          <w:rFonts w:cs="Arial"/>
        </w:rPr>
      </w:pPr>
      <w:r w:rsidRPr="00556541">
        <w:rPr>
          <w:rFonts w:cs="Arial"/>
        </w:rPr>
        <w:t>the macro</w:t>
      </w:r>
      <w:r w:rsidR="00556541" w:rsidRPr="00556541">
        <w:rPr>
          <w:rFonts w:cs="Arial"/>
        </w:rPr>
        <w:t>-</w:t>
      </w:r>
      <w:r w:rsidRPr="00556541">
        <w:rPr>
          <w:rFonts w:cs="Arial"/>
        </w:rPr>
        <w:t>economic climate has been volatile since the COVID-19 pandemic; the recent cost rises have put pressure on the Authority but the going concern assumption has been used in the application of accounting policies</w:t>
      </w:r>
      <w:r w:rsidR="007B7B41">
        <w:rPr>
          <w:rFonts w:cs="Arial"/>
        </w:rPr>
        <w:t>. This is consistent with the balanced Medium Term Financial Strategy that was approved by Authority in March 2023.</w:t>
      </w:r>
      <w:r w:rsidR="006C1E2C" w:rsidRPr="00556541">
        <w:rPr>
          <w:rFonts w:cs="Arial"/>
        </w:rPr>
        <w:t xml:space="preserve"> </w:t>
      </w:r>
    </w:p>
    <w:p w14:paraId="485A45F1" w14:textId="77777777" w:rsidR="00781E78" w:rsidRPr="00556541" w:rsidRDefault="00781E78" w:rsidP="00040C1A">
      <w:pPr>
        <w:ind w:left="1440"/>
        <w:rPr>
          <w:rFonts w:cs="Arial"/>
        </w:rPr>
      </w:pPr>
    </w:p>
    <w:p w14:paraId="485A45F2" w14:textId="77777777" w:rsidR="008D6567" w:rsidRPr="00556541" w:rsidRDefault="008D6567" w:rsidP="00317745">
      <w:pPr>
        <w:numPr>
          <w:ilvl w:val="0"/>
          <w:numId w:val="8"/>
        </w:numPr>
      </w:pPr>
      <w:r w:rsidRPr="00556541">
        <w:t>The Authority owns several properties that are not specifically used to provide services. These properties have been treated as investment properties. It also owns several pieces of woodland that don’t fulfil an operational role and are instead held for capital appreciation or rental income earning purposes. These have also been tr</w:t>
      </w:r>
      <w:r w:rsidR="00BD64CF" w:rsidRPr="00556541">
        <w:t>eated as investment properties in accordance with the Code as interpreted in the context of a National Park Authority.</w:t>
      </w:r>
    </w:p>
    <w:p w14:paraId="485A45F3" w14:textId="77777777" w:rsidR="00276F53" w:rsidRPr="004D5CA8" w:rsidRDefault="00276F53" w:rsidP="00040C1A">
      <w:pPr>
        <w:pStyle w:val="ListParagraph"/>
        <w:rPr>
          <w:highlight w:val="yellow"/>
        </w:rPr>
      </w:pPr>
    </w:p>
    <w:p w14:paraId="485A45F4" w14:textId="77777777" w:rsidR="00E00863" w:rsidRPr="004D5CA8" w:rsidRDefault="00E00863" w:rsidP="006D2EED">
      <w:pPr>
        <w:rPr>
          <w:rFonts w:cs="Arial"/>
          <w:highlight w:val="yellow"/>
        </w:rPr>
      </w:pPr>
    </w:p>
    <w:p w14:paraId="485A45F5" w14:textId="77777777" w:rsidR="00E00863" w:rsidRPr="00556541" w:rsidRDefault="00E00863" w:rsidP="00317745">
      <w:pPr>
        <w:pStyle w:val="Subtitle"/>
        <w:numPr>
          <w:ilvl w:val="0"/>
          <w:numId w:val="13"/>
        </w:numPr>
        <w:tabs>
          <w:tab w:val="left" w:pos="-709"/>
          <w:tab w:val="left" w:pos="-284"/>
          <w:tab w:val="left" w:pos="-142"/>
          <w:tab w:val="left" w:pos="0"/>
        </w:tabs>
        <w:spacing w:line="240" w:lineRule="atLeast"/>
        <w:ind w:left="567" w:right="680" w:hanging="567"/>
        <w:rPr>
          <w:rFonts w:ascii="Arial" w:eastAsia="Times New Roman" w:hAnsi="Arial"/>
          <w:b/>
          <w:i w:val="0"/>
          <w:iCs w:val="0"/>
          <w:spacing w:val="0"/>
          <w:sz w:val="23"/>
          <w:szCs w:val="23"/>
          <w:u w:val="none"/>
          <w:lang w:eastAsia="en-US"/>
        </w:rPr>
      </w:pPr>
      <w:bookmarkStart w:id="5" w:name="_Hlk119919951"/>
      <w:r w:rsidRPr="00556541">
        <w:rPr>
          <w:rFonts w:ascii="Arial" w:eastAsia="Times New Roman" w:hAnsi="Arial"/>
          <w:b/>
          <w:i w:val="0"/>
          <w:iCs w:val="0"/>
          <w:spacing w:val="0"/>
          <w:sz w:val="23"/>
          <w:szCs w:val="23"/>
          <w:u w:val="none"/>
          <w:lang w:eastAsia="en-US"/>
        </w:rPr>
        <w:t>Assumptions made about the Future and Other Major Sources of Estimation Uncertainty</w:t>
      </w:r>
    </w:p>
    <w:bookmarkEnd w:id="5"/>
    <w:p w14:paraId="485A45F6" w14:textId="77777777" w:rsidR="00D637C3" w:rsidRPr="00556541" w:rsidRDefault="00D637C3" w:rsidP="006D2EED">
      <w:pPr>
        <w:rPr>
          <w:rFonts w:cs="Arial"/>
          <w:b/>
        </w:rPr>
      </w:pPr>
    </w:p>
    <w:p w14:paraId="485A45F7" w14:textId="77777777" w:rsidR="00D637C3" w:rsidRPr="00556541" w:rsidRDefault="00D637C3" w:rsidP="00261CF6">
      <w:pPr>
        <w:ind w:left="567"/>
        <w:rPr>
          <w:rFonts w:cs="Arial"/>
        </w:rPr>
      </w:pPr>
      <w:r w:rsidRPr="00556541">
        <w:rPr>
          <w:rFonts w:cs="Arial"/>
        </w:rPr>
        <w:t>The Statement of Accounts contains estimated figures that are based on assumptions made by the Authority about the future or that are otherwise uncertain. Estimates are made taking into account historical experience, current</w:t>
      </w:r>
      <w:r w:rsidRPr="00556541">
        <w:rPr>
          <w:rFonts w:cs="Arial"/>
          <w:b/>
        </w:rPr>
        <w:t xml:space="preserve"> </w:t>
      </w:r>
      <w:r w:rsidRPr="00556541">
        <w:rPr>
          <w:rFonts w:cs="Arial"/>
        </w:rPr>
        <w:t>trends and other relevant factors. However, because balances cannot be determined with certainty, actual results could be materially different from assumptions and estimates. The item</w:t>
      </w:r>
      <w:r w:rsidR="000D7B25" w:rsidRPr="00556541">
        <w:rPr>
          <w:rFonts w:cs="Arial"/>
        </w:rPr>
        <w:t>s</w:t>
      </w:r>
      <w:r w:rsidRPr="00556541">
        <w:rPr>
          <w:rFonts w:cs="Arial"/>
        </w:rPr>
        <w:t xml:space="preserve"> for which there is a significant risk of material adjustment in the forthcoming financial year </w:t>
      </w:r>
      <w:r w:rsidR="000D7B25" w:rsidRPr="00556541">
        <w:rPr>
          <w:rFonts w:cs="Arial"/>
        </w:rPr>
        <w:t>are</w:t>
      </w:r>
      <w:r w:rsidRPr="00556541">
        <w:rPr>
          <w:rFonts w:cs="Arial"/>
        </w:rPr>
        <w:t xml:space="preserve"> as follows:</w:t>
      </w:r>
    </w:p>
    <w:p w14:paraId="485A45F8" w14:textId="77777777" w:rsidR="00AA761E" w:rsidRPr="004D5CA8" w:rsidRDefault="00AA761E" w:rsidP="006D2EED">
      <w:pPr>
        <w:ind w:left="720"/>
        <w:rPr>
          <w:rFonts w:cs="Arial"/>
          <w:highlight w:val="yellow"/>
        </w:rPr>
      </w:pPr>
    </w:p>
    <w:p w14:paraId="485A45F9" w14:textId="2FBA93B5" w:rsidR="0000079C" w:rsidRPr="00256E43" w:rsidRDefault="00D637C3" w:rsidP="00317745">
      <w:pPr>
        <w:numPr>
          <w:ilvl w:val="1"/>
          <w:numId w:val="9"/>
        </w:numPr>
        <w:rPr>
          <w:rFonts w:cs="Arial"/>
        </w:rPr>
      </w:pPr>
      <w:r w:rsidRPr="00256E43">
        <w:rPr>
          <w:rFonts w:cs="Arial"/>
        </w:rPr>
        <w:t xml:space="preserve">Pensions Liability – Estimation of the net liability to pay pensions depends on a number of complex judgements relating to the discount rate used, the rate at which salaries are projected to increase, changes in retirement ages, mortality rates and expected returns on pension fund assets. A firm of actuaries is </w:t>
      </w:r>
      <w:r w:rsidRPr="00256E43">
        <w:rPr>
          <w:rFonts w:cs="Arial"/>
        </w:rPr>
        <w:lastRenderedPageBreak/>
        <w:t>engaged to provide expert advice on the assumptions applied.</w:t>
      </w:r>
      <w:r w:rsidR="00DC6FE7" w:rsidRPr="00256E43">
        <w:rPr>
          <w:rFonts w:cs="Arial"/>
        </w:rPr>
        <w:t xml:space="preserve"> The effects on the net pensions liability of changes in individual assumptions can be measured. For instance, a 0.1% increase in the discount rate assumption would result in a decrease in the pension liability of £</w:t>
      </w:r>
      <w:r w:rsidR="00256E43" w:rsidRPr="00256E43">
        <w:rPr>
          <w:rFonts w:cs="Arial"/>
        </w:rPr>
        <w:t>935k</w:t>
      </w:r>
      <w:r w:rsidR="00DC6FE7" w:rsidRPr="00256E43">
        <w:rPr>
          <w:rFonts w:cs="Arial"/>
        </w:rPr>
        <w:t>.</w:t>
      </w:r>
      <w:r w:rsidR="00DA5F0B" w:rsidRPr="00256E43">
        <w:rPr>
          <w:rFonts w:cs="Arial"/>
        </w:rPr>
        <w:t xml:space="preserve"> </w:t>
      </w:r>
      <w:r w:rsidR="001377F8">
        <w:rPr>
          <w:rFonts w:cs="Arial"/>
        </w:rPr>
        <w:t>During 2022/23 the Authority saw a significant movement in the value of the defined benefit pension liability, where this is now disclosed as an asset valued at £4.8m. These values can be volatile from year to year, although this is a particularly marked movement. Although the figures are large, with a significant credit to the Comprehensive Income and Expenditure statement, statutory accounting adjustments mean this has no impact on the Authority’s usable reserves.</w:t>
      </w:r>
    </w:p>
    <w:p w14:paraId="485A45FA" w14:textId="77777777" w:rsidR="00DA5F0B" w:rsidRPr="004D5CA8" w:rsidRDefault="00DA5F0B" w:rsidP="00DA5F0B">
      <w:pPr>
        <w:ind w:left="1440"/>
        <w:rPr>
          <w:rFonts w:cs="Arial"/>
          <w:highlight w:val="yellow"/>
        </w:rPr>
      </w:pPr>
    </w:p>
    <w:p w14:paraId="485A45FB" w14:textId="77777777" w:rsidR="00B37882" w:rsidRDefault="00E26CB7" w:rsidP="00317745">
      <w:pPr>
        <w:numPr>
          <w:ilvl w:val="1"/>
          <w:numId w:val="9"/>
        </w:numPr>
        <w:rPr>
          <w:rFonts w:cs="Arial"/>
        </w:rPr>
      </w:pPr>
      <w:r w:rsidRPr="00556541">
        <w:rPr>
          <w:rFonts w:cs="Arial"/>
        </w:rPr>
        <w:t xml:space="preserve">Fair value measurements – Our investment properties and surplus assets are valued at fair value. The </w:t>
      </w:r>
      <w:r w:rsidR="009F34E8" w:rsidRPr="00556541">
        <w:rPr>
          <w:rFonts w:cs="Arial"/>
        </w:rPr>
        <w:t xml:space="preserve">market </w:t>
      </w:r>
      <w:r w:rsidRPr="00556541">
        <w:rPr>
          <w:rFonts w:cs="Arial"/>
        </w:rPr>
        <w:t xml:space="preserve">valuation technique </w:t>
      </w:r>
      <w:r w:rsidR="009F34E8" w:rsidRPr="00556541">
        <w:rPr>
          <w:rFonts w:cs="Arial"/>
        </w:rPr>
        <w:t xml:space="preserve">has been </w:t>
      </w:r>
      <w:r w:rsidRPr="00556541">
        <w:rPr>
          <w:rFonts w:cs="Arial"/>
        </w:rPr>
        <w:t>used</w:t>
      </w:r>
      <w:r w:rsidR="009F34E8" w:rsidRPr="00556541">
        <w:rPr>
          <w:rFonts w:cs="Arial"/>
        </w:rPr>
        <w:t xml:space="preserve"> to value these assets taking account of the market participant’s ability to generate economic benefits by using the asset in its highest and best use. For most of these assets observable inputs from the sale of similar assets in the local area have been used to inf</w:t>
      </w:r>
      <w:r w:rsidR="002B28BF" w:rsidRPr="00556541">
        <w:rPr>
          <w:rFonts w:cs="Arial"/>
        </w:rPr>
        <w:t>orm t</w:t>
      </w:r>
      <w:r w:rsidR="00473E32" w:rsidRPr="00556541">
        <w:rPr>
          <w:rFonts w:cs="Arial"/>
        </w:rPr>
        <w:t xml:space="preserve">he valuation. </w:t>
      </w:r>
    </w:p>
    <w:p w14:paraId="01539455" w14:textId="77777777" w:rsidR="007B7B41" w:rsidRDefault="007B7B41" w:rsidP="007B7B41">
      <w:pPr>
        <w:pStyle w:val="ListParagraph"/>
        <w:rPr>
          <w:rFonts w:cs="Arial"/>
        </w:rPr>
      </w:pPr>
    </w:p>
    <w:p w14:paraId="68222789" w14:textId="755EA30A" w:rsidR="007B7B41" w:rsidRPr="00556541" w:rsidRDefault="007B7B41" w:rsidP="00317745">
      <w:pPr>
        <w:numPr>
          <w:ilvl w:val="1"/>
          <w:numId w:val="9"/>
        </w:numPr>
        <w:rPr>
          <w:rFonts w:cs="Arial"/>
        </w:rPr>
      </w:pPr>
      <w:r>
        <w:rPr>
          <w:rFonts w:cs="Arial"/>
        </w:rPr>
        <w:t>Operational Land and Buildings – these form a significant part of the total balance sheet value and a small movement in estimation inputs can lead to a significant movement in value. To mitigate the risk of mis-statement, a significant element of operational properties are now subject to annual valuation. During the year, a change in the input data for car park valuations was made. The income used to derive the capital value of the car parks now includes non-direct income including season tickets. This had previously been excluded from the valuations on the basis that i</w:t>
      </w:r>
      <w:r w:rsidR="000820C9">
        <w:rPr>
          <w:rFonts w:cs="Arial"/>
        </w:rPr>
        <w:t>t</w:t>
      </w:r>
      <w:r>
        <w:rPr>
          <w:rFonts w:cs="Arial"/>
        </w:rPr>
        <w:t xml:space="preserve"> could not be ascribed to a specific car park. </w:t>
      </w:r>
      <w:r w:rsidR="001377F8">
        <w:rPr>
          <w:rFonts w:cs="Arial"/>
        </w:rPr>
        <w:t>This view has now been revised on the basis that it is reasonable, in terms of the overall value of car parks, that this income is reflected in the balance sheet value.</w:t>
      </w:r>
    </w:p>
    <w:p w14:paraId="17A29BE1" w14:textId="77777777" w:rsidR="0024555E" w:rsidRPr="00612CB7" w:rsidRDefault="0024555E" w:rsidP="00612CB7">
      <w:pPr>
        <w:rPr>
          <w:rFonts w:cs="Arial"/>
          <w:szCs w:val="24"/>
          <w:highlight w:val="yellow"/>
        </w:rPr>
      </w:pPr>
    </w:p>
    <w:p w14:paraId="77A9FD3A" w14:textId="78E05CFE" w:rsidR="0024555E" w:rsidRPr="00556541" w:rsidRDefault="00556541" w:rsidP="0024555E">
      <w:pPr>
        <w:ind w:left="567"/>
        <w:rPr>
          <w:rFonts w:cs="Arial"/>
          <w:szCs w:val="24"/>
        </w:rPr>
      </w:pPr>
      <w:r w:rsidRPr="00556541">
        <w:rPr>
          <w:rFonts w:cs="Arial"/>
        </w:rPr>
        <w:t xml:space="preserve">The UK economy is currently experiencing high inflation which means there is potential for material movements in asset values over relatively short </w:t>
      </w:r>
      <w:r w:rsidR="00612CB7">
        <w:rPr>
          <w:rFonts w:cs="Arial"/>
        </w:rPr>
        <w:t xml:space="preserve">time </w:t>
      </w:r>
      <w:r w:rsidRPr="00556541">
        <w:rPr>
          <w:rFonts w:cs="Arial"/>
        </w:rPr>
        <w:t>periods.</w:t>
      </w:r>
      <w:r w:rsidR="0024555E" w:rsidRPr="00556541">
        <w:rPr>
          <w:rFonts w:cs="Arial"/>
        </w:rPr>
        <w:t xml:space="preserve"> We are satisfied that the wider economic conditions at the balance sheet date are reflected in the values within the statement of accounts. However, we note that there may be significant fluctuation in the value of assets and liabilities at the next reporting date. It is not practicable to project what these impacts may be. Statutory overrides exist to prevent fluctuations in the value of the net defined benefit pension liability and non-current assets from impacting on the General Fund balance.</w:t>
      </w:r>
    </w:p>
    <w:p w14:paraId="485A4603" w14:textId="6F57E77F" w:rsidR="001B7EF5" w:rsidRPr="004D5CA8" w:rsidRDefault="001B7EF5" w:rsidP="00040C1A">
      <w:pPr>
        <w:pStyle w:val="ListParagraph"/>
        <w:autoSpaceDE w:val="0"/>
        <w:autoSpaceDN w:val="0"/>
        <w:spacing w:before="120"/>
        <w:ind w:left="1418"/>
        <w:rPr>
          <w:rFonts w:cs="Arial"/>
          <w:highlight w:val="yellow"/>
        </w:rPr>
      </w:pPr>
    </w:p>
    <w:p w14:paraId="1A58DF7C" w14:textId="77777777" w:rsidR="00D1443A" w:rsidRPr="004D5CA8" w:rsidRDefault="00D1443A" w:rsidP="00040C1A">
      <w:pPr>
        <w:pStyle w:val="ListParagraph"/>
        <w:autoSpaceDE w:val="0"/>
        <w:autoSpaceDN w:val="0"/>
        <w:spacing w:before="120"/>
        <w:ind w:left="1418"/>
        <w:rPr>
          <w:rFonts w:cs="Arial"/>
          <w:highlight w:val="yellow"/>
        </w:rPr>
      </w:pPr>
    </w:p>
    <w:p w14:paraId="485A4604" w14:textId="46F6D735" w:rsidR="00FC7127" w:rsidRPr="00556541" w:rsidRDefault="00FC7127" w:rsidP="00FC7127">
      <w:pPr>
        <w:ind w:left="567" w:hanging="567"/>
        <w:rPr>
          <w:b/>
        </w:rPr>
      </w:pPr>
      <w:r w:rsidRPr="00556541">
        <w:rPr>
          <w:b/>
        </w:rPr>
        <w:t xml:space="preserve">6.   </w:t>
      </w:r>
      <w:r w:rsidR="00745235">
        <w:rPr>
          <w:b/>
        </w:rPr>
        <w:tab/>
      </w:r>
      <w:r w:rsidRPr="00556541">
        <w:rPr>
          <w:b/>
        </w:rPr>
        <w:t>Impact of Changes to the Code of Practice</w:t>
      </w:r>
    </w:p>
    <w:p w14:paraId="485A4612" w14:textId="77777777" w:rsidR="00FC7127" w:rsidRPr="00556541" w:rsidRDefault="00FC7127" w:rsidP="00FC7127"/>
    <w:p w14:paraId="485A4613" w14:textId="36668127" w:rsidR="00FC7127" w:rsidRPr="00556541" w:rsidRDefault="00D34FFC" w:rsidP="00745235">
      <w:pPr>
        <w:ind w:left="567"/>
      </w:pPr>
      <w:r w:rsidRPr="00556541">
        <w:t xml:space="preserve">There are no </w:t>
      </w:r>
      <w:r w:rsidR="00FC7127" w:rsidRPr="00556541">
        <w:t xml:space="preserve">changes </w:t>
      </w:r>
      <w:r w:rsidRPr="00556541">
        <w:t>to the 202</w:t>
      </w:r>
      <w:r w:rsidR="002B1644">
        <w:t>2</w:t>
      </w:r>
      <w:r w:rsidRPr="00556541">
        <w:t>/2</w:t>
      </w:r>
      <w:r w:rsidR="002B1644">
        <w:t>3</w:t>
      </w:r>
      <w:r w:rsidRPr="00556541">
        <w:t xml:space="preserve"> Code that </w:t>
      </w:r>
      <w:r w:rsidR="00FC7127" w:rsidRPr="00556541">
        <w:t>have a material impact on the information reported in these financial statements.</w:t>
      </w:r>
      <w:r w:rsidR="001377F8">
        <w:t xml:space="preserve"> The Accounting policies for 2022/23 were approved by Governance Committee on 23 May 2023.</w:t>
      </w:r>
    </w:p>
    <w:p w14:paraId="485A4614" w14:textId="77777777" w:rsidR="00276F53" w:rsidRPr="004D5CA8" w:rsidRDefault="00276F53" w:rsidP="00FC7127">
      <w:pPr>
        <w:ind w:left="720"/>
        <w:rPr>
          <w:highlight w:val="yellow"/>
        </w:rPr>
      </w:pPr>
    </w:p>
    <w:p w14:paraId="485A4615" w14:textId="77777777" w:rsidR="00276F53" w:rsidRPr="004D5CA8" w:rsidRDefault="00276F53" w:rsidP="00FC7127">
      <w:pPr>
        <w:ind w:left="720"/>
        <w:rPr>
          <w:highlight w:val="yellow"/>
        </w:rPr>
      </w:pPr>
    </w:p>
    <w:p w14:paraId="485A4616" w14:textId="77777777" w:rsidR="00FC7127" w:rsidRPr="00745235" w:rsidRDefault="00FC7127" w:rsidP="00FC7127">
      <w:pPr>
        <w:pStyle w:val="BlockText"/>
        <w:tabs>
          <w:tab w:val="clear" w:pos="1843"/>
          <w:tab w:val="left" w:pos="567"/>
        </w:tabs>
        <w:ind w:left="0" w:right="0"/>
        <w:rPr>
          <w:rFonts w:cs="Arial"/>
          <w:b/>
        </w:rPr>
      </w:pPr>
      <w:r w:rsidRPr="00745235">
        <w:rPr>
          <w:rFonts w:cs="Arial"/>
          <w:b/>
        </w:rPr>
        <w:t>7.</w:t>
      </w:r>
      <w:r w:rsidRPr="00745235">
        <w:rPr>
          <w:rFonts w:cs="Arial"/>
          <w:b/>
        </w:rPr>
        <w:tab/>
        <w:t>Material Items of Income and Expense</w:t>
      </w:r>
    </w:p>
    <w:p w14:paraId="485A4617" w14:textId="77777777" w:rsidR="00FC7127" w:rsidRPr="00745235" w:rsidRDefault="00FC7127" w:rsidP="00FC7127">
      <w:pPr>
        <w:pStyle w:val="BlockText"/>
        <w:tabs>
          <w:tab w:val="left" w:pos="567"/>
        </w:tabs>
        <w:ind w:left="709" w:right="0"/>
        <w:rPr>
          <w:rFonts w:cs="Arial"/>
        </w:rPr>
      </w:pPr>
    </w:p>
    <w:p w14:paraId="4CE9352F" w14:textId="77777777" w:rsidR="001377F8" w:rsidRDefault="00745235" w:rsidP="00FC7127">
      <w:pPr>
        <w:tabs>
          <w:tab w:val="left" w:pos="4320"/>
        </w:tabs>
        <w:ind w:left="567"/>
      </w:pPr>
      <w:r w:rsidRPr="00745235">
        <w:t xml:space="preserve">Significant transactions relating to non-current assets include revaluations, depreciation and disposals. These are set out in detail in the non-current asset note. </w:t>
      </w:r>
    </w:p>
    <w:p w14:paraId="01158152" w14:textId="77777777" w:rsidR="001377F8" w:rsidRDefault="001377F8" w:rsidP="00FC7127">
      <w:pPr>
        <w:tabs>
          <w:tab w:val="left" w:pos="4320"/>
        </w:tabs>
        <w:ind w:left="567"/>
      </w:pPr>
    </w:p>
    <w:p w14:paraId="485A4618" w14:textId="29AA308E" w:rsidR="00FC7127" w:rsidRPr="00745235" w:rsidRDefault="00745235" w:rsidP="00FC7127">
      <w:pPr>
        <w:tabs>
          <w:tab w:val="left" w:pos="4320"/>
        </w:tabs>
        <w:ind w:left="567"/>
      </w:pPr>
      <w:r w:rsidRPr="00745235">
        <w:t>During the year the Authority disposed of Woodend Farm for a receipt of £1.4m (after costs). This has come through the Comprehensive Income and Expenditure statement (CIES) within the financing and investment line, and supporting note.</w:t>
      </w:r>
    </w:p>
    <w:p w14:paraId="6B3B0BEB" w14:textId="77777777" w:rsidR="00745235" w:rsidRPr="00745235" w:rsidRDefault="00745235" w:rsidP="00FC7127">
      <w:pPr>
        <w:tabs>
          <w:tab w:val="left" w:pos="4320"/>
        </w:tabs>
        <w:ind w:left="567"/>
      </w:pPr>
    </w:p>
    <w:p w14:paraId="1C85CE31" w14:textId="64DF5B7B" w:rsidR="00745235" w:rsidRPr="00745235" w:rsidRDefault="00745235" w:rsidP="00FC7127">
      <w:pPr>
        <w:tabs>
          <w:tab w:val="left" w:pos="4320"/>
        </w:tabs>
        <w:ind w:left="567"/>
      </w:pPr>
      <w:r w:rsidRPr="00745235">
        <w:t>There have been significant movements on the defined benefit pension liability/asset, these are disclosed in the pension note.</w:t>
      </w:r>
    </w:p>
    <w:p w14:paraId="485A4619" w14:textId="77777777" w:rsidR="00FC7127" w:rsidRPr="00745235" w:rsidRDefault="00FC7127" w:rsidP="00FC7127">
      <w:pPr>
        <w:tabs>
          <w:tab w:val="left" w:pos="4320"/>
        </w:tabs>
        <w:ind w:left="567"/>
      </w:pPr>
    </w:p>
    <w:p w14:paraId="485A461A" w14:textId="1CC9E9F9" w:rsidR="00FC7127" w:rsidRPr="00745235" w:rsidRDefault="00FC7127" w:rsidP="00FC7127">
      <w:pPr>
        <w:tabs>
          <w:tab w:val="left" w:pos="4320"/>
        </w:tabs>
        <w:ind w:left="567"/>
      </w:pPr>
      <w:r w:rsidRPr="00745235">
        <w:t>Total capital expenditure for 20</w:t>
      </w:r>
      <w:r w:rsidR="00945395" w:rsidRPr="00745235">
        <w:t>2</w:t>
      </w:r>
      <w:r w:rsidR="00745235" w:rsidRPr="00745235">
        <w:t>2</w:t>
      </w:r>
      <w:r w:rsidRPr="00745235">
        <w:t>/2</w:t>
      </w:r>
      <w:r w:rsidR="00745235" w:rsidRPr="00745235">
        <w:t>3</w:t>
      </w:r>
      <w:r w:rsidRPr="00745235">
        <w:t xml:space="preserve"> was </w:t>
      </w:r>
      <w:r w:rsidR="00A22526" w:rsidRPr="00745235">
        <w:t>£</w:t>
      </w:r>
      <w:r w:rsidR="00745235" w:rsidRPr="00745235">
        <w:t>1.9</w:t>
      </w:r>
      <w:r w:rsidR="00A22526" w:rsidRPr="00745235">
        <w:t xml:space="preserve">m </w:t>
      </w:r>
      <w:r w:rsidR="005C7B53" w:rsidRPr="00745235">
        <w:t>(</w:t>
      </w:r>
      <w:r w:rsidRPr="00745235">
        <w:t>£</w:t>
      </w:r>
      <w:r w:rsidR="00745235" w:rsidRPr="00745235">
        <w:t>1.1</w:t>
      </w:r>
      <w:r w:rsidRPr="00745235">
        <w:t>m</w:t>
      </w:r>
      <w:r w:rsidR="005C7B53" w:rsidRPr="00745235">
        <w:t xml:space="preserve"> in 202</w:t>
      </w:r>
      <w:r w:rsidR="00745235" w:rsidRPr="00745235">
        <w:t>1</w:t>
      </w:r>
      <w:r w:rsidR="005C7B53" w:rsidRPr="00745235">
        <w:t>/2</w:t>
      </w:r>
      <w:r w:rsidR="00745235" w:rsidRPr="00745235">
        <w:t>2</w:t>
      </w:r>
      <w:r w:rsidR="005C7B53" w:rsidRPr="00745235">
        <w:t xml:space="preserve">). </w:t>
      </w:r>
      <w:r w:rsidR="00745235" w:rsidRPr="00745235">
        <w:t>A further split of this capital expenditure is provided in the capital expenditure note.</w:t>
      </w:r>
    </w:p>
    <w:p w14:paraId="485A461B" w14:textId="77777777" w:rsidR="0095291D" w:rsidRPr="00745235" w:rsidRDefault="0095291D" w:rsidP="00FC7127">
      <w:pPr>
        <w:tabs>
          <w:tab w:val="left" w:pos="4320"/>
        </w:tabs>
        <w:ind w:left="567"/>
      </w:pPr>
    </w:p>
    <w:p w14:paraId="485A4620" w14:textId="3CD49556" w:rsidR="00BC15E3" w:rsidRDefault="00A22526" w:rsidP="00DC1950">
      <w:pPr>
        <w:tabs>
          <w:tab w:val="left" w:pos="4320"/>
        </w:tabs>
        <w:ind w:left="567"/>
      </w:pPr>
      <w:r w:rsidRPr="00745235">
        <w:t>The core grant settlement from Defra was £5,5</w:t>
      </w:r>
      <w:r w:rsidR="001377F8">
        <w:t>90k</w:t>
      </w:r>
      <w:r w:rsidR="00745235" w:rsidRPr="00745235">
        <w:t xml:space="preserve"> with an additional one off £440k awarded in year. This is within the non-specific grant income line in the CIES.</w:t>
      </w:r>
    </w:p>
    <w:p w14:paraId="5CB6CA5A" w14:textId="77777777" w:rsidR="009F03E4" w:rsidRDefault="009F03E4" w:rsidP="00DC1950">
      <w:pPr>
        <w:tabs>
          <w:tab w:val="left" w:pos="4320"/>
        </w:tabs>
        <w:ind w:left="567"/>
      </w:pPr>
    </w:p>
    <w:p w14:paraId="360E6622" w14:textId="77777777" w:rsidR="00DC1950" w:rsidRPr="004D5CA8" w:rsidRDefault="00DC1950" w:rsidP="00DC1950">
      <w:pPr>
        <w:tabs>
          <w:tab w:val="left" w:pos="4320"/>
        </w:tabs>
        <w:ind w:left="567"/>
        <w:rPr>
          <w:rFonts w:ascii="Tahoma" w:eastAsia="Calibri" w:hAnsi="Tahoma"/>
          <w:i/>
          <w:iCs/>
          <w:spacing w:val="15"/>
          <w:sz w:val="24"/>
          <w:szCs w:val="24"/>
          <w:highlight w:val="yellow"/>
          <w:u w:val="single"/>
          <w:lang w:eastAsia="en-GB"/>
        </w:rPr>
      </w:pPr>
    </w:p>
    <w:p w14:paraId="485A4621" w14:textId="374B78D8" w:rsidR="00FC7127" w:rsidRPr="00243083" w:rsidRDefault="00FC7127" w:rsidP="00317745">
      <w:pPr>
        <w:pStyle w:val="Subtitle"/>
        <w:numPr>
          <w:ilvl w:val="0"/>
          <w:numId w:val="18"/>
        </w:numPr>
        <w:tabs>
          <w:tab w:val="left" w:pos="-709"/>
          <w:tab w:val="left" w:pos="-284"/>
          <w:tab w:val="left" w:pos="-142"/>
          <w:tab w:val="left" w:pos="0"/>
          <w:tab w:val="left" w:pos="567"/>
        </w:tabs>
        <w:spacing w:line="240" w:lineRule="atLeast"/>
        <w:ind w:left="567" w:right="680" w:hanging="567"/>
        <w:rPr>
          <w:rFonts w:ascii="Arial" w:eastAsia="Times New Roman" w:hAnsi="Arial"/>
          <w:b/>
          <w:i w:val="0"/>
          <w:iCs w:val="0"/>
          <w:spacing w:val="0"/>
          <w:sz w:val="23"/>
          <w:szCs w:val="23"/>
          <w:u w:val="none"/>
          <w:lang w:eastAsia="en-US"/>
        </w:rPr>
      </w:pPr>
      <w:r w:rsidRPr="00243083">
        <w:rPr>
          <w:rFonts w:ascii="Arial" w:eastAsia="Times New Roman" w:hAnsi="Arial"/>
          <w:b/>
          <w:i w:val="0"/>
          <w:iCs w:val="0"/>
          <w:spacing w:val="0"/>
          <w:sz w:val="23"/>
          <w:szCs w:val="23"/>
          <w:u w:val="none"/>
          <w:lang w:eastAsia="en-US"/>
        </w:rPr>
        <w:t>Expenditure and Income Analysed by Nature</w:t>
      </w:r>
      <w:r w:rsidR="009F03E4">
        <w:rPr>
          <w:rFonts w:ascii="Arial" w:eastAsia="Times New Roman" w:hAnsi="Arial"/>
          <w:b/>
          <w:i w:val="0"/>
          <w:iCs w:val="0"/>
          <w:spacing w:val="0"/>
          <w:sz w:val="23"/>
          <w:szCs w:val="23"/>
          <w:u w:val="none"/>
          <w:lang w:eastAsia="en-US"/>
        </w:rPr>
        <w:t xml:space="preserve"> </w:t>
      </w:r>
    </w:p>
    <w:p w14:paraId="5D3B9B74" w14:textId="52C78A4F" w:rsidR="00BF70F4" w:rsidRPr="004D5CA8" w:rsidRDefault="00BF70F4" w:rsidP="00BF70F4">
      <w:pPr>
        <w:rPr>
          <w:highlight w:val="yellow"/>
        </w:rPr>
      </w:pPr>
    </w:p>
    <w:tbl>
      <w:tblPr>
        <w:tblW w:w="10415" w:type="dxa"/>
        <w:tblInd w:w="-577" w:type="dxa"/>
        <w:tblLayout w:type="fixed"/>
        <w:tblLook w:val="04A0" w:firstRow="1" w:lastRow="0" w:firstColumn="1" w:lastColumn="0" w:noHBand="0" w:noVBand="1"/>
      </w:tblPr>
      <w:tblGrid>
        <w:gridCol w:w="961"/>
        <w:gridCol w:w="1120"/>
        <w:gridCol w:w="1038"/>
        <w:gridCol w:w="4111"/>
        <w:gridCol w:w="961"/>
        <w:gridCol w:w="1165"/>
        <w:gridCol w:w="1059"/>
      </w:tblGrid>
      <w:tr w:rsidR="00B967AB" w:rsidRPr="00B967AB" w14:paraId="6B9A77C9" w14:textId="77777777" w:rsidTr="00B967AB">
        <w:trPr>
          <w:trHeight w:val="290"/>
        </w:trPr>
        <w:tc>
          <w:tcPr>
            <w:tcW w:w="961" w:type="dxa"/>
            <w:tcBorders>
              <w:top w:val="single" w:sz="8" w:space="0" w:color="auto"/>
              <w:left w:val="single" w:sz="8" w:space="0" w:color="auto"/>
              <w:bottom w:val="nil"/>
              <w:right w:val="nil"/>
            </w:tcBorders>
            <w:shd w:val="clear" w:color="000000" w:fill="000000"/>
            <w:vAlign w:val="center"/>
            <w:hideMark/>
          </w:tcPr>
          <w:p w14:paraId="2C94002B" w14:textId="77777777" w:rsidR="00B967AB" w:rsidRPr="00B967AB" w:rsidRDefault="00B967AB" w:rsidP="00B967AB">
            <w:pPr>
              <w:jc w:val="center"/>
              <w:rPr>
                <w:rFonts w:cs="Arial"/>
                <w:b/>
                <w:bCs/>
                <w:color w:val="FFFFFF"/>
                <w:sz w:val="20"/>
                <w:szCs w:val="20"/>
                <w:lang w:eastAsia="en-GB"/>
              </w:rPr>
            </w:pPr>
            <w:r w:rsidRPr="00B967AB">
              <w:rPr>
                <w:rFonts w:cs="Arial"/>
                <w:b/>
                <w:bCs/>
                <w:color w:val="FFFFFF"/>
                <w:sz w:val="20"/>
                <w:szCs w:val="20"/>
                <w:lang w:eastAsia="en-GB"/>
              </w:rPr>
              <w:t> </w:t>
            </w:r>
          </w:p>
        </w:tc>
        <w:tc>
          <w:tcPr>
            <w:tcW w:w="1120" w:type="dxa"/>
            <w:tcBorders>
              <w:top w:val="single" w:sz="8" w:space="0" w:color="auto"/>
              <w:left w:val="single" w:sz="4" w:space="0" w:color="auto"/>
              <w:bottom w:val="nil"/>
              <w:right w:val="nil"/>
            </w:tcBorders>
            <w:shd w:val="clear" w:color="000000" w:fill="000000"/>
            <w:vAlign w:val="center"/>
            <w:hideMark/>
          </w:tcPr>
          <w:p w14:paraId="44D74431" w14:textId="77777777" w:rsidR="00B967AB" w:rsidRPr="00B967AB" w:rsidRDefault="00B967AB" w:rsidP="00B967AB">
            <w:pPr>
              <w:jc w:val="center"/>
              <w:rPr>
                <w:rFonts w:cs="Arial"/>
                <w:b/>
                <w:bCs/>
                <w:color w:val="FFFFFF"/>
                <w:sz w:val="20"/>
                <w:szCs w:val="20"/>
                <w:lang w:eastAsia="en-GB"/>
              </w:rPr>
            </w:pPr>
            <w:r w:rsidRPr="00B967AB">
              <w:rPr>
                <w:rFonts w:cs="Arial"/>
                <w:b/>
                <w:bCs/>
                <w:color w:val="FFFFFF"/>
                <w:sz w:val="20"/>
                <w:szCs w:val="20"/>
                <w:lang w:eastAsia="en-GB"/>
              </w:rPr>
              <w:t>Restated</w:t>
            </w:r>
          </w:p>
        </w:tc>
        <w:tc>
          <w:tcPr>
            <w:tcW w:w="1038" w:type="dxa"/>
            <w:tcBorders>
              <w:top w:val="single" w:sz="8" w:space="0" w:color="auto"/>
              <w:left w:val="single" w:sz="4" w:space="0" w:color="auto"/>
              <w:bottom w:val="nil"/>
              <w:right w:val="nil"/>
            </w:tcBorders>
            <w:shd w:val="clear" w:color="000000" w:fill="000000"/>
            <w:vAlign w:val="center"/>
            <w:hideMark/>
          </w:tcPr>
          <w:p w14:paraId="115FEC16" w14:textId="77777777" w:rsidR="00B967AB" w:rsidRPr="00B967AB" w:rsidRDefault="00B967AB" w:rsidP="00B967AB">
            <w:pPr>
              <w:jc w:val="center"/>
              <w:rPr>
                <w:rFonts w:cs="Arial"/>
                <w:b/>
                <w:bCs/>
                <w:color w:val="FFFFFF"/>
                <w:sz w:val="20"/>
                <w:szCs w:val="20"/>
                <w:lang w:eastAsia="en-GB"/>
              </w:rPr>
            </w:pPr>
            <w:r w:rsidRPr="00B967AB">
              <w:rPr>
                <w:rFonts w:cs="Arial"/>
                <w:b/>
                <w:bCs/>
                <w:color w:val="FFFFFF"/>
                <w:sz w:val="20"/>
                <w:szCs w:val="20"/>
                <w:lang w:eastAsia="en-GB"/>
              </w:rPr>
              <w:t> </w:t>
            </w:r>
          </w:p>
        </w:tc>
        <w:tc>
          <w:tcPr>
            <w:tcW w:w="4111" w:type="dxa"/>
            <w:tcBorders>
              <w:top w:val="single" w:sz="8" w:space="0" w:color="auto"/>
              <w:left w:val="single" w:sz="4" w:space="0" w:color="auto"/>
              <w:bottom w:val="nil"/>
              <w:right w:val="nil"/>
            </w:tcBorders>
            <w:shd w:val="clear" w:color="000000" w:fill="000000"/>
            <w:vAlign w:val="center"/>
            <w:hideMark/>
          </w:tcPr>
          <w:p w14:paraId="27F0CB21" w14:textId="77777777" w:rsidR="00B967AB" w:rsidRPr="00B967AB" w:rsidRDefault="00B967AB" w:rsidP="00B967AB">
            <w:pPr>
              <w:jc w:val="center"/>
              <w:rPr>
                <w:rFonts w:cs="Arial"/>
                <w:b/>
                <w:bCs/>
                <w:color w:val="FFFFFF"/>
                <w:sz w:val="20"/>
                <w:szCs w:val="20"/>
                <w:lang w:eastAsia="en-GB"/>
              </w:rPr>
            </w:pPr>
            <w:r w:rsidRPr="00B967AB">
              <w:rPr>
                <w:rFonts w:cs="Arial"/>
                <w:b/>
                <w:bCs/>
                <w:color w:val="FFFFFF"/>
                <w:sz w:val="20"/>
                <w:szCs w:val="20"/>
                <w:lang w:eastAsia="en-GB"/>
              </w:rPr>
              <w:t> </w:t>
            </w:r>
          </w:p>
        </w:tc>
        <w:tc>
          <w:tcPr>
            <w:tcW w:w="961" w:type="dxa"/>
            <w:tcBorders>
              <w:top w:val="single" w:sz="8" w:space="0" w:color="auto"/>
              <w:left w:val="single" w:sz="4" w:space="0" w:color="auto"/>
              <w:bottom w:val="nil"/>
              <w:right w:val="nil"/>
            </w:tcBorders>
            <w:shd w:val="clear" w:color="000000" w:fill="000000"/>
            <w:vAlign w:val="center"/>
            <w:hideMark/>
          </w:tcPr>
          <w:p w14:paraId="5BAD813C" w14:textId="77777777" w:rsidR="00B967AB" w:rsidRPr="00B967AB" w:rsidRDefault="00B967AB" w:rsidP="00B967AB">
            <w:pPr>
              <w:jc w:val="center"/>
              <w:rPr>
                <w:rFonts w:cs="Arial"/>
                <w:b/>
                <w:bCs/>
                <w:color w:val="FFFFFF"/>
                <w:sz w:val="20"/>
                <w:szCs w:val="20"/>
                <w:lang w:eastAsia="en-GB"/>
              </w:rPr>
            </w:pPr>
            <w:r w:rsidRPr="00B967AB">
              <w:rPr>
                <w:rFonts w:cs="Arial"/>
                <w:b/>
                <w:bCs/>
                <w:color w:val="FFFFFF"/>
                <w:sz w:val="20"/>
                <w:szCs w:val="20"/>
                <w:lang w:eastAsia="en-GB"/>
              </w:rPr>
              <w:t> </w:t>
            </w:r>
          </w:p>
        </w:tc>
        <w:tc>
          <w:tcPr>
            <w:tcW w:w="1165" w:type="dxa"/>
            <w:tcBorders>
              <w:top w:val="single" w:sz="8" w:space="0" w:color="auto"/>
              <w:left w:val="single" w:sz="4" w:space="0" w:color="auto"/>
              <w:bottom w:val="nil"/>
              <w:right w:val="nil"/>
            </w:tcBorders>
            <w:shd w:val="clear" w:color="000000" w:fill="000000"/>
            <w:vAlign w:val="center"/>
            <w:hideMark/>
          </w:tcPr>
          <w:p w14:paraId="2A43C93E" w14:textId="77777777" w:rsidR="00B967AB" w:rsidRPr="00B967AB" w:rsidRDefault="00B967AB" w:rsidP="00B967AB">
            <w:pPr>
              <w:jc w:val="center"/>
              <w:rPr>
                <w:rFonts w:cs="Arial"/>
                <w:b/>
                <w:bCs/>
                <w:color w:val="FFFFFF"/>
                <w:sz w:val="20"/>
                <w:szCs w:val="20"/>
                <w:lang w:eastAsia="en-GB"/>
              </w:rPr>
            </w:pPr>
            <w:r w:rsidRPr="00B967AB">
              <w:rPr>
                <w:rFonts w:cs="Arial"/>
                <w:b/>
                <w:bCs/>
                <w:color w:val="FFFFFF"/>
                <w:sz w:val="20"/>
                <w:szCs w:val="20"/>
                <w:lang w:eastAsia="en-GB"/>
              </w:rPr>
              <w:t> </w:t>
            </w:r>
          </w:p>
        </w:tc>
        <w:tc>
          <w:tcPr>
            <w:tcW w:w="1059" w:type="dxa"/>
            <w:tcBorders>
              <w:top w:val="single" w:sz="8" w:space="0" w:color="auto"/>
              <w:left w:val="single" w:sz="4" w:space="0" w:color="auto"/>
              <w:bottom w:val="nil"/>
              <w:right w:val="single" w:sz="8" w:space="0" w:color="auto"/>
            </w:tcBorders>
            <w:shd w:val="clear" w:color="000000" w:fill="000000"/>
            <w:vAlign w:val="center"/>
            <w:hideMark/>
          </w:tcPr>
          <w:p w14:paraId="058C1F53" w14:textId="77777777" w:rsidR="00B967AB" w:rsidRPr="00B967AB" w:rsidRDefault="00B967AB" w:rsidP="00B967AB">
            <w:pPr>
              <w:jc w:val="center"/>
              <w:rPr>
                <w:rFonts w:cs="Arial"/>
                <w:b/>
                <w:bCs/>
                <w:color w:val="FFFFFF"/>
                <w:sz w:val="20"/>
                <w:szCs w:val="20"/>
                <w:lang w:eastAsia="en-GB"/>
              </w:rPr>
            </w:pPr>
            <w:r w:rsidRPr="00B967AB">
              <w:rPr>
                <w:rFonts w:cs="Arial"/>
                <w:b/>
                <w:bCs/>
                <w:color w:val="FFFFFF"/>
                <w:sz w:val="20"/>
                <w:szCs w:val="20"/>
                <w:lang w:eastAsia="en-GB"/>
              </w:rPr>
              <w:t> </w:t>
            </w:r>
          </w:p>
        </w:tc>
      </w:tr>
      <w:tr w:rsidR="00B967AB" w:rsidRPr="00B967AB" w14:paraId="53E47789" w14:textId="77777777" w:rsidTr="00B967AB">
        <w:trPr>
          <w:trHeight w:val="840"/>
        </w:trPr>
        <w:tc>
          <w:tcPr>
            <w:tcW w:w="961" w:type="dxa"/>
            <w:tcBorders>
              <w:top w:val="single" w:sz="4" w:space="0" w:color="auto"/>
              <w:left w:val="single" w:sz="8" w:space="0" w:color="auto"/>
              <w:bottom w:val="nil"/>
              <w:right w:val="nil"/>
            </w:tcBorders>
            <w:shd w:val="clear" w:color="000000" w:fill="000000"/>
            <w:vAlign w:val="center"/>
            <w:hideMark/>
          </w:tcPr>
          <w:p w14:paraId="1FF2428C" w14:textId="77777777" w:rsidR="00B967AB" w:rsidRPr="00B967AB" w:rsidRDefault="00B967AB" w:rsidP="00B967AB">
            <w:pPr>
              <w:jc w:val="center"/>
              <w:rPr>
                <w:rFonts w:cs="Arial"/>
                <w:b/>
                <w:bCs/>
                <w:color w:val="FFFFFF"/>
                <w:sz w:val="20"/>
                <w:szCs w:val="20"/>
                <w:lang w:eastAsia="en-GB"/>
              </w:rPr>
            </w:pPr>
            <w:r w:rsidRPr="00B967AB">
              <w:rPr>
                <w:rFonts w:cs="Arial"/>
                <w:b/>
                <w:bCs/>
                <w:color w:val="FFFFFF"/>
                <w:sz w:val="20"/>
                <w:szCs w:val="20"/>
                <w:lang w:eastAsia="en-GB"/>
              </w:rPr>
              <w:t>2021/22 General Fund</w:t>
            </w:r>
          </w:p>
        </w:tc>
        <w:tc>
          <w:tcPr>
            <w:tcW w:w="1120" w:type="dxa"/>
            <w:tcBorders>
              <w:top w:val="single" w:sz="4" w:space="0" w:color="auto"/>
              <w:left w:val="nil"/>
              <w:bottom w:val="nil"/>
              <w:right w:val="nil"/>
            </w:tcBorders>
            <w:shd w:val="clear" w:color="000000" w:fill="000000"/>
            <w:vAlign w:val="center"/>
            <w:hideMark/>
          </w:tcPr>
          <w:p w14:paraId="2BEFB753" w14:textId="77777777" w:rsidR="00B967AB" w:rsidRPr="00B967AB" w:rsidRDefault="00B967AB" w:rsidP="00B967AB">
            <w:pPr>
              <w:jc w:val="center"/>
              <w:rPr>
                <w:rFonts w:cs="Arial"/>
                <w:b/>
                <w:bCs/>
                <w:color w:val="FFFFFF"/>
                <w:sz w:val="20"/>
                <w:szCs w:val="20"/>
                <w:lang w:eastAsia="en-GB"/>
              </w:rPr>
            </w:pPr>
            <w:r w:rsidRPr="00B967AB">
              <w:rPr>
                <w:rFonts w:cs="Arial"/>
                <w:b/>
                <w:bCs/>
                <w:color w:val="FFFFFF"/>
                <w:sz w:val="20"/>
                <w:szCs w:val="20"/>
                <w:lang w:eastAsia="en-GB"/>
              </w:rPr>
              <w:t>2021/22 Other Reserves</w:t>
            </w:r>
          </w:p>
        </w:tc>
        <w:tc>
          <w:tcPr>
            <w:tcW w:w="1038" w:type="dxa"/>
            <w:tcBorders>
              <w:top w:val="single" w:sz="4" w:space="0" w:color="auto"/>
              <w:left w:val="nil"/>
              <w:bottom w:val="nil"/>
              <w:right w:val="nil"/>
            </w:tcBorders>
            <w:shd w:val="clear" w:color="000000" w:fill="000000"/>
            <w:vAlign w:val="center"/>
            <w:hideMark/>
          </w:tcPr>
          <w:p w14:paraId="2658A30D" w14:textId="77777777" w:rsidR="00B967AB" w:rsidRPr="00B967AB" w:rsidRDefault="00B967AB" w:rsidP="00B967AB">
            <w:pPr>
              <w:jc w:val="center"/>
              <w:rPr>
                <w:rFonts w:cs="Arial"/>
                <w:b/>
                <w:bCs/>
                <w:color w:val="FFFFFF"/>
                <w:sz w:val="20"/>
                <w:szCs w:val="20"/>
                <w:lang w:eastAsia="en-GB"/>
              </w:rPr>
            </w:pPr>
            <w:r w:rsidRPr="00B967AB">
              <w:rPr>
                <w:rFonts w:cs="Arial"/>
                <w:b/>
                <w:bCs/>
                <w:color w:val="FFFFFF"/>
                <w:sz w:val="20"/>
                <w:szCs w:val="20"/>
                <w:lang w:eastAsia="en-GB"/>
              </w:rPr>
              <w:t>2021/22 Total</w:t>
            </w:r>
          </w:p>
        </w:tc>
        <w:tc>
          <w:tcPr>
            <w:tcW w:w="4111" w:type="dxa"/>
            <w:tcBorders>
              <w:top w:val="single" w:sz="4" w:space="0" w:color="auto"/>
              <w:left w:val="nil"/>
              <w:bottom w:val="nil"/>
              <w:right w:val="nil"/>
            </w:tcBorders>
            <w:shd w:val="clear" w:color="000000" w:fill="000000"/>
            <w:noWrap/>
            <w:vAlign w:val="center"/>
            <w:hideMark/>
          </w:tcPr>
          <w:p w14:paraId="3173F088" w14:textId="77777777" w:rsidR="00B967AB" w:rsidRPr="00B967AB" w:rsidRDefault="00B967AB" w:rsidP="00B967AB">
            <w:pPr>
              <w:jc w:val="center"/>
              <w:rPr>
                <w:rFonts w:cs="Arial"/>
                <w:b/>
                <w:bCs/>
                <w:color w:val="FFFFFF"/>
                <w:sz w:val="20"/>
                <w:szCs w:val="20"/>
                <w:lang w:eastAsia="en-GB"/>
              </w:rPr>
            </w:pPr>
            <w:r w:rsidRPr="00B967AB">
              <w:rPr>
                <w:rFonts w:cs="Arial"/>
                <w:b/>
                <w:bCs/>
                <w:color w:val="FFFFFF"/>
                <w:sz w:val="20"/>
                <w:szCs w:val="20"/>
                <w:lang w:eastAsia="en-GB"/>
              </w:rPr>
              <w:t> </w:t>
            </w:r>
          </w:p>
        </w:tc>
        <w:tc>
          <w:tcPr>
            <w:tcW w:w="961" w:type="dxa"/>
            <w:tcBorders>
              <w:top w:val="single" w:sz="4" w:space="0" w:color="auto"/>
              <w:left w:val="nil"/>
              <w:bottom w:val="nil"/>
              <w:right w:val="nil"/>
            </w:tcBorders>
            <w:shd w:val="clear" w:color="000000" w:fill="000000"/>
            <w:vAlign w:val="center"/>
            <w:hideMark/>
          </w:tcPr>
          <w:p w14:paraId="47DF5DD5" w14:textId="77777777" w:rsidR="00B967AB" w:rsidRPr="00B967AB" w:rsidRDefault="00B967AB" w:rsidP="00B967AB">
            <w:pPr>
              <w:jc w:val="center"/>
              <w:rPr>
                <w:rFonts w:cs="Arial"/>
                <w:b/>
                <w:bCs/>
                <w:color w:val="FFFFFF"/>
                <w:sz w:val="20"/>
                <w:szCs w:val="20"/>
                <w:lang w:eastAsia="en-GB"/>
              </w:rPr>
            </w:pPr>
            <w:r w:rsidRPr="00B967AB">
              <w:rPr>
                <w:rFonts w:cs="Arial"/>
                <w:b/>
                <w:bCs/>
                <w:color w:val="FFFFFF"/>
                <w:sz w:val="20"/>
                <w:szCs w:val="20"/>
                <w:lang w:eastAsia="en-GB"/>
              </w:rPr>
              <w:t>2022/23 General Fund</w:t>
            </w:r>
          </w:p>
        </w:tc>
        <w:tc>
          <w:tcPr>
            <w:tcW w:w="1165" w:type="dxa"/>
            <w:tcBorders>
              <w:top w:val="single" w:sz="4" w:space="0" w:color="auto"/>
              <w:left w:val="nil"/>
              <w:bottom w:val="nil"/>
              <w:right w:val="nil"/>
            </w:tcBorders>
            <w:shd w:val="clear" w:color="000000" w:fill="000000"/>
            <w:vAlign w:val="center"/>
            <w:hideMark/>
          </w:tcPr>
          <w:p w14:paraId="5F1F98B5" w14:textId="77777777" w:rsidR="00B967AB" w:rsidRPr="00B967AB" w:rsidRDefault="00B967AB" w:rsidP="00B967AB">
            <w:pPr>
              <w:jc w:val="center"/>
              <w:rPr>
                <w:rFonts w:cs="Arial"/>
                <w:b/>
                <w:bCs/>
                <w:color w:val="FFFFFF"/>
                <w:sz w:val="20"/>
                <w:szCs w:val="20"/>
                <w:lang w:eastAsia="en-GB"/>
              </w:rPr>
            </w:pPr>
            <w:r w:rsidRPr="00B967AB">
              <w:rPr>
                <w:rFonts w:cs="Arial"/>
                <w:b/>
                <w:bCs/>
                <w:color w:val="FFFFFF"/>
                <w:sz w:val="20"/>
                <w:szCs w:val="20"/>
                <w:lang w:eastAsia="en-GB"/>
              </w:rPr>
              <w:t>2022/23 Other Reserves</w:t>
            </w:r>
          </w:p>
        </w:tc>
        <w:tc>
          <w:tcPr>
            <w:tcW w:w="1059" w:type="dxa"/>
            <w:tcBorders>
              <w:top w:val="single" w:sz="4" w:space="0" w:color="auto"/>
              <w:left w:val="nil"/>
              <w:bottom w:val="nil"/>
              <w:right w:val="single" w:sz="8" w:space="0" w:color="auto"/>
            </w:tcBorders>
            <w:shd w:val="clear" w:color="000000" w:fill="000000"/>
            <w:vAlign w:val="center"/>
            <w:hideMark/>
          </w:tcPr>
          <w:p w14:paraId="5A3239E9" w14:textId="77777777" w:rsidR="00B967AB" w:rsidRPr="00B967AB" w:rsidRDefault="00B967AB" w:rsidP="00B967AB">
            <w:pPr>
              <w:jc w:val="center"/>
              <w:rPr>
                <w:rFonts w:cs="Arial"/>
                <w:b/>
                <w:bCs/>
                <w:color w:val="FFFFFF"/>
                <w:sz w:val="20"/>
                <w:szCs w:val="20"/>
                <w:lang w:eastAsia="en-GB"/>
              </w:rPr>
            </w:pPr>
            <w:r w:rsidRPr="00B967AB">
              <w:rPr>
                <w:rFonts w:cs="Arial"/>
                <w:b/>
                <w:bCs/>
                <w:color w:val="FFFFFF"/>
                <w:sz w:val="20"/>
                <w:szCs w:val="20"/>
                <w:lang w:eastAsia="en-GB"/>
              </w:rPr>
              <w:t>2022/23 Total</w:t>
            </w:r>
          </w:p>
        </w:tc>
      </w:tr>
      <w:tr w:rsidR="00B967AB" w:rsidRPr="00B967AB" w14:paraId="74980168" w14:textId="77777777" w:rsidTr="00B967AB">
        <w:trPr>
          <w:trHeight w:val="290"/>
        </w:trPr>
        <w:tc>
          <w:tcPr>
            <w:tcW w:w="961" w:type="dxa"/>
            <w:tcBorders>
              <w:top w:val="nil"/>
              <w:left w:val="single" w:sz="8" w:space="0" w:color="auto"/>
              <w:bottom w:val="nil"/>
              <w:right w:val="nil"/>
            </w:tcBorders>
            <w:shd w:val="clear" w:color="000000" w:fill="000000"/>
            <w:noWrap/>
            <w:vAlign w:val="center"/>
            <w:hideMark/>
          </w:tcPr>
          <w:p w14:paraId="7ECA9F14" w14:textId="77777777" w:rsidR="00B967AB" w:rsidRPr="00B967AB" w:rsidRDefault="00B967AB" w:rsidP="00B967AB">
            <w:pPr>
              <w:jc w:val="center"/>
              <w:rPr>
                <w:rFonts w:cs="Arial"/>
                <w:b/>
                <w:bCs/>
                <w:color w:val="FFFFFF"/>
                <w:sz w:val="20"/>
                <w:szCs w:val="20"/>
                <w:lang w:eastAsia="en-GB"/>
              </w:rPr>
            </w:pPr>
            <w:r w:rsidRPr="00B967AB">
              <w:rPr>
                <w:rFonts w:cs="Arial"/>
                <w:b/>
                <w:bCs/>
                <w:color w:val="FFFFFF"/>
                <w:sz w:val="20"/>
                <w:szCs w:val="20"/>
                <w:lang w:eastAsia="en-GB"/>
              </w:rPr>
              <w:t>£000s</w:t>
            </w:r>
          </w:p>
        </w:tc>
        <w:tc>
          <w:tcPr>
            <w:tcW w:w="1120" w:type="dxa"/>
            <w:tcBorders>
              <w:top w:val="nil"/>
              <w:left w:val="single" w:sz="4" w:space="0" w:color="auto"/>
              <w:bottom w:val="nil"/>
              <w:right w:val="nil"/>
            </w:tcBorders>
            <w:shd w:val="clear" w:color="000000" w:fill="000000"/>
            <w:noWrap/>
            <w:vAlign w:val="center"/>
            <w:hideMark/>
          </w:tcPr>
          <w:p w14:paraId="3E45BA14" w14:textId="77777777" w:rsidR="00B967AB" w:rsidRPr="00B967AB" w:rsidRDefault="00B967AB" w:rsidP="00B967AB">
            <w:pPr>
              <w:jc w:val="center"/>
              <w:rPr>
                <w:rFonts w:cs="Arial"/>
                <w:b/>
                <w:bCs/>
                <w:color w:val="FFFFFF"/>
                <w:sz w:val="20"/>
                <w:szCs w:val="20"/>
                <w:lang w:eastAsia="en-GB"/>
              </w:rPr>
            </w:pPr>
            <w:r w:rsidRPr="00B967AB">
              <w:rPr>
                <w:rFonts w:cs="Arial"/>
                <w:b/>
                <w:bCs/>
                <w:color w:val="FFFFFF"/>
                <w:sz w:val="20"/>
                <w:szCs w:val="20"/>
                <w:lang w:eastAsia="en-GB"/>
              </w:rPr>
              <w:t>£000s</w:t>
            </w:r>
          </w:p>
        </w:tc>
        <w:tc>
          <w:tcPr>
            <w:tcW w:w="1038" w:type="dxa"/>
            <w:tcBorders>
              <w:top w:val="nil"/>
              <w:left w:val="single" w:sz="4" w:space="0" w:color="auto"/>
              <w:bottom w:val="nil"/>
              <w:right w:val="nil"/>
            </w:tcBorders>
            <w:shd w:val="clear" w:color="000000" w:fill="000000"/>
            <w:noWrap/>
            <w:vAlign w:val="center"/>
            <w:hideMark/>
          </w:tcPr>
          <w:p w14:paraId="140055D4" w14:textId="77777777" w:rsidR="00B967AB" w:rsidRPr="00B967AB" w:rsidRDefault="00B967AB" w:rsidP="00B967AB">
            <w:pPr>
              <w:jc w:val="center"/>
              <w:rPr>
                <w:rFonts w:cs="Arial"/>
                <w:b/>
                <w:bCs/>
                <w:color w:val="FFFFFF"/>
                <w:sz w:val="20"/>
                <w:szCs w:val="20"/>
                <w:lang w:eastAsia="en-GB"/>
              </w:rPr>
            </w:pPr>
            <w:r w:rsidRPr="00B967AB">
              <w:rPr>
                <w:rFonts w:cs="Arial"/>
                <w:b/>
                <w:bCs/>
                <w:color w:val="FFFFFF"/>
                <w:sz w:val="20"/>
                <w:szCs w:val="20"/>
                <w:lang w:eastAsia="en-GB"/>
              </w:rPr>
              <w:t>£000s</w:t>
            </w:r>
          </w:p>
        </w:tc>
        <w:tc>
          <w:tcPr>
            <w:tcW w:w="4111" w:type="dxa"/>
            <w:tcBorders>
              <w:top w:val="nil"/>
              <w:left w:val="nil"/>
              <w:bottom w:val="nil"/>
              <w:right w:val="nil"/>
            </w:tcBorders>
            <w:shd w:val="clear" w:color="000000" w:fill="000000"/>
            <w:noWrap/>
            <w:vAlign w:val="center"/>
            <w:hideMark/>
          </w:tcPr>
          <w:p w14:paraId="6BE96135" w14:textId="77777777" w:rsidR="00B967AB" w:rsidRPr="00B967AB" w:rsidRDefault="00B967AB" w:rsidP="00B967AB">
            <w:pPr>
              <w:jc w:val="center"/>
              <w:rPr>
                <w:rFonts w:cs="Arial"/>
                <w:b/>
                <w:bCs/>
                <w:color w:val="FFFFFF"/>
                <w:sz w:val="20"/>
                <w:szCs w:val="20"/>
                <w:lang w:eastAsia="en-GB"/>
              </w:rPr>
            </w:pPr>
            <w:r w:rsidRPr="00B967AB">
              <w:rPr>
                <w:rFonts w:cs="Arial"/>
                <w:b/>
                <w:bCs/>
                <w:color w:val="FFFFFF"/>
                <w:sz w:val="20"/>
                <w:szCs w:val="20"/>
                <w:lang w:eastAsia="en-GB"/>
              </w:rPr>
              <w:t> </w:t>
            </w:r>
          </w:p>
        </w:tc>
        <w:tc>
          <w:tcPr>
            <w:tcW w:w="961" w:type="dxa"/>
            <w:tcBorders>
              <w:top w:val="nil"/>
              <w:left w:val="nil"/>
              <w:bottom w:val="nil"/>
              <w:right w:val="nil"/>
            </w:tcBorders>
            <w:shd w:val="clear" w:color="000000" w:fill="000000"/>
            <w:noWrap/>
            <w:vAlign w:val="center"/>
            <w:hideMark/>
          </w:tcPr>
          <w:p w14:paraId="73431B1F" w14:textId="77777777" w:rsidR="00B967AB" w:rsidRPr="00B967AB" w:rsidRDefault="00B967AB" w:rsidP="00B967AB">
            <w:pPr>
              <w:jc w:val="center"/>
              <w:rPr>
                <w:rFonts w:cs="Arial"/>
                <w:b/>
                <w:bCs/>
                <w:color w:val="FFFFFF"/>
                <w:sz w:val="20"/>
                <w:szCs w:val="20"/>
                <w:lang w:eastAsia="en-GB"/>
              </w:rPr>
            </w:pPr>
            <w:r w:rsidRPr="00B967AB">
              <w:rPr>
                <w:rFonts w:cs="Arial"/>
                <w:b/>
                <w:bCs/>
                <w:color w:val="FFFFFF"/>
                <w:sz w:val="20"/>
                <w:szCs w:val="20"/>
                <w:lang w:eastAsia="en-GB"/>
              </w:rPr>
              <w:t>£000s</w:t>
            </w:r>
          </w:p>
        </w:tc>
        <w:tc>
          <w:tcPr>
            <w:tcW w:w="1165" w:type="dxa"/>
            <w:tcBorders>
              <w:top w:val="nil"/>
              <w:left w:val="nil"/>
              <w:bottom w:val="nil"/>
              <w:right w:val="nil"/>
            </w:tcBorders>
            <w:shd w:val="clear" w:color="000000" w:fill="000000"/>
            <w:noWrap/>
            <w:vAlign w:val="center"/>
            <w:hideMark/>
          </w:tcPr>
          <w:p w14:paraId="7074719D" w14:textId="77777777" w:rsidR="00B967AB" w:rsidRPr="00B967AB" w:rsidRDefault="00B967AB" w:rsidP="00B967AB">
            <w:pPr>
              <w:jc w:val="center"/>
              <w:rPr>
                <w:rFonts w:cs="Arial"/>
                <w:b/>
                <w:bCs/>
                <w:color w:val="FFFFFF"/>
                <w:sz w:val="20"/>
                <w:szCs w:val="20"/>
                <w:lang w:eastAsia="en-GB"/>
              </w:rPr>
            </w:pPr>
            <w:r w:rsidRPr="00B967AB">
              <w:rPr>
                <w:rFonts w:cs="Arial"/>
                <w:b/>
                <w:bCs/>
                <w:color w:val="FFFFFF"/>
                <w:sz w:val="20"/>
                <w:szCs w:val="20"/>
                <w:lang w:eastAsia="en-GB"/>
              </w:rPr>
              <w:t>£000s</w:t>
            </w:r>
          </w:p>
        </w:tc>
        <w:tc>
          <w:tcPr>
            <w:tcW w:w="1059" w:type="dxa"/>
            <w:tcBorders>
              <w:top w:val="nil"/>
              <w:left w:val="nil"/>
              <w:bottom w:val="nil"/>
              <w:right w:val="single" w:sz="8" w:space="0" w:color="auto"/>
            </w:tcBorders>
            <w:shd w:val="clear" w:color="000000" w:fill="000000"/>
            <w:noWrap/>
            <w:vAlign w:val="center"/>
            <w:hideMark/>
          </w:tcPr>
          <w:p w14:paraId="3E378FE4" w14:textId="77777777" w:rsidR="00B967AB" w:rsidRPr="00B967AB" w:rsidRDefault="00B967AB" w:rsidP="00B967AB">
            <w:pPr>
              <w:jc w:val="center"/>
              <w:rPr>
                <w:rFonts w:cs="Arial"/>
                <w:b/>
                <w:bCs/>
                <w:color w:val="FFFFFF"/>
                <w:sz w:val="20"/>
                <w:szCs w:val="20"/>
                <w:lang w:eastAsia="en-GB"/>
              </w:rPr>
            </w:pPr>
            <w:r w:rsidRPr="00B967AB">
              <w:rPr>
                <w:rFonts w:cs="Arial"/>
                <w:b/>
                <w:bCs/>
                <w:color w:val="FFFFFF"/>
                <w:sz w:val="20"/>
                <w:szCs w:val="20"/>
                <w:lang w:eastAsia="en-GB"/>
              </w:rPr>
              <w:t>£000s</w:t>
            </w:r>
          </w:p>
        </w:tc>
      </w:tr>
      <w:tr w:rsidR="00B967AB" w:rsidRPr="00B967AB" w14:paraId="293860A2" w14:textId="77777777" w:rsidTr="00B967AB">
        <w:trPr>
          <w:trHeight w:val="290"/>
        </w:trPr>
        <w:tc>
          <w:tcPr>
            <w:tcW w:w="961" w:type="dxa"/>
            <w:tcBorders>
              <w:top w:val="nil"/>
              <w:left w:val="single" w:sz="8" w:space="0" w:color="auto"/>
              <w:bottom w:val="nil"/>
              <w:right w:val="nil"/>
            </w:tcBorders>
            <w:shd w:val="clear" w:color="000000" w:fill="FFFFFF"/>
            <w:noWrap/>
            <w:vAlign w:val="center"/>
            <w:hideMark/>
          </w:tcPr>
          <w:p w14:paraId="067ADBFC"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c>
          <w:tcPr>
            <w:tcW w:w="1120" w:type="dxa"/>
            <w:tcBorders>
              <w:top w:val="nil"/>
              <w:left w:val="nil"/>
              <w:bottom w:val="nil"/>
              <w:right w:val="nil"/>
            </w:tcBorders>
            <w:shd w:val="clear" w:color="000000" w:fill="FFFFFF"/>
            <w:noWrap/>
            <w:vAlign w:val="center"/>
            <w:hideMark/>
          </w:tcPr>
          <w:p w14:paraId="325606EC"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c>
          <w:tcPr>
            <w:tcW w:w="1038" w:type="dxa"/>
            <w:tcBorders>
              <w:top w:val="nil"/>
              <w:left w:val="nil"/>
              <w:bottom w:val="nil"/>
              <w:right w:val="nil"/>
            </w:tcBorders>
            <w:shd w:val="clear" w:color="000000" w:fill="FFFFFF"/>
            <w:noWrap/>
            <w:vAlign w:val="center"/>
            <w:hideMark/>
          </w:tcPr>
          <w:p w14:paraId="2954644D"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c>
          <w:tcPr>
            <w:tcW w:w="4111" w:type="dxa"/>
            <w:tcBorders>
              <w:top w:val="nil"/>
              <w:left w:val="nil"/>
              <w:bottom w:val="nil"/>
              <w:right w:val="nil"/>
            </w:tcBorders>
            <w:shd w:val="clear" w:color="000000" w:fill="FFFFFF"/>
            <w:noWrap/>
            <w:vAlign w:val="center"/>
            <w:hideMark/>
          </w:tcPr>
          <w:p w14:paraId="2598AC46"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c>
          <w:tcPr>
            <w:tcW w:w="961" w:type="dxa"/>
            <w:tcBorders>
              <w:top w:val="nil"/>
              <w:left w:val="nil"/>
              <w:bottom w:val="nil"/>
              <w:right w:val="nil"/>
            </w:tcBorders>
            <w:shd w:val="clear" w:color="000000" w:fill="FFFFFF"/>
            <w:noWrap/>
            <w:vAlign w:val="center"/>
            <w:hideMark/>
          </w:tcPr>
          <w:p w14:paraId="6D15CC26"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c>
          <w:tcPr>
            <w:tcW w:w="1165" w:type="dxa"/>
            <w:tcBorders>
              <w:top w:val="nil"/>
              <w:left w:val="nil"/>
              <w:bottom w:val="nil"/>
              <w:right w:val="nil"/>
            </w:tcBorders>
            <w:shd w:val="clear" w:color="000000" w:fill="FFFFFF"/>
            <w:noWrap/>
            <w:vAlign w:val="center"/>
            <w:hideMark/>
          </w:tcPr>
          <w:p w14:paraId="7845BC05"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c>
          <w:tcPr>
            <w:tcW w:w="1059" w:type="dxa"/>
            <w:tcBorders>
              <w:top w:val="nil"/>
              <w:left w:val="nil"/>
              <w:bottom w:val="nil"/>
              <w:right w:val="single" w:sz="8" w:space="0" w:color="auto"/>
            </w:tcBorders>
            <w:shd w:val="clear" w:color="000000" w:fill="FFFFFF"/>
            <w:noWrap/>
            <w:vAlign w:val="center"/>
            <w:hideMark/>
          </w:tcPr>
          <w:p w14:paraId="264B1383"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r>
      <w:tr w:rsidR="00B967AB" w:rsidRPr="00B967AB" w14:paraId="777C335C" w14:textId="77777777" w:rsidTr="00B967AB">
        <w:trPr>
          <w:trHeight w:val="290"/>
        </w:trPr>
        <w:tc>
          <w:tcPr>
            <w:tcW w:w="961" w:type="dxa"/>
            <w:tcBorders>
              <w:top w:val="nil"/>
              <w:left w:val="single" w:sz="8" w:space="0" w:color="auto"/>
              <w:bottom w:val="nil"/>
              <w:right w:val="nil"/>
            </w:tcBorders>
            <w:shd w:val="clear" w:color="000000" w:fill="FFFFFF"/>
            <w:noWrap/>
            <w:vAlign w:val="center"/>
            <w:hideMark/>
          </w:tcPr>
          <w:p w14:paraId="72DFEABC" w14:textId="77777777" w:rsidR="00B967AB" w:rsidRPr="00B967AB" w:rsidRDefault="00B967AB" w:rsidP="00B967AB">
            <w:pPr>
              <w:rPr>
                <w:rFonts w:cs="Arial"/>
                <w:b/>
                <w:bCs/>
                <w:color w:val="000000"/>
                <w:sz w:val="20"/>
                <w:szCs w:val="20"/>
                <w:lang w:eastAsia="en-GB"/>
              </w:rPr>
            </w:pPr>
            <w:r w:rsidRPr="00B967AB">
              <w:rPr>
                <w:rFonts w:cs="Arial"/>
                <w:b/>
                <w:bCs/>
                <w:color w:val="000000"/>
                <w:sz w:val="20"/>
                <w:szCs w:val="20"/>
                <w:lang w:eastAsia="en-GB"/>
              </w:rPr>
              <w:t> </w:t>
            </w:r>
          </w:p>
        </w:tc>
        <w:tc>
          <w:tcPr>
            <w:tcW w:w="1120" w:type="dxa"/>
            <w:tcBorders>
              <w:top w:val="nil"/>
              <w:left w:val="nil"/>
              <w:bottom w:val="nil"/>
              <w:right w:val="nil"/>
            </w:tcBorders>
            <w:shd w:val="clear" w:color="000000" w:fill="FFFFFF"/>
            <w:noWrap/>
            <w:vAlign w:val="center"/>
            <w:hideMark/>
          </w:tcPr>
          <w:p w14:paraId="133D1DDE" w14:textId="77777777" w:rsidR="00B967AB" w:rsidRPr="00B967AB" w:rsidRDefault="00B967AB" w:rsidP="00B967AB">
            <w:pPr>
              <w:rPr>
                <w:rFonts w:cs="Arial"/>
                <w:b/>
                <w:bCs/>
                <w:color w:val="000000"/>
                <w:sz w:val="20"/>
                <w:szCs w:val="20"/>
                <w:lang w:eastAsia="en-GB"/>
              </w:rPr>
            </w:pPr>
            <w:r w:rsidRPr="00B967AB">
              <w:rPr>
                <w:rFonts w:cs="Arial"/>
                <w:b/>
                <w:bCs/>
                <w:color w:val="000000"/>
                <w:sz w:val="20"/>
                <w:szCs w:val="20"/>
                <w:lang w:eastAsia="en-GB"/>
              </w:rPr>
              <w:t> </w:t>
            </w:r>
          </w:p>
        </w:tc>
        <w:tc>
          <w:tcPr>
            <w:tcW w:w="1038" w:type="dxa"/>
            <w:tcBorders>
              <w:top w:val="nil"/>
              <w:left w:val="nil"/>
              <w:bottom w:val="nil"/>
              <w:right w:val="nil"/>
            </w:tcBorders>
            <w:shd w:val="clear" w:color="000000" w:fill="FFFFFF"/>
            <w:noWrap/>
            <w:vAlign w:val="center"/>
            <w:hideMark/>
          </w:tcPr>
          <w:p w14:paraId="2AAF92F5"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c>
          <w:tcPr>
            <w:tcW w:w="4111" w:type="dxa"/>
            <w:tcBorders>
              <w:top w:val="nil"/>
              <w:left w:val="nil"/>
              <w:bottom w:val="nil"/>
              <w:right w:val="nil"/>
            </w:tcBorders>
            <w:shd w:val="clear" w:color="000000" w:fill="FFFFFF"/>
            <w:noWrap/>
            <w:vAlign w:val="center"/>
            <w:hideMark/>
          </w:tcPr>
          <w:p w14:paraId="2CA59B85" w14:textId="77777777" w:rsidR="00B967AB" w:rsidRPr="00B967AB" w:rsidRDefault="00B967AB" w:rsidP="00B967AB">
            <w:pPr>
              <w:rPr>
                <w:rFonts w:cs="Arial"/>
                <w:b/>
                <w:bCs/>
                <w:color w:val="000000"/>
                <w:sz w:val="20"/>
                <w:szCs w:val="20"/>
                <w:lang w:eastAsia="en-GB"/>
              </w:rPr>
            </w:pPr>
            <w:r w:rsidRPr="00B967AB">
              <w:rPr>
                <w:rFonts w:cs="Arial"/>
                <w:b/>
                <w:bCs/>
                <w:color w:val="000000"/>
                <w:sz w:val="20"/>
                <w:szCs w:val="20"/>
                <w:lang w:eastAsia="en-GB"/>
              </w:rPr>
              <w:t>Expenditure</w:t>
            </w:r>
          </w:p>
        </w:tc>
        <w:tc>
          <w:tcPr>
            <w:tcW w:w="961" w:type="dxa"/>
            <w:tcBorders>
              <w:top w:val="nil"/>
              <w:left w:val="nil"/>
              <w:bottom w:val="nil"/>
              <w:right w:val="nil"/>
            </w:tcBorders>
            <w:shd w:val="clear" w:color="000000" w:fill="FFFFFF"/>
            <w:noWrap/>
            <w:vAlign w:val="center"/>
            <w:hideMark/>
          </w:tcPr>
          <w:p w14:paraId="684C00F9" w14:textId="77777777" w:rsidR="00B967AB" w:rsidRPr="00B967AB" w:rsidRDefault="00B967AB" w:rsidP="00B967AB">
            <w:pPr>
              <w:rPr>
                <w:rFonts w:cs="Arial"/>
                <w:b/>
                <w:bCs/>
                <w:color w:val="000000"/>
                <w:sz w:val="20"/>
                <w:szCs w:val="20"/>
                <w:lang w:eastAsia="en-GB"/>
              </w:rPr>
            </w:pPr>
            <w:r w:rsidRPr="00B967AB">
              <w:rPr>
                <w:rFonts w:cs="Arial"/>
                <w:b/>
                <w:bCs/>
                <w:color w:val="000000"/>
                <w:sz w:val="20"/>
                <w:szCs w:val="20"/>
                <w:lang w:eastAsia="en-GB"/>
              </w:rPr>
              <w:t> </w:t>
            </w:r>
          </w:p>
        </w:tc>
        <w:tc>
          <w:tcPr>
            <w:tcW w:w="1165" w:type="dxa"/>
            <w:tcBorders>
              <w:top w:val="nil"/>
              <w:left w:val="nil"/>
              <w:bottom w:val="nil"/>
              <w:right w:val="nil"/>
            </w:tcBorders>
            <w:shd w:val="clear" w:color="000000" w:fill="FFFFFF"/>
            <w:noWrap/>
            <w:vAlign w:val="center"/>
            <w:hideMark/>
          </w:tcPr>
          <w:p w14:paraId="46CE517C" w14:textId="77777777" w:rsidR="00B967AB" w:rsidRPr="00B967AB" w:rsidRDefault="00B967AB" w:rsidP="00B967AB">
            <w:pPr>
              <w:rPr>
                <w:rFonts w:cs="Arial"/>
                <w:b/>
                <w:bCs/>
                <w:color w:val="000000"/>
                <w:sz w:val="20"/>
                <w:szCs w:val="20"/>
                <w:lang w:eastAsia="en-GB"/>
              </w:rPr>
            </w:pPr>
            <w:r w:rsidRPr="00B967AB">
              <w:rPr>
                <w:rFonts w:cs="Arial"/>
                <w:b/>
                <w:bCs/>
                <w:color w:val="000000"/>
                <w:sz w:val="20"/>
                <w:szCs w:val="20"/>
                <w:lang w:eastAsia="en-GB"/>
              </w:rPr>
              <w:t> </w:t>
            </w:r>
          </w:p>
        </w:tc>
        <w:tc>
          <w:tcPr>
            <w:tcW w:w="1059" w:type="dxa"/>
            <w:tcBorders>
              <w:top w:val="nil"/>
              <w:left w:val="nil"/>
              <w:bottom w:val="nil"/>
              <w:right w:val="single" w:sz="8" w:space="0" w:color="auto"/>
            </w:tcBorders>
            <w:shd w:val="clear" w:color="000000" w:fill="FFFFFF"/>
            <w:noWrap/>
            <w:vAlign w:val="center"/>
            <w:hideMark/>
          </w:tcPr>
          <w:p w14:paraId="7418D3A4"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r>
      <w:tr w:rsidR="00B967AB" w:rsidRPr="00B967AB" w14:paraId="6A7B78A6" w14:textId="77777777" w:rsidTr="00B967AB">
        <w:trPr>
          <w:trHeight w:val="290"/>
        </w:trPr>
        <w:tc>
          <w:tcPr>
            <w:tcW w:w="961" w:type="dxa"/>
            <w:tcBorders>
              <w:top w:val="nil"/>
              <w:left w:val="single" w:sz="8" w:space="0" w:color="auto"/>
              <w:bottom w:val="nil"/>
              <w:right w:val="nil"/>
            </w:tcBorders>
            <w:shd w:val="clear" w:color="000000" w:fill="FFFFFF"/>
            <w:noWrap/>
            <w:vAlign w:val="center"/>
            <w:hideMark/>
          </w:tcPr>
          <w:p w14:paraId="72CB4921"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7,431</w:t>
            </w:r>
          </w:p>
        </w:tc>
        <w:tc>
          <w:tcPr>
            <w:tcW w:w="1120" w:type="dxa"/>
            <w:tcBorders>
              <w:top w:val="nil"/>
              <w:left w:val="nil"/>
              <w:bottom w:val="nil"/>
              <w:right w:val="nil"/>
            </w:tcBorders>
            <w:shd w:val="clear" w:color="000000" w:fill="FFFFFF"/>
            <w:noWrap/>
            <w:vAlign w:val="center"/>
            <w:hideMark/>
          </w:tcPr>
          <w:p w14:paraId="7BC168CD"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1,049</w:t>
            </w:r>
          </w:p>
        </w:tc>
        <w:tc>
          <w:tcPr>
            <w:tcW w:w="1038" w:type="dxa"/>
            <w:tcBorders>
              <w:top w:val="nil"/>
              <w:left w:val="nil"/>
              <w:bottom w:val="nil"/>
              <w:right w:val="nil"/>
            </w:tcBorders>
            <w:shd w:val="clear" w:color="000000" w:fill="FFFFFF"/>
            <w:noWrap/>
            <w:vAlign w:val="center"/>
            <w:hideMark/>
          </w:tcPr>
          <w:p w14:paraId="45DE7D61"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8,480</w:t>
            </w:r>
          </w:p>
        </w:tc>
        <w:tc>
          <w:tcPr>
            <w:tcW w:w="4111" w:type="dxa"/>
            <w:tcBorders>
              <w:top w:val="nil"/>
              <w:left w:val="nil"/>
              <w:bottom w:val="nil"/>
              <w:right w:val="nil"/>
            </w:tcBorders>
            <w:shd w:val="clear" w:color="000000" w:fill="FFFFFF"/>
            <w:noWrap/>
            <w:vAlign w:val="center"/>
            <w:hideMark/>
          </w:tcPr>
          <w:p w14:paraId="037CC44A"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Employee benefits expenses *</w:t>
            </w:r>
          </w:p>
        </w:tc>
        <w:tc>
          <w:tcPr>
            <w:tcW w:w="961" w:type="dxa"/>
            <w:tcBorders>
              <w:top w:val="nil"/>
              <w:left w:val="nil"/>
              <w:bottom w:val="nil"/>
              <w:right w:val="nil"/>
            </w:tcBorders>
            <w:shd w:val="clear" w:color="000000" w:fill="FFFFFF"/>
            <w:noWrap/>
            <w:vAlign w:val="center"/>
            <w:hideMark/>
          </w:tcPr>
          <w:p w14:paraId="6482FA63"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8,394</w:t>
            </w:r>
          </w:p>
        </w:tc>
        <w:tc>
          <w:tcPr>
            <w:tcW w:w="1165" w:type="dxa"/>
            <w:tcBorders>
              <w:top w:val="nil"/>
              <w:left w:val="nil"/>
              <w:bottom w:val="nil"/>
              <w:right w:val="nil"/>
            </w:tcBorders>
            <w:shd w:val="clear" w:color="000000" w:fill="FFFFFF"/>
            <w:noWrap/>
            <w:vAlign w:val="center"/>
            <w:hideMark/>
          </w:tcPr>
          <w:p w14:paraId="0FCC87F4"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1,339</w:t>
            </w:r>
          </w:p>
        </w:tc>
        <w:tc>
          <w:tcPr>
            <w:tcW w:w="1059" w:type="dxa"/>
            <w:tcBorders>
              <w:top w:val="nil"/>
              <w:left w:val="nil"/>
              <w:bottom w:val="nil"/>
              <w:right w:val="single" w:sz="8" w:space="0" w:color="auto"/>
            </w:tcBorders>
            <w:shd w:val="clear" w:color="000000" w:fill="FFFFFF"/>
            <w:noWrap/>
            <w:vAlign w:val="center"/>
            <w:hideMark/>
          </w:tcPr>
          <w:p w14:paraId="348842E7"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9,733</w:t>
            </w:r>
          </w:p>
        </w:tc>
      </w:tr>
      <w:tr w:rsidR="00B967AB" w:rsidRPr="00B967AB" w14:paraId="597D94D5" w14:textId="77777777" w:rsidTr="00B967AB">
        <w:trPr>
          <w:trHeight w:val="290"/>
        </w:trPr>
        <w:tc>
          <w:tcPr>
            <w:tcW w:w="961" w:type="dxa"/>
            <w:tcBorders>
              <w:top w:val="nil"/>
              <w:left w:val="single" w:sz="8" w:space="0" w:color="auto"/>
              <w:bottom w:val="nil"/>
              <w:right w:val="nil"/>
            </w:tcBorders>
            <w:shd w:val="clear" w:color="000000" w:fill="FFFFFF"/>
            <w:noWrap/>
            <w:vAlign w:val="center"/>
            <w:hideMark/>
          </w:tcPr>
          <w:p w14:paraId="1DD06541"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6,123</w:t>
            </w:r>
          </w:p>
        </w:tc>
        <w:tc>
          <w:tcPr>
            <w:tcW w:w="1120" w:type="dxa"/>
            <w:tcBorders>
              <w:top w:val="nil"/>
              <w:left w:val="nil"/>
              <w:bottom w:val="nil"/>
              <w:right w:val="nil"/>
            </w:tcBorders>
            <w:shd w:val="clear" w:color="000000" w:fill="FFFFFF"/>
            <w:noWrap/>
            <w:vAlign w:val="center"/>
            <w:hideMark/>
          </w:tcPr>
          <w:p w14:paraId="5EC92622"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0</w:t>
            </w:r>
          </w:p>
        </w:tc>
        <w:tc>
          <w:tcPr>
            <w:tcW w:w="1038" w:type="dxa"/>
            <w:tcBorders>
              <w:top w:val="nil"/>
              <w:left w:val="nil"/>
              <w:bottom w:val="nil"/>
              <w:right w:val="nil"/>
            </w:tcBorders>
            <w:shd w:val="clear" w:color="000000" w:fill="FFFFFF"/>
            <w:noWrap/>
            <w:vAlign w:val="center"/>
            <w:hideMark/>
          </w:tcPr>
          <w:p w14:paraId="65C8D70B"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6,123</w:t>
            </w:r>
          </w:p>
        </w:tc>
        <w:tc>
          <w:tcPr>
            <w:tcW w:w="4111" w:type="dxa"/>
            <w:tcBorders>
              <w:top w:val="nil"/>
              <w:left w:val="nil"/>
              <w:bottom w:val="nil"/>
              <w:right w:val="nil"/>
            </w:tcBorders>
            <w:shd w:val="clear" w:color="000000" w:fill="FFFFFF"/>
            <w:noWrap/>
            <w:vAlign w:val="center"/>
            <w:hideMark/>
          </w:tcPr>
          <w:p w14:paraId="64EEA207"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Other service expenses *</w:t>
            </w:r>
          </w:p>
        </w:tc>
        <w:tc>
          <w:tcPr>
            <w:tcW w:w="961" w:type="dxa"/>
            <w:tcBorders>
              <w:top w:val="nil"/>
              <w:left w:val="nil"/>
              <w:bottom w:val="nil"/>
              <w:right w:val="nil"/>
            </w:tcBorders>
            <w:shd w:val="clear" w:color="000000" w:fill="FFFFFF"/>
            <w:noWrap/>
            <w:vAlign w:val="center"/>
            <w:hideMark/>
          </w:tcPr>
          <w:p w14:paraId="31CAC900"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6,495</w:t>
            </w:r>
          </w:p>
        </w:tc>
        <w:tc>
          <w:tcPr>
            <w:tcW w:w="1165" w:type="dxa"/>
            <w:tcBorders>
              <w:top w:val="nil"/>
              <w:left w:val="nil"/>
              <w:bottom w:val="nil"/>
              <w:right w:val="nil"/>
            </w:tcBorders>
            <w:shd w:val="clear" w:color="000000" w:fill="FFFFFF"/>
            <w:noWrap/>
            <w:vAlign w:val="center"/>
            <w:hideMark/>
          </w:tcPr>
          <w:p w14:paraId="4B8DD267"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1,293</w:t>
            </w:r>
          </w:p>
        </w:tc>
        <w:tc>
          <w:tcPr>
            <w:tcW w:w="1059" w:type="dxa"/>
            <w:tcBorders>
              <w:top w:val="nil"/>
              <w:left w:val="nil"/>
              <w:bottom w:val="nil"/>
              <w:right w:val="single" w:sz="8" w:space="0" w:color="auto"/>
            </w:tcBorders>
            <w:shd w:val="clear" w:color="000000" w:fill="FFFFFF"/>
            <w:noWrap/>
            <w:vAlign w:val="center"/>
            <w:hideMark/>
          </w:tcPr>
          <w:p w14:paraId="1ACD853F"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7,788</w:t>
            </w:r>
          </w:p>
        </w:tc>
      </w:tr>
      <w:tr w:rsidR="00B967AB" w:rsidRPr="00B967AB" w14:paraId="19B62602" w14:textId="77777777" w:rsidTr="00B967AB">
        <w:trPr>
          <w:trHeight w:val="290"/>
        </w:trPr>
        <w:tc>
          <w:tcPr>
            <w:tcW w:w="961" w:type="dxa"/>
            <w:tcBorders>
              <w:top w:val="nil"/>
              <w:left w:val="single" w:sz="8" w:space="0" w:color="auto"/>
              <w:bottom w:val="nil"/>
              <w:right w:val="nil"/>
            </w:tcBorders>
            <w:shd w:val="clear" w:color="000000" w:fill="FFFFFF"/>
            <w:noWrap/>
            <w:vAlign w:val="center"/>
            <w:hideMark/>
          </w:tcPr>
          <w:p w14:paraId="41C38C24"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1</w:t>
            </w:r>
          </w:p>
        </w:tc>
        <w:tc>
          <w:tcPr>
            <w:tcW w:w="1120" w:type="dxa"/>
            <w:tcBorders>
              <w:top w:val="nil"/>
              <w:left w:val="nil"/>
              <w:bottom w:val="nil"/>
              <w:right w:val="nil"/>
            </w:tcBorders>
            <w:shd w:val="clear" w:color="000000" w:fill="FFFFFF"/>
            <w:noWrap/>
            <w:vAlign w:val="center"/>
            <w:hideMark/>
          </w:tcPr>
          <w:p w14:paraId="05E415FA"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1,742</w:t>
            </w:r>
          </w:p>
        </w:tc>
        <w:tc>
          <w:tcPr>
            <w:tcW w:w="1038" w:type="dxa"/>
            <w:tcBorders>
              <w:top w:val="nil"/>
              <w:left w:val="nil"/>
              <w:bottom w:val="nil"/>
              <w:right w:val="nil"/>
            </w:tcBorders>
            <w:shd w:val="clear" w:color="000000" w:fill="FFFFFF"/>
            <w:noWrap/>
            <w:vAlign w:val="center"/>
            <w:hideMark/>
          </w:tcPr>
          <w:p w14:paraId="1A2BC395"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1,743</w:t>
            </w:r>
          </w:p>
        </w:tc>
        <w:tc>
          <w:tcPr>
            <w:tcW w:w="4111" w:type="dxa"/>
            <w:tcBorders>
              <w:top w:val="nil"/>
              <w:left w:val="nil"/>
              <w:bottom w:val="nil"/>
              <w:right w:val="nil"/>
            </w:tcBorders>
            <w:shd w:val="clear" w:color="000000" w:fill="FFFFFF"/>
            <w:noWrap/>
            <w:vAlign w:val="center"/>
            <w:hideMark/>
          </w:tcPr>
          <w:p w14:paraId="1BFAE19B"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Depreciation, amortisation and revaluation *</w:t>
            </w:r>
          </w:p>
        </w:tc>
        <w:tc>
          <w:tcPr>
            <w:tcW w:w="961" w:type="dxa"/>
            <w:tcBorders>
              <w:top w:val="nil"/>
              <w:left w:val="nil"/>
              <w:bottom w:val="nil"/>
              <w:right w:val="nil"/>
            </w:tcBorders>
            <w:shd w:val="clear" w:color="000000" w:fill="FFFFFF"/>
            <w:noWrap/>
            <w:vAlign w:val="center"/>
            <w:hideMark/>
          </w:tcPr>
          <w:p w14:paraId="02ADACD0"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0</w:t>
            </w:r>
          </w:p>
        </w:tc>
        <w:tc>
          <w:tcPr>
            <w:tcW w:w="1165" w:type="dxa"/>
            <w:tcBorders>
              <w:top w:val="nil"/>
              <w:left w:val="nil"/>
              <w:bottom w:val="nil"/>
              <w:right w:val="nil"/>
            </w:tcBorders>
            <w:shd w:val="clear" w:color="000000" w:fill="FFFFFF"/>
            <w:noWrap/>
            <w:vAlign w:val="center"/>
            <w:hideMark/>
          </w:tcPr>
          <w:p w14:paraId="5BCB4F33"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1,003</w:t>
            </w:r>
          </w:p>
        </w:tc>
        <w:tc>
          <w:tcPr>
            <w:tcW w:w="1059" w:type="dxa"/>
            <w:tcBorders>
              <w:top w:val="nil"/>
              <w:left w:val="nil"/>
              <w:bottom w:val="nil"/>
              <w:right w:val="single" w:sz="8" w:space="0" w:color="auto"/>
            </w:tcBorders>
            <w:shd w:val="clear" w:color="000000" w:fill="FFFFFF"/>
            <w:noWrap/>
            <w:vAlign w:val="center"/>
            <w:hideMark/>
          </w:tcPr>
          <w:p w14:paraId="21AA34BE"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1,003</w:t>
            </w:r>
          </w:p>
        </w:tc>
      </w:tr>
      <w:tr w:rsidR="00B967AB" w:rsidRPr="00B967AB" w14:paraId="441CC4E7" w14:textId="77777777" w:rsidTr="00B967AB">
        <w:trPr>
          <w:trHeight w:val="290"/>
        </w:trPr>
        <w:tc>
          <w:tcPr>
            <w:tcW w:w="961" w:type="dxa"/>
            <w:tcBorders>
              <w:top w:val="nil"/>
              <w:left w:val="single" w:sz="8" w:space="0" w:color="auto"/>
              <w:bottom w:val="nil"/>
              <w:right w:val="nil"/>
            </w:tcBorders>
            <w:shd w:val="clear" w:color="000000" w:fill="FFFFFF"/>
            <w:noWrap/>
            <w:vAlign w:val="center"/>
            <w:hideMark/>
          </w:tcPr>
          <w:p w14:paraId="7BDCCB0D"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1</w:t>
            </w:r>
          </w:p>
        </w:tc>
        <w:tc>
          <w:tcPr>
            <w:tcW w:w="1120" w:type="dxa"/>
            <w:tcBorders>
              <w:top w:val="nil"/>
              <w:left w:val="nil"/>
              <w:bottom w:val="nil"/>
              <w:right w:val="nil"/>
            </w:tcBorders>
            <w:shd w:val="clear" w:color="000000" w:fill="FFFFFF"/>
            <w:noWrap/>
            <w:vAlign w:val="center"/>
            <w:hideMark/>
          </w:tcPr>
          <w:p w14:paraId="6066B7FE"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19</w:t>
            </w:r>
          </w:p>
        </w:tc>
        <w:tc>
          <w:tcPr>
            <w:tcW w:w="1038" w:type="dxa"/>
            <w:tcBorders>
              <w:top w:val="nil"/>
              <w:left w:val="nil"/>
              <w:bottom w:val="nil"/>
              <w:right w:val="nil"/>
            </w:tcBorders>
            <w:shd w:val="clear" w:color="000000" w:fill="FFFFFF"/>
            <w:noWrap/>
            <w:vAlign w:val="center"/>
            <w:hideMark/>
          </w:tcPr>
          <w:p w14:paraId="5FAD784B"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20</w:t>
            </w:r>
          </w:p>
        </w:tc>
        <w:tc>
          <w:tcPr>
            <w:tcW w:w="4111" w:type="dxa"/>
            <w:tcBorders>
              <w:top w:val="nil"/>
              <w:left w:val="nil"/>
              <w:bottom w:val="nil"/>
              <w:right w:val="nil"/>
            </w:tcBorders>
            <w:shd w:val="clear" w:color="000000" w:fill="FFFFFF"/>
            <w:noWrap/>
            <w:vAlign w:val="center"/>
            <w:hideMark/>
          </w:tcPr>
          <w:p w14:paraId="1CECBA1A"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xml:space="preserve">Loss on disposal of </w:t>
            </w:r>
            <w:proofErr w:type="spellStart"/>
            <w:r w:rsidRPr="00B967AB">
              <w:rPr>
                <w:rFonts w:cs="Arial"/>
                <w:color w:val="000000"/>
                <w:sz w:val="20"/>
                <w:szCs w:val="20"/>
                <w:lang w:eastAsia="en-GB"/>
              </w:rPr>
              <w:t>non current</w:t>
            </w:r>
            <w:proofErr w:type="spellEnd"/>
            <w:r w:rsidRPr="00B967AB">
              <w:rPr>
                <w:rFonts w:cs="Arial"/>
                <w:color w:val="000000"/>
                <w:sz w:val="20"/>
                <w:szCs w:val="20"/>
                <w:lang w:eastAsia="en-GB"/>
              </w:rPr>
              <w:t xml:space="preserve"> assets</w:t>
            </w:r>
          </w:p>
        </w:tc>
        <w:tc>
          <w:tcPr>
            <w:tcW w:w="961" w:type="dxa"/>
            <w:tcBorders>
              <w:top w:val="nil"/>
              <w:left w:val="nil"/>
              <w:bottom w:val="nil"/>
              <w:right w:val="nil"/>
            </w:tcBorders>
            <w:shd w:val="clear" w:color="000000" w:fill="FFFFFF"/>
            <w:noWrap/>
            <w:vAlign w:val="center"/>
            <w:hideMark/>
          </w:tcPr>
          <w:p w14:paraId="40AC3DA7"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0</w:t>
            </w:r>
          </w:p>
        </w:tc>
        <w:tc>
          <w:tcPr>
            <w:tcW w:w="1165" w:type="dxa"/>
            <w:tcBorders>
              <w:top w:val="nil"/>
              <w:left w:val="nil"/>
              <w:bottom w:val="nil"/>
              <w:right w:val="nil"/>
            </w:tcBorders>
            <w:shd w:val="clear" w:color="000000" w:fill="FFFFFF"/>
            <w:noWrap/>
            <w:vAlign w:val="center"/>
            <w:hideMark/>
          </w:tcPr>
          <w:p w14:paraId="2AC61114"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64</w:t>
            </w:r>
          </w:p>
        </w:tc>
        <w:tc>
          <w:tcPr>
            <w:tcW w:w="1059" w:type="dxa"/>
            <w:tcBorders>
              <w:top w:val="nil"/>
              <w:left w:val="nil"/>
              <w:bottom w:val="nil"/>
              <w:right w:val="single" w:sz="8" w:space="0" w:color="auto"/>
            </w:tcBorders>
            <w:shd w:val="clear" w:color="000000" w:fill="FFFFFF"/>
            <w:noWrap/>
            <w:vAlign w:val="center"/>
            <w:hideMark/>
          </w:tcPr>
          <w:p w14:paraId="0B89E4D7"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64</w:t>
            </w:r>
          </w:p>
        </w:tc>
      </w:tr>
      <w:tr w:rsidR="00B967AB" w:rsidRPr="00B967AB" w14:paraId="7742DC59" w14:textId="77777777" w:rsidTr="00B967AB">
        <w:trPr>
          <w:trHeight w:val="290"/>
        </w:trPr>
        <w:tc>
          <w:tcPr>
            <w:tcW w:w="961" w:type="dxa"/>
            <w:tcBorders>
              <w:top w:val="nil"/>
              <w:left w:val="single" w:sz="8" w:space="0" w:color="auto"/>
              <w:bottom w:val="nil"/>
              <w:right w:val="nil"/>
            </w:tcBorders>
            <w:shd w:val="clear" w:color="000000" w:fill="FFFFFF"/>
            <w:noWrap/>
            <w:vAlign w:val="center"/>
            <w:hideMark/>
          </w:tcPr>
          <w:p w14:paraId="1EBA9F9F"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0</w:t>
            </w:r>
          </w:p>
        </w:tc>
        <w:tc>
          <w:tcPr>
            <w:tcW w:w="1120" w:type="dxa"/>
            <w:tcBorders>
              <w:top w:val="nil"/>
              <w:left w:val="nil"/>
              <w:bottom w:val="nil"/>
              <w:right w:val="nil"/>
            </w:tcBorders>
            <w:shd w:val="clear" w:color="000000" w:fill="FFFFFF"/>
            <w:noWrap/>
            <w:vAlign w:val="center"/>
            <w:hideMark/>
          </w:tcPr>
          <w:p w14:paraId="788A5819"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457</w:t>
            </w:r>
          </w:p>
        </w:tc>
        <w:tc>
          <w:tcPr>
            <w:tcW w:w="1038" w:type="dxa"/>
            <w:tcBorders>
              <w:top w:val="nil"/>
              <w:left w:val="nil"/>
              <w:bottom w:val="nil"/>
              <w:right w:val="nil"/>
            </w:tcBorders>
            <w:shd w:val="clear" w:color="000000" w:fill="FFFFFF"/>
            <w:noWrap/>
            <w:vAlign w:val="center"/>
            <w:hideMark/>
          </w:tcPr>
          <w:p w14:paraId="6E629FE7"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457</w:t>
            </w:r>
          </w:p>
        </w:tc>
        <w:tc>
          <w:tcPr>
            <w:tcW w:w="4111" w:type="dxa"/>
            <w:tcBorders>
              <w:top w:val="nil"/>
              <w:left w:val="nil"/>
              <w:bottom w:val="nil"/>
              <w:right w:val="nil"/>
            </w:tcBorders>
            <w:shd w:val="clear" w:color="000000" w:fill="FFFFFF"/>
            <w:noWrap/>
            <w:vAlign w:val="center"/>
            <w:hideMark/>
          </w:tcPr>
          <w:p w14:paraId="589D659D"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Interest payments (IAS 19 - non cash)</w:t>
            </w:r>
          </w:p>
        </w:tc>
        <w:tc>
          <w:tcPr>
            <w:tcW w:w="961" w:type="dxa"/>
            <w:tcBorders>
              <w:top w:val="nil"/>
              <w:left w:val="nil"/>
              <w:bottom w:val="nil"/>
              <w:right w:val="nil"/>
            </w:tcBorders>
            <w:shd w:val="clear" w:color="000000" w:fill="FFFFFF"/>
            <w:noWrap/>
            <w:vAlign w:val="center"/>
            <w:hideMark/>
          </w:tcPr>
          <w:p w14:paraId="29502C40"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0</w:t>
            </w:r>
          </w:p>
        </w:tc>
        <w:tc>
          <w:tcPr>
            <w:tcW w:w="1165" w:type="dxa"/>
            <w:tcBorders>
              <w:top w:val="nil"/>
              <w:left w:val="nil"/>
              <w:bottom w:val="nil"/>
              <w:right w:val="nil"/>
            </w:tcBorders>
            <w:shd w:val="clear" w:color="000000" w:fill="FFFFFF"/>
            <w:noWrap/>
            <w:vAlign w:val="center"/>
            <w:hideMark/>
          </w:tcPr>
          <w:p w14:paraId="03BE6287"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477</w:t>
            </w:r>
          </w:p>
        </w:tc>
        <w:tc>
          <w:tcPr>
            <w:tcW w:w="1059" w:type="dxa"/>
            <w:tcBorders>
              <w:top w:val="nil"/>
              <w:left w:val="nil"/>
              <w:bottom w:val="nil"/>
              <w:right w:val="single" w:sz="8" w:space="0" w:color="auto"/>
            </w:tcBorders>
            <w:shd w:val="clear" w:color="000000" w:fill="FFFFFF"/>
            <w:noWrap/>
            <w:vAlign w:val="center"/>
            <w:hideMark/>
          </w:tcPr>
          <w:p w14:paraId="39D68F43"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477</w:t>
            </w:r>
          </w:p>
        </w:tc>
      </w:tr>
      <w:tr w:rsidR="00B967AB" w:rsidRPr="00B967AB" w14:paraId="4F01474C" w14:textId="77777777" w:rsidTr="00B967AB">
        <w:trPr>
          <w:trHeight w:val="290"/>
        </w:trPr>
        <w:tc>
          <w:tcPr>
            <w:tcW w:w="961" w:type="dxa"/>
            <w:tcBorders>
              <w:top w:val="single" w:sz="4" w:space="0" w:color="auto"/>
              <w:left w:val="single" w:sz="8" w:space="0" w:color="auto"/>
              <w:bottom w:val="single" w:sz="4" w:space="0" w:color="auto"/>
              <w:right w:val="nil"/>
            </w:tcBorders>
            <w:shd w:val="clear" w:color="000000" w:fill="FFFFFF"/>
            <w:noWrap/>
            <w:vAlign w:val="center"/>
            <w:hideMark/>
          </w:tcPr>
          <w:p w14:paraId="5B0C2875"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13,556</w:t>
            </w:r>
          </w:p>
        </w:tc>
        <w:tc>
          <w:tcPr>
            <w:tcW w:w="1120" w:type="dxa"/>
            <w:tcBorders>
              <w:top w:val="single" w:sz="4" w:space="0" w:color="auto"/>
              <w:left w:val="nil"/>
              <w:bottom w:val="single" w:sz="4" w:space="0" w:color="auto"/>
              <w:right w:val="nil"/>
            </w:tcBorders>
            <w:shd w:val="clear" w:color="000000" w:fill="FFFFFF"/>
            <w:noWrap/>
            <w:vAlign w:val="center"/>
            <w:hideMark/>
          </w:tcPr>
          <w:p w14:paraId="7C790085"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3,266</w:t>
            </w:r>
          </w:p>
        </w:tc>
        <w:tc>
          <w:tcPr>
            <w:tcW w:w="1038" w:type="dxa"/>
            <w:tcBorders>
              <w:top w:val="single" w:sz="4" w:space="0" w:color="auto"/>
              <w:left w:val="nil"/>
              <w:bottom w:val="single" w:sz="4" w:space="0" w:color="auto"/>
              <w:right w:val="nil"/>
            </w:tcBorders>
            <w:shd w:val="clear" w:color="000000" w:fill="FFFFFF"/>
            <w:noWrap/>
            <w:vAlign w:val="center"/>
            <w:hideMark/>
          </w:tcPr>
          <w:p w14:paraId="4915DD5C"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16,822</w:t>
            </w:r>
          </w:p>
        </w:tc>
        <w:tc>
          <w:tcPr>
            <w:tcW w:w="4111" w:type="dxa"/>
            <w:tcBorders>
              <w:top w:val="single" w:sz="4" w:space="0" w:color="auto"/>
              <w:left w:val="nil"/>
              <w:bottom w:val="single" w:sz="4" w:space="0" w:color="auto"/>
              <w:right w:val="nil"/>
            </w:tcBorders>
            <w:shd w:val="clear" w:color="000000" w:fill="FFFFFF"/>
            <w:noWrap/>
            <w:vAlign w:val="center"/>
            <w:hideMark/>
          </w:tcPr>
          <w:p w14:paraId="66D9F3C0"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c>
          <w:tcPr>
            <w:tcW w:w="961" w:type="dxa"/>
            <w:tcBorders>
              <w:top w:val="single" w:sz="4" w:space="0" w:color="auto"/>
              <w:left w:val="nil"/>
              <w:bottom w:val="single" w:sz="4" w:space="0" w:color="auto"/>
              <w:right w:val="nil"/>
            </w:tcBorders>
            <w:shd w:val="clear" w:color="000000" w:fill="FFFFFF"/>
            <w:noWrap/>
            <w:vAlign w:val="center"/>
            <w:hideMark/>
          </w:tcPr>
          <w:p w14:paraId="52690B14"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14,889</w:t>
            </w:r>
          </w:p>
        </w:tc>
        <w:tc>
          <w:tcPr>
            <w:tcW w:w="1165" w:type="dxa"/>
            <w:tcBorders>
              <w:top w:val="single" w:sz="4" w:space="0" w:color="auto"/>
              <w:left w:val="nil"/>
              <w:bottom w:val="single" w:sz="4" w:space="0" w:color="auto"/>
              <w:right w:val="nil"/>
            </w:tcBorders>
            <w:shd w:val="clear" w:color="000000" w:fill="FFFFFF"/>
            <w:noWrap/>
            <w:vAlign w:val="center"/>
            <w:hideMark/>
          </w:tcPr>
          <w:p w14:paraId="22DAE18C"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4,176</w:t>
            </w:r>
          </w:p>
        </w:tc>
        <w:tc>
          <w:tcPr>
            <w:tcW w:w="1059" w:type="dxa"/>
            <w:tcBorders>
              <w:top w:val="single" w:sz="4" w:space="0" w:color="auto"/>
              <w:left w:val="nil"/>
              <w:bottom w:val="single" w:sz="4" w:space="0" w:color="auto"/>
              <w:right w:val="single" w:sz="8" w:space="0" w:color="auto"/>
            </w:tcBorders>
            <w:shd w:val="clear" w:color="000000" w:fill="FFFFFF"/>
            <w:noWrap/>
            <w:vAlign w:val="center"/>
            <w:hideMark/>
          </w:tcPr>
          <w:p w14:paraId="420B8530"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19,065</w:t>
            </w:r>
          </w:p>
        </w:tc>
      </w:tr>
      <w:tr w:rsidR="00B967AB" w:rsidRPr="00B967AB" w14:paraId="1ADF57D5" w14:textId="77777777" w:rsidTr="00B967AB">
        <w:trPr>
          <w:trHeight w:val="290"/>
        </w:trPr>
        <w:tc>
          <w:tcPr>
            <w:tcW w:w="961" w:type="dxa"/>
            <w:tcBorders>
              <w:top w:val="nil"/>
              <w:left w:val="single" w:sz="8" w:space="0" w:color="auto"/>
              <w:bottom w:val="nil"/>
              <w:right w:val="nil"/>
            </w:tcBorders>
            <w:shd w:val="clear" w:color="000000" w:fill="FFFFFF"/>
            <w:noWrap/>
            <w:vAlign w:val="center"/>
            <w:hideMark/>
          </w:tcPr>
          <w:p w14:paraId="7F1905AC" w14:textId="77777777" w:rsidR="00B967AB" w:rsidRPr="00B967AB" w:rsidRDefault="00B967AB" w:rsidP="00B967AB">
            <w:pPr>
              <w:rPr>
                <w:rFonts w:cs="Arial"/>
                <w:b/>
                <w:bCs/>
                <w:color w:val="000000"/>
                <w:sz w:val="20"/>
                <w:szCs w:val="20"/>
                <w:lang w:eastAsia="en-GB"/>
              </w:rPr>
            </w:pPr>
            <w:r w:rsidRPr="00B967AB">
              <w:rPr>
                <w:rFonts w:cs="Arial"/>
                <w:b/>
                <w:bCs/>
                <w:color w:val="000000"/>
                <w:sz w:val="20"/>
                <w:szCs w:val="20"/>
                <w:lang w:eastAsia="en-GB"/>
              </w:rPr>
              <w:t> </w:t>
            </w:r>
          </w:p>
        </w:tc>
        <w:tc>
          <w:tcPr>
            <w:tcW w:w="1120" w:type="dxa"/>
            <w:tcBorders>
              <w:top w:val="nil"/>
              <w:left w:val="nil"/>
              <w:bottom w:val="nil"/>
              <w:right w:val="nil"/>
            </w:tcBorders>
            <w:shd w:val="clear" w:color="000000" w:fill="FFFFFF"/>
            <w:noWrap/>
            <w:vAlign w:val="center"/>
            <w:hideMark/>
          </w:tcPr>
          <w:p w14:paraId="7DFB9A3B" w14:textId="77777777" w:rsidR="00B967AB" w:rsidRPr="00B967AB" w:rsidRDefault="00B967AB" w:rsidP="00B967AB">
            <w:pPr>
              <w:rPr>
                <w:rFonts w:cs="Arial"/>
                <w:b/>
                <w:bCs/>
                <w:color w:val="000000"/>
                <w:sz w:val="20"/>
                <w:szCs w:val="20"/>
                <w:lang w:eastAsia="en-GB"/>
              </w:rPr>
            </w:pPr>
            <w:r w:rsidRPr="00B967AB">
              <w:rPr>
                <w:rFonts w:cs="Arial"/>
                <w:b/>
                <w:bCs/>
                <w:color w:val="000000"/>
                <w:sz w:val="20"/>
                <w:szCs w:val="20"/>
                <w:lang w:eastAsia="en-GB"/>
              </w:rPr>
              <w:t> </w:t>
            </w:r>
          </w:p>
        </w:tc>
        <w:tc>
          <w:tcPr>
            <w:tcW w:w="1038" w:type="dxa"/>
            <w:tcBorders>
              <w:top w:val="nil"/>
              <w:left w:val="nil"/>
              <w:bottom w:val="nil"/>
              <w:right w:val="nil"/>
            </w:tcBorders>
            <w:shd w:val="clear" w:color="000000" w:fill="FFFFFF"/>
            <w:noWrap/>
            <w:vAlign w:val="center"/>
            <w:hideMark/>
          </w:tcPr>
          <w:p w14:paraId="3858C84A" w14:textId="77777777" w:rsidR="00B967AB" w:rsidRPr="00B967AB" w:rsidRDefault="00B967AB" w:rsidP="00B967AB">
            <w:pPr>
              <w:rPr>
                <w:rFonts w:cs="Arial"/>
                <w:b/>
                <w:bCs/>
                <w:color w:val="000000"/>
                <w:sz w:val="20"/>
                <w:szCs w:val="20"/>
                <w:lang w:eastAsia="en-GB"/>
              </w:rPr>
            </w:pPr>
            <w:r w:rsidRPr="00B967AB">
              <w:rPr>
                <w:rFonts w:cs="Arial"/>
                <w:b/>
                <w:bCs/>
                <w:color w:val="000000"/>
                <w:sz w:val="20"/>
                <w:szCs w:val="20"/>
                <w:lang w:eastAsia="en-GB"/>
              </w:rPr>
              <w:t> </w:t>
            </w:r>
          </w:p>
        </w:tc>
        <w:tc>
          <w:tcPr>
            <w:tcW w:w="4111" w:type="dxa"/>
            <w:tcBorders>
              <w:top w:val="nil"/>
              <w:left w:val="nil"/>
              <w:bottom w:val="nil"/>
              <w:right w:val="nil"/>
            </w:tcBorders>
            <w:shd w:val="clear" w:color="000000" w:fill="FFFFFF"/>
            <w:noWrap/>
            <w:vAlign w:val="center"/>
            <w:hideMark/>
          </w:tcPr>
          <w:p w14:paraId="4108864A" w14:textId="77777777" w:rsidR="00B967AB" w:rsidRPr="00B967AB" w:rsidRDefault="00B967AB" w:rsidP="00B967AB">
            <w:pPr>
              <w:rPr>
                <w:rFonts w:cs="Arial"/>
                <w:b/>
                <w:bCs/>
                <w:color w:val="000000"/>
                <w:sz w:val="20"/>
                <w:szCs w:val="20"/>
                <w:lang w:eastAsia="en-GB"/>
              </w:rPr>
            </w:pPr>
            <w:r w:rsidRPr="00B967AB">
              <w:rPr>
                <w:rFonts w:cs="Arial"/>
                <w:b/>
                <w:bCs/>
                <w:color w:val="000000"/>
                <w:sz w:val="20"/>
                <w:szCs w:val="20"/>
                <w:lang w:eastAsia="en-GB"/>
              </w:rPr>
              <w:t>Income</w:t>
            </w:r>
          </w:p>
        </w:tc>
        <w:tc>
          <w:tcPr>
            <w:tcW w:w="961" w:type="dxa"/>
            <w:tcBorders>
              <w:top w:val="nil"/>
              <w:left w:val="nil"/>
              <w:bottom w:val="nil"/>
              <w:right w:val="nil"/>
            </w:tcBorders>
            <w:shd w:val="clear" w:color="000000" w:fill="FFFFFF"/>
            <w:noWrap/>
            <w:vAlign w:val="center"/>
            <w:hideMark/>
          </w:tcPr>
          <w:p w14:paraId="7F14A2B1" w14:textId="77777777" w:rsidR="00B967AB" w:rsidRPr="00B967AB" w:rsidRDefault="00B967AB" w:rsidP="00B967AB">
            <w:pPr>
              <w:rPr>
                <w:rFonts w:cs="Arial"/>
                <w:b/>
                <w:bCs/>
                <w:color w:val="000000"/>
                <w:sz w:val="20"/>
                <w:szCs w:val="20"/>
                <w:lang w:eastAsia="en-GB"/>
              </w:rPr>
            </w:pPr>
            <w:r w:rsidRPr="00B967AB">
              <w:rPr>
                <w:rFonts w:cs="Arial"/>
                <w:b/>
                <w:bCs/>
                <w:color w:val="000000"/>
                <w:sz w:val="20"/>
                <w:szCs w:val="20"/>
                <w:lang w:eastAsia="en-GB"/>
              </w:rPr>
              <w:t> </w:t>
            </w:r>
          </w:p>
        </w:tc>
        <w:tc>
          <w:tcPr>
            <w:tcW w:w="1165" w:type="dxa"/>
            <w:tcBorders>
              <w:top w:val="nil"/>
              <w:left w:val="nil"/>
              <w:bottom w:val="nil"/>
              <w:right w:val="nil"/>
            </w:tcBorders>
            <w:shd w:val="clear" w:color="000000" w:fill="FFFFFF"/>
            <w:noWrap/>
            <w:vAlign w:val="center"/>
            <w:hideMark/>
          </w:tcPr>
          <w:p w14:paraId="55B24A06" w14:textId="77777777" w:rsidR="00B967AB" w:rsidRPr="00B967AB" w:rsidRDefault="00B967AB" w:rsidP="00B967AB">
            <w:pPr>
              <w:rPr>
                <w:rFonts w:cs="Arial"/>
                <w:b/>
                <w:bCs/>
                <w:color w:val="000000"/>
                <w:sz w:val="20"/>
                <w:szCs w:val="20"/>
                <w:lang w:eastAsia="en-GB"/>
              </w:rPr>
            </w:pPr>
            <w:r w:rsidRPr="00B967AB">
              <w:rPr>
                <w:rFonts w:cs="Arial"/>
                <w:b/>
                <w:bCs/>
                <w:color w:val="000000"/>
                <w:sz w:val="20"/>
                <w:szCs w:val="20"/>
                <w:lang w:eastAsia="en-GB"/>
              </w:rPr>
              <w:t> </w:t>
            </w:r>
          </w:p>
        </w:tc>
        <w:tc>
          <w:tcPr>
            <w:tcW w:w="1059" w:type="dxa"/>
            <w:tcBorders>
              <w:top w:val="nil"/>
              <w:left w:val="nil"/>
              <w:bottom w:val="nil"/>
              <w:right w:val="single" w:sz="8" w:space="0" w:color="auto"/>
            </w:tcBorders>
            <w:shd w:val="clear" w:color="000000" w:fill="FFFFFF"/>
            <w:noWrap/>
            <w:vAlign w:val="center"/>
            <w:hideMark/>
          </w:tcPr>
          <w:p w14:paraId="33CEAD69" w14:textId="77777777" w:rsidR="00B967AB" w:rsidRPr="00B967AB" w:rsidRDefault="00B967AB" w:rsidP="00B967AB">
            <w:pPr>
              <w:rPr>
                <w:rFonts w:cs="Arial"/>
                <w:b/>
                <w:bCs/>
                <w:color w:val="000000"/>
                <w:sz w:val="20"/>
                <w:szCs w:val="20"/>
                <w:lang w:eastAsia="en-GB"/>
              </w:rPr>
            </w:pPr>
            <w:r w:rsidRPr="00B967AB">
              <w:rPr>
                <w:rFonts w:cs="Arial"/>
                <w:b/>
                <w:bCs/>
                <w:color w:val="000000"/>
                <w:sz w:val="20"/>
                <w:szCs w:val="20"/>
                <w:lang w:eastAsia="en-GB"/>
              </w:rPr>
              <w:t> </w:t>
            </w:r>
          </w:p>
        </w:tc>
      </w:tr>
      <w:tr w:rsidR="00B967AB" w:rsidRPr="00B967AB" w14:paraId="0032FFA2" w14:textId="77777777" w:rsidTr="00B967AB">
        <w:trPr>
          <w:trHeight w:val="290"/>
        </w:trPr>
        <w:tc>
          <w:tcPr>
            <w:tcW w:w="961" w:type="dxa"/>
            <w:tcBorders>
              <w:top w:val="nil"/>
              <w:left w:val="single" w:sz="8" w:space="0" w:color="auto"/>
              <w:bottom w:val="nil"/>
              <w:right w:val="nil"/>
            </w:tcBorders>
            <w:shd w:val="clear" w:color="000000" w:fill="FFFFFF"/>
            <w:noWrap/>
            <w:vAlign w:val="center"/>
            <w:hideMark/>
          </w:tcPr>
          <w:p w14:paraId="0539532F"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(9,333)</w:t>
            </w:r>
          </w:p>
        </w:tc>
        <w:tc>
          <w:tcPr>
            <w:tcW w:w="1120" w:type="dxa"/>
            <w:tcBorders>
              <w:top w:val="nil"/>
              <w:left w:val="nil"/>
              <w:bottom w:val="nil"/>
              <w:right w:val="nil"/>
            </w:tcBorders>
            <w:shd w:val="clear" w:color="000000" w:fill="FFFFFF"/>
            <w:noWrap/>
            <w:vAlign w:val="center"/>
            <w:hideMark/>
          </w:tcPr>
          <w:p w14:paraId="0338EC86"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0</w:t>
            </w:r>
          </w:p>
        </w:tc>
        <w:tc>
          <w:tcPr>
            <w:tcW w:w="1038" w:type="dxa"/>
            <w:tcBorders>
              <w:top w:val="nil"/>
              <w:left w:val="nil"/>
              <w:bottom w:val="nil"/>
              <w:right w:val="nil"/>
            </w:tcBorders>
            <w:shd w:val="clear" w:color="000000" w:fill="FFFFFF"/>
            <w:noWrap/>
            <w:vAlign w:val="center"/>
            <w:hideMark/>
          </w:tcPr>
          <w:p w14:paraId="39D677DE"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(9,333)</w:t>
            </w:r>
          </w:p>
        </w:tc>
        <w:tc>
          <w:tcPr>
            <w:tcW w:w="4111" w:type="dxa"/>
            <w:tcBorders>
              <w:top w:val="nil"/>
              <w:left w:val="nil"/>
              <w:bottom w:val="nil"/>
              <w:right w:val="nil"/>
            </w:tcBorders>
            <w:shd w:val="clear" w:color="000000" w:fill="FFFFFF"/>
            <w:noWrap/>
            <w:vAlign w:val="center"/>
            <w:hideMark/>
          </w:tcPr>
          <w:p w14:paraId="73C15969"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Fees, charges and other service income *</w:t>
            </w:r>
          </w:p>
        </w:tc>
        <w:tc>
          <w:tcPr>
            <w:tcW w:w="961" w:type="dxa"/>
            <w:tcBorders>
              <w:top w:val="nil"/>
              <w:left w:val="nil"/>
              <w:bottom w:val="nil"/>
              <w:right w:val="nil"/>
            </w:tcBorders>
            <w:shd w:val="clear" w:color="000000" w:fill="FFFFFF"/>
            <w:noWrap/>
            <w:vAlign w:val="center"/>
            <w:hideMark/>
          </w:tcPr>
          <w:p w14:paraId="5B901937"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(8,875)</w:t>
            </w:r>
          </w:p>
        </w:tc>
        <w:tc>
          <w:tcPr>
            <w:tcW w:w="1165" w:type="dxa"/>
            <w:tcBorders>
              <w:top w:val="nil"/>
              <w:left w:val="nil"/>
              <w:bottom w:val="nil"/>
              <w:right w:val="nil"/>
            </w:tcBorders>
            <w:shd w:val="clear" w:color="000000" w:fill="FFFFFF"/>
            <w:noWrap/>
            <w:vAlign w:val="center"/>
            <w:hideMark/>
          </w:tcPr>
          <w:p w14:paraId="4224276D"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(1,243)</w:t>
            </w:r>
          </w:p>
        </w:tc>
        <w:tc>
          <w:tcPr>
            <w:tcW w:w="1059" w:type="dxa"/>
            <w:tcBorders>
              <w:top w:val="nil"/>
              <w:left w:val="nil"/>
              <w:bottom w:val="nil"/>
              <w:right w:val="single" w:sz="8" w:space="0" w:color="auto"/>
            </w:tcBorders>
            <w:shd w:val="clear" w:color="000000" w:fill="FFFFFF"/>
            <w:noWrap/>
            <w:vAlign w:val="center"/>
            <w:hideMark/>
          </w:tcPr>
          <w:p w14:paraId="00094F47"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(10,118)</w:t>
            </w:r>
          </w:p>
        </w:tc>
      </w:tr>
      <w:tr w:rsidR="00B967AB" w:rsidRPr="00B967AB" w14:paraId="16824782" w14:textId="77777777" w:rsidTr="00B967AB">
        <w:trPr>
          <w:trHeight w:val="290"/>
        </w:trPr>
        <w:tc>
          <w:tcPr>
            <w:tcW w:w="961" w:type="dxa"/>
            <w:tcBorders>
              <w:top w:val="nil"/>
              <w:left w:val="single" w:sz="8" w:space="0" w:color="auto"/>
              <w:bottom w:val="nil"/>
              <w:right w:val="nil"/>
            </w:tcBorders>
            <w:shd w:val="clear" w:color="000000" w:fill="FFFFFF"/>
            <w:noWrap/>
            <w:vAlign w:val="center"/>
            <w:hideMark/>
          </w:tcPr>
          <w:p w14:paraId="3F859D1B"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(5,590)</w:t>
            </w:r>
          </w:p>
        </w:tc>
        <w:tc>
          <w:tcPr>
            <w:tcW w:w="1120" w:type="dxa"/>
            <w:tcBorders>
              <w:top w:val="nil"/>
              <w:left w:val="nil"/>
              <w:bottom w:val="nil"/>
              <w:right w:val="nil"/>
            </w:tcBorders>
            <w:shd w:val="clear" w:color="000000" w:fill="FFFFFF"/>
            <w:noWrap/>
            <w:vAlign w:val="center"/>
            <w:hideMark/>
          </w:tcPr>
          <w:p w14:paraId="03E8DF3C"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(199)</w:t>
            </w:r>
          </w:p>
        </w:tc>
        <w:tc>
          <w:tcPr>
            <w:tcW w:w="1038" w:type="dxa"/>
            <w:tcBorders>
              <w:top w:val="nil"/>
              <w:left w:val="nil"/>
              <w:bottom w:val="nil"/>
              <w:right w:val="nil"/>
            </w:tcBorders>
            <w:shd w:val="clear" w:color="000000" w:fill="FFFFFF"/>
            <w:noWrap/>
            <w:vAlign w:val="center"/>
            <w:hideMark/>
          </w:tcPr>
          <w:p w14:paraId="17C8B7B9"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(5,789)</w:t>
            </w:r>
          </w:p>
        </w:tc>
        <w:tc>
          <w:tcPr>
            <w:tcW w:w="4111" w:type="dxa"/>
            <w:tcBorders>
              <w:top w:val="nil"/>
              <w:left w:val="nil"/>
              <w:bottom w:val="nil"/>
              <w:right w:val="nil"/>
            </w:tcBorders>
            <w:shd w:val="clear" w:color="000000" w:fill="FFFFFF"/>
            <w:noWrap/>
            <w:vAlign w:val="center"/>
            <w:hideMark/>
          </w:tcPr>
          <w:p w14:paraId="0A3CED28" w14:textId="77777777" w:rsidR="00B967AB" w:rsidRPr="00B967AB" w:rsidRDefault="00B967AB" w:rsidP="00B967AB">
            <w:pPr>
              <w:rPr>
                <w:rFonts w:cs="Arial"/>
                <w:color w:val="000000"/>
                <w:sz w:val="20"/>
                <w:szCs w:val="20"/>
                <w:lang w:eastAsia="en-GB"/>
              </w:rPr>
            </w:pPr>
            <w:proofErr w:type="spellStart"/>
            <w:r w:rsidRPr="00B967AB">
              <w:rPr>
                <w:rFonts w:cs="Arial"/>
                <w:color w:val="000000"/>
                <w:sz w:val="20"/>
                <w:szCs w:val="20"/>
                <w:lang w:eastAsia="en-GB"/>
              </w:rPr>
              <w:t>Non specific</w:t>
            </w:r>
            <w:proofErr w:type="spellEnd"/>
            <w:r w:rsidRPr="00B967AB">
              <w:rPr>
                <w:rFonts w:cs="Arial"/>
                <w:color w:val="000000"/>
                <w:sz w:val="20"/>
                <w:szCs w:val="20"/>
                <w:lang w:eastAsia="en-GB"/>
              </w:rPr>
              <w:t xml:space="preserve"> grants and contributions </w:t>
            </w:r>
          </w:p>
        </w:tc>
        <w:tc>
          <w:tcPr>
            <w:tcW w:w="961" w:type="dxa"/>
            <w:tcBorders>
              <w:top w:val="nil"/>
              <w:left w:val="nil"/>
              <w:bottom w:val="nil"/>
              <w:right w:val="nil"/>
            </w:tcBorders>
            <w:shd w:val="clear" w:color="000000" w:fill="FFFFFF"/>
            <w:noWrap/>
            <w:vAlign w:val="center"/>
            <w:hideMark/>
          </w:tcPr>
          <w:p w14:paraId="5E62CCCE"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(6,030)</w:t>
            </w:r>
          </w:p>
        </w:tc>
        <w:tc>
          <w:tcPr>
            <w:tcW w:w="1165" w:type="dxa"/>
            <w:tcBorders>
              <w:top w:val="nil"/>
              <w:left w:val="nil"/>
              <w:bottom w:val="nil"/>
              <w:right w:val="nil"/>
            </w:tcBorders>
            <w:shd w:val="clear" w:color="000000" w:fill="FFFFFF"/>
            <w:noWrap/>
            <w:vAlign w:val="center"/>
            <w:hideMark/>
          </w:tcPr>
          <w:p w14:paraId="0F57DA4C"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(120)</w:t>
            </w:r>
          </w:p>
        </w:tc>
        <w:tc>
          <w:tcPr>
            <w:tcW w:w="1059" w:type="dxa"/>
            <w:tcBorders>
              <w:top w:val="nil"/>
              <w:left w:val="nil"/>
              <w:bottom w:val="nil"/>
              <w:right w:val="single" w:sz="8" w:space="0" w:color="auto"/>
            </w:tcBorders>
            <w:shd w:val="clear" w:color="000000" w:fill="FFFFFF"/>
            <w:noWrap/>
            <w:vAlign w:val="center"/>
            <w:hideMark/>
          </w:tcPr>
          <w:p w14:paraId="385E58D2"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(6,150)</w:t>
            </w:r>
          </w:p>
        </w:tc>
      </w:tr>
      <w:tr w:rsidR="00B967AB" w:rsidRPr="00B967AB" w14:paraId="62933A25" w14:textId="77777777" w:rsidTr="00B967AB">
        <w:trPr>
          <w:trHeight w:val="290"/>
        </w:trPr>
        <w:tc>
          <w:tcPr>
            <w:tcW w:w="961" w:type="dxa"/>
            <w:tcBorders>
              <w:top w:val="nil"/>
              <w:left w:val="single" w:sz="8" w:space="0" w:color="auto"/>
              <w:bottom w:val="nil"/>
              <w:right w:val="nil"/>
            </w:tcBorders>
            <w:shd w:val="clear" w:color="000000" w:fill="FFFFFF"/>
            <w:noWrap/>
            <w:vAlign w:val="center"/>
            <w:hideMark/>
          </w:tcPr>
          <w:p w14:paraId="1EFE0A30"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(48)</w:t>
            </w:r>
          </w:p>
        </w:tc>
        <w:tc>
          <w:tcPr>
            <w:tcW w:w="1120" w:type="dxa"/>
            <w:tcBorders>
              <w:top w:val="nil"/>
              <w:left w:val="nil"/>
              <w:bottom w:val="nil"/>
              <w:right w:val="nil"/>
            </w:tcBorders>
            <w:shd w:val="clear" w:color="000000" w:fill="FFFFFF"/>
            <w:noWrap/>
            <w:vAlign w:val="center"/>
            <w:hideMark/>
          </w:tcPr>
          <w:p w14:paraId="12D9A39D"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(884)</w:t>
            </w:r>
          </w:p>
        </w:tc>
        <w:tc>
          <w:tcPr>
            <w:tcW w:w="1038" w:type="dxa"/>
            <w:tcBorders>
              <w:top w:val="nil"/>
              <w:left w:val="nil"/>
              <w:bottom w:val="nil"/>
              <w:right w:val="nil"/>
            </w:tcBorders>
            <w:shd w:val="clear" w:color="000000" w:fill="FFFFFF"/>
            <w:noWrap/>
            <w:vAlign w:val="center"/>
            <w:hideMark/>
          </w:tcPr>
          <w:p w14:paraId="42667F26"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(932)</w:t>
            </w:r>
          </w:p>
        </w:tc>
        <w:tc>
          <w:tcPr>
            <w:tcW w:w="4111" w:type="dxa"/>
            <w:tcBorders>
              <w:top w:val="nil"/>
              <w:left w:val="nil"/>
              <w:bottom w:val="nil"/>
              <w:right w:val="nil"/>
            </w:tcBorders>
            <w:shd w:val="clear" w:color="000000" w:fill="FFFFFF"/>
            <w:noWrap/>
            <w:vAlign w:val="center"/>
            <w:hideMark/>
          </w:tcPr>
          <w:p w14:paraId="7128A8B9"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xml:space="preserve">Investment Property Income </w:t>
            </w:r>
          </w:p>
        </w:tc>
        <w:tc>
          <w:tcPr>
            <w:tcW w:w="961" w:type="dxa"/>
            <w:tcBorders>
              <w:top w:val="nil"/>
              <w:left w:val="nil"/>
              <w:bottom w:val="nil"/>
              <w:right w:val="nil"/>
            </w:tcBorders>
            <w:shd w:val="clear" w:color="000000" w:fill="FFFFFF"/>
            <w:noWrap/>
            <w:vAlign w:val="center"/>
            <w:hideMark/>
          </w:tcPr>
          <w:p w14:paraId="3FDDABD5"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(63)</w:t>
            </w:r>
          </w:p>
        </w:tc>
        <w:tc>
          <w:tcPr>
            <w:tcW w:w="1165" w:type="dxa"/>
            <w:tcBorders>
              <w:top w:val="nil"/>
              <w:left w:val="nil"/>
              <w:bottom w:val="nil"/>
              <w:right w:val="nil"/>
            </w:tcBorders>
            <w:shd w:val="clear" w:color="000000" w:fill="FFFFFF"/>
            <w:noWrap/>
            <w:vAlign w:val="center"/>
            <w:hideMark/>
          </w:tcPr>
          <w:p w14:paraId="3615D023"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(173)</w:t>
            </w:r>
          </w:p>
        </w:tc>
        <w:tc>
          <w:tcPr>
            <w:tcW w:w="1059" w:type="dxa"/>
            <w:tcBorders>
              <w:top w:val="nil"/>
              <w:left w:val="nil"/>
              <w:bottom w:val="nil"/>
              <w:right w:val="single" w:sz="8" w:space="0" w:color="auto"/>
            </w:tcBorders>
            <w:shd w:val="clear" w:color="000000" w:fill="FFFFFF"/>
            <w:noWrap/>
            <w:vAlign w:val="center"/>
            <w:hideMark/>
          </w:tcPr>
          <w:p w14:paraId="7DDEACAC"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(236)</w:t>
            </w:r>
          </w:p>
        </w:tc>
      </w:tr>
      <w:tr w:rsidR="00B967AB" w:rsidRPr="00B967AB" w14:paraId="24662D7D" w14:textId="77777777" w:rsidTr="00B967AB">
        <w:trPr>
          <w:trHeight w:val="290"/>
        </w:trPr>
        <w:tc>
          <w:tcPr>
            <w:tcW w:w="961" w:type="dxa"/>
            <w:tcBorders>
              <w:top w:val="nil"/>
              <w:left w:val="single" w:sz="8" w:space="0" w:color="auto"/>
              <w:bottom w:val="nil"/>
              <w:right w:val="nil"/>
            </w:tcBorders>
            <w:shd w:val="clear" w:color="000000" w:fill="FFFFFF"/>
            <w:noWrap/>
            <w:vAlign w:val="center"/>
            <w:hideMark/>
          </w:tcPr>
          <w:p w14:paraId="452A7A6D"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(4)</w:t>
            </w:r>
          </w:p>
        </w:tc>
        <w:tc>
          <w:tcPr>
            <w:tcW w:w="1120" w:type="dxa"/>
            <w:tcBorders>
              <w:top w:val="nil"/>
              <w:left w:val="nil"/>
              <w:bottom w:val="nil"/>
              <w:right w:val="nil"/>
            </w:tcBorders>
            <w:shd w:val="clear" w:color="000000" w:fill="FFFFFF"/>
            <w:noWrap/>
            <w:vAlign w:val="center"/>
            <w:hideMark/>
          </w:tcPr>
          <w:p w14:paraId="09A79166"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0</w:t>
            </w:r>
          </w:p>
        </w:tc>
        <w:tc>
          <w:tcPr>
            <w:tcW w:w="1038" w:type="dxa"/>
            <w:tcBorders>
              <w:top w:val="nil"/>
              <w:left w:val="nil"/>
              <w:bottom w:val="nil"/>
              <w:right w:val="nil"/>
            </w:tcBorders>
            <w:shd w:val="clear" w:color="000000" w:fill="FFFFFF"/>
            <w:noWrap/>
            <w:vAlign w:val="center"/>
            <w:hideMark/>
          </w:tcPr>
          <w:p w14:paraId="7C81BBCF"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(4)</w:t>
            </w:r>
          </w:p>
        </w:tc>
        <w:tc>
          <w:tcPr>
            <w:tcW w:w="4111" w:type="dxa"/>
            <w:tcBorders>
              <w:top w:val="nil"/>
              <w:left w:val="nil"/>
              <w:bottom w:val="nil"/>
              <w:right w:val="nil"/>
            </w:tcBorders>
            <w:shd w:val="clear" w:color="000000" w:fill="FFFFFF"/>
            <w:noWrap/>
            <w:vAlign w:val="center"/>
            <w:hideMark/>
          </w:tcPr>
          <w:p w14:paraId="180EF886"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Interest &amp; investment income</w:t>
            </w:r>
          </w:p>
        </w:tc>
        <w:tc>
          <w:tcPr>
            <w:tcW w:w="961" w:type="dxa"/>
            <w:tcBorders>
              <w:top w:val="nil"/>
              <w:left w:val="nil"/>
              <w:bottom w:val="nil"/>
              <w:right w:val="nil"/>
            </w:tcBorders>
            <w:shd w:val="clear" w:color="000000" w:fill="FFFFFF"/>
            <w:noWrap/>
            <w:vAlign w:val="center"/>
            <w:hideMark/>
          </w:tcPr>
          <w:p w14:paraId="1160FE21"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(102)</w:t>
            </w:r>
          </w:p>
        </w:tc>
        <w:tc>
          <w:tcPr>
            <w:tcW w:w="1165" w:type="dxa"/>
            <w:tcBorders>
              <w:top w:val="nil"/>
              <w:left w:val="nil"/>
              <w:bottom w:val="nil"/>
              <w:right w:val="nil"/>
            </w:tcBorders>
            <w:shd w:val="clear" w:color="000000" w:fill="FFFFFF"/>
            <w:noWrap/>
            <w:vAlign w:val="center"/>
            <w:hideMark/>
          </w:tcPr>
          <w:p w14:paraId="5101FC79"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0</w:t>
            </w:r>
          </w:p>
        </w:tc>
        <w:tc>
          <w:tcPr>
            <w:tcW w:w="1059" w:type="dxa"/>
            <w:tcBorders>
              <w:top w:val="nil"/>
              <w:left w:val="nil"/>
              <w:bottom w:val="nil"/>
              <w:right w:val="single" w:sz="8" w:space="0" w:color="auto"/>
            </w:tcBorders>
            <w:shd w:val="clear" w:color="000000" w:fill="FFFFFF"/>
            <w:noWrap/>
            <w:vAlign w:val="center"/>
            <w:hideMark/>
          </w:tcPr>
          <w:p w14:paraId="543F888B"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(102)</w:t>
            </w:r>
          </w:p>
        </w:tc>
      </w:tr>
      <w:tr w:rsidR="00B967AB" w:rsidRPr="00B967AB" w14:paraId="0A31AFBF" w14:textId="77777777" w:rsidTr="00B967AB">
        <w:trPr>
          <w:trHeight w:val="290"/>
        </w:trPr>
        <w:tc>
          <w:tcPr>
            <w:tcW w:w="961" w:type="dxa"/>
            <w:tcBorders>
              <w:top w:val="single" w:sz="4" w:space="0" w:color="auto"/>
              <w:left w:val="single" w:sz="8" w:space="0" w:color="auto"/>
              <w:bottom w:val="single" w:sz="4" w:space="0" w:color="auto"/>
              <w:right w:val="nil"/>
            </w:tcBorders>
            <w:shd w:val="clear" w:color="000000" w:fill="FFFFFF"/>
            <w:noWrap/>
            <w:vAlign w:val="center"/>
            <w:hideMark/>
          </w:tcPr>
          <w:p w14:paraId="7EEBEAF3" w14:textId="57735D9E"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(14,975)</w:t>
            </w:r>
          </w:p>
        </w:tc>
        <w:tc>
          <w:tcPr>
            <w:tcW w:w="1120" w:type="dxa"/>
            <w:tcBorders>
              <w:top w:val="single" w:sz="4" w:space="0" w:color="auto"/>
              <w:left w:val="nil"/>
              <w:bottom w:val="single" w:sz="4" w:space="0" w:color="auto"/>
              <w:right w:val="nil"/>
            </w:tcBorders>
            <w:shd w:val="clear" w:color="000000" w:fill="FFFFFF"/>
            <w:noWrap/>
            <w:vAlign w:val="center"/>
            <w:hideMark/>
          </w:tcPr>
          <w:p w14:paraId="3BA1649D"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(1,083)</w:t>
            </w:r>
          </w:p>
        </w:tc>
        <w:tc>
          <w:tcPr>
            <w:tcW w:w="1038" w:type="dxa"/>
            <w:tcBorders>
              <w:top w:val="single" w:sz="4" w:space="0" w:color="auto"/>
              <w:left w:val="nil"/>
              <w:bottom w:val="single" w:sz="4" w:space="0" w:color="auto"/>
              <w:right w:val="nil"/>
            </w:tcBorders>
            <w:shd w:val="clear" w:color="000000" w:fill="FFFFFF"/>
            <w:noWrap/>
            <w:vAlign w:val="center"/>
            <w:hideMark/>
          </w:tcPr>
          <w:p w14:paraId="399DAA16"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(16,058)</w:t>
            </w:r>
          </w:p>
        </w:tc>
        <w:tc>
          <w:tcPr>
            <w:tcW w:w="4111" w:type="dxa"/>
            <w:tcBorders>
              <w:top w:val="single" w:sz="4" w:space="0" w:color="auto"/>
              <w:left w:val="nil"/>
              <w:bottom w:val="single" w:sz="4" w:space="0" w:color="auto"/>
              <w:right w:val="nil"/>
            </w:tcBorders>
            <w:shd w:val="clear" w:color="000000" w:fill="FFFFFF"/>
            <w:noWrap/>
            <w:vAlign w:val="center"/>
            <w:hideMark/>
          </w:tcPr>
          <w:p w14:paraId="7092D9AB"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c>
          <w:tcPr>
            <w:tcW w:w="961" w:type="dxa"/>
            <w:tcBorders>
              <w:top w:val="single" w:sz="4" w:space="0" w:color="auto"/>
              <w:left w:val="nil"/>
              <w:bottom w:val="single" w:sz="4" w:space="0" w:color="auto"/>
              <w:right w:val="nil"/>
            </w:tcBorders>
            <w:shd w:val="clear" w:color="000000" w:fill="FFFFFF"/>
            <w:noWrap/>
            <w:vAlign w:val="center"/>
            <w:hideMark/>
          </w:tcPr>
          <w:p w14:paraId="4CB5607E" w14:textId="6567BABA"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(15,070)</w:t>
            </w:r>
          </w:p>
        </w:tc>
        <w:tc>
          <w:tcPr>
            <w:tcW w:w="1165" w:type="dxa"/>
            <w:tcBorders>
              <w:top w:val="single" w:sz="4" w:space="0" w:color="auto"/>
              <w:left w:val="nil"/>
              <w:bottom w:val="single" w:sz="4" w:space="0" w:color="auto"/>
              <w:right w:val="nil"/>
            </w:tcBorders>
            <w:shd w:val="clear" w:color="000000" w:fill="FFFFFF"/>
            <w:noWrap/>
            <w:vAlign w:val="center"/>
            <w:hideMark/>
          </w:tcPr>
          <w:p w14:paraId="6543A6DA"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(1,536)</w:t>
            </w:r>
          </w:p>
        </w:tc>
        <w:tc>
          <w:tcPr>
            <w:tcW w:w="1059" w:type="dxa"/>
            <w:tcBorders>
              <w:top w:val="single" w:sz="4" w:space="0" w:color="auto"/>
              <w:left w:val="nil"/>
              <w:bottom w:val="single" w:sz="4" w:space="0" w:color="auto"/>
              <w:right w:val="single" w:sz="8" w:space="0" w:color="auto"/>
            </w:tcBorders>
            <w:shd w:val="clear" w:color="000000" w:fill="FFFFFF"/>
            <w:noWrap/>
            <w:vAlign w:val="center"/>
            <w:hideMark/>
          </w:tcPr>
          <w:p w14:paraId="6F64D44E" w14:textId="77777777" w:rsidR="00B967AB" w:rsidRPr="00B967AB" w:rsidRDefault="00B967AB" w:rsidP="00B967AB">
            <w:pPr>
              <w:jc w:val="right"/>
              <w:rPr>
                <w:rFonts w:cs="Arial"/>
                <w:color w:val="000000"/>
                <w:sz w:val="20"/>
                <w:szCs w:val="20"/>
                <w:lang w:eastAsia="en-GB"/>
              </w:rPr>
            </w:pPr>
            <w:r w:rsidRPr="00B967AB">
              <w:rPr>
                <w:rFonts w:cs="Arial"/>
                <w:color w:val="000000"/>
                <w:sz w:val="20"/>
                <w:szCs w:val="20"/>
                <w:lang w:eastAsia="en-GB"/>
              </w:rPr>
              <w:t xml:space="preserve"> (16,606)</w:t>
            </w:r>
          </w:p>
        </w:tc>
      </w:tr>
      <w:tr w:rsidR="00B967AB" w:rsidRPr="00B967AB" w14:paraId="7577B8D0" w14:textId="77777777" w:rsidTr="00B967AB">
        <w:trPr>
          <w:trHeight w:val="290"/>
        </w:trPr>
        <w:tc>
          <w:tcPr>
            <w:tcW w:w="961" w:type="dxa"/>
            <w:tcBorders>
              <w:top w:val="nil"/>
              <w:left w:val="single" w:sz="8" w:space="0" w:color="auto"/>
              <w:bottom w:val="nil"/>
              <w:right w:val="nil"/>
            </w:tcBorders>
            <w:shd w:val="clear" w:color="000000" w:fill="FFFFFF"/>
            <w:noWrap/>
            <w:vAlign w:val="center"/>
            <w:hideMark/>
          </w:tcPr>
          <w:p w14:paraId="2F2FEC28"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c>
          <w:tcPr>
            <w:tcW w:w="1120" w:type="dxa"/>
            <w:tcBorders>
              <w:top w:val="nil"/>
              <w:left w:val="nil"/>
              <w:bottom w:val="nil"/>
              <w:right w:val="nil"/>
            </w:tcBorders>
            <w:shd w:val="clear" w:color="000000" w:fill="FFFFFF"/>
            <w:noWrap/>
            <w:vAlign w:val="center"/>
            <w:hideMark/>
          </w:tcPr>
          <w:p w14:paraId="5C839618"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c>
          <w:tcPr>
            <w:tcW w:w="1038" w:type="dxa"/>
            <w:tcBorders>
              <w:top w:val="nil"/>
              <w:left w:val="nil"/>
              <w:bottom w:val="nil"/>
              <w:right w:val="nil"/>
            </w:tcBorders>
            <w:shd w:val="clear" w:color="000000" w:fill="FFFFFF"/>
            <w:noWrap/>
            <w:vAlign w:val="center"/>
            <w:hideMark/>
          </w:tcPr>
          <w:p w14:paraId="3F21EF36"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c>
          <w:tcPr>
            <w:tcW w:w="4111" w:type="dxa"/>
            <w:tcBorders>
              <w:top w:val="nil"/>
              <w:left w:val="nil"/>
              <w:bottom w:val="nil"/>
              <w:right w:val="nil"/>
            </w:tcBorders>
            <w:shd w:val="clear" w:color="000000" w:fill="FFFFFF"/>
            <w:noWrap/>
            <w:vAlign w:val="center"/>
            <w:hideMark/>
          </w:tcPr>
          <w:p w14:paraId="13E2B1F4"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c>
          <w:tcPr>
            <w:tcW w:w="961" w:type="dxa"/>
            <w:tcBorders>
              <w:top w:val="nil"/>
              <w:left w:val="nil"/>
              <w:bottom w:val="nil"/>
              <w:right w:val="nil"/>
            </w:tcBorders>
            <w:shd w:val="clear" w:color="000000" w:fill="FFFFFF"/>
            <w:noWrap/>
            <w:vAlign w:val="center"/>
            <w:hideMark/>
          </w:tcPr>
          <w:p w14:paraId="7AD18E1E"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c>
          <w:tcPr>
            <w:tcW w:w="1165" w:type="dxa"/>
            <w:tcBorders>
              <w:top w:val="nil"/>
              <w:left w:val="nil"/>
              <w:bottom w:val="nil"/>
              <w:right w:val="nil"/>
            </w:tcBorders>
            <w:shd w:val="clear" w:color="000000" w:fill="FFFFFF"/>
            <w:noWrap/>
            <w:vAlign w:val="center"/>
            <w:hideMark/>
          </w:tcPr>
          <w:p w14:paraId="544602BE"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c>
          <w:tcPr>
            <w:tcW w:w="1059" w:type="dxa"/>
            <w:tcBorders>
              <w:top w:val="nil"/>
              <w:left w:val="nil"/>
              <w:bottom w:val="nil"/>
              <w:right w:val="single" w:sz="8" w:space="0" w:color="auto"/>
            </w:tcBorders>
            <w:shd w:val="clear" w:color="000000" w:fill="FFFFFF"/>
            <w:noWrap/>
            <w:vAlign w:val="center"/>
            <w:hideMark/>
          </w:tcPr>
          <w:p w14:paraId="1CE417F4"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r>
      <w:tr w:rsidR="00B967AB" w:rsidRPr="00B967AB" w14:paraId="4F81CB1A" w14:textId="77777777" w:rsidTr="00B967AB">
        <w:trPr>
          <w:trHeight w:val="300"/>
        </w:trPr>
        <w:tc>
          <w:tcPr>
            <w:tcW w:w="961" w:type="dxa"/>
            <w:tcBorders>
              <w:top w:val="single" w:sz="4" w:space="0" w:color="auto"/>
              <w:left w:val="single" w:sz="8" w:space="0" w:color="auto"/>
              <w:bottom w:val="double" w:sz="6" w:space="0" w:color="auto"/>
              <w:right w:val="nil"/>
            </w:tcBorders>
            <w:shd w:val="clear" w:color="000000" w:fill="FFFFFF"/>
            <w:noWrap/>
            <w:vAlign w:val="center"/>
            <w:hideMark/>
          </w:tcPr>
          <w:p w14:paraId="0CFA0737" w14:textId="77777777" w:rsidR="00B967AB" w:rsidRPr="00B967AB" w:rsidRDefault="00B967AB" w:rsidP="00B967AB">
            <w:pPr>
              <w:jc w:val="right"/>
              <w:rPr>
                <w:rFonts w:cs="Arial"/>
                <w:b/>
                <w:bCs/>
                <w:color w:val="000000"/>
                <w:sz w:val="20"/>
                <w:szCs w:val="20"/>
                <w:lang w:eastAsia="en-GB"/>
              </w:rPr>
            </w:pPr>
            <w:r w:rsidRPr="00B967AB">
              <w:rPr>
                <w:rFonts w:cs="Arial"/>
                <w:b/>
                <w:bCs/>
                <w:color w:val="000000"/>
                <w:sz w:val="20"/>
                <w:szCs w:val="20"/>
                <w:lang w:eastAsia="en-GB"/>
              </w:rPr>
              <w:t xml:space="preserve"> (1,419)</w:t>
            </w:r>
          </w:p>
        </w:tc>
        <w:tc>
          <w:tcPr>
            <w:tcW w:w="1120" w:type="dxa"/>
            <w:tcBorders>
              <w:top w:val="single" w:sz="4" w:space="0" w:color="auto"/>
              <w:left w:val="nil"/>
              <w:bottom w:val="double" w:sz="6" w:space="0" w:color="auto"/>
              <w:right w:val="nil"/>
            </w:tcBorders>
            <w:shd w:val="clear" w:color="000000" w:fill="FFFFFF"/>
            <w:noWrap/>
            <w:vAlign w:val="center"/>
            <w:hideMark/>
          </w:tcPr>
          <w:p w14:paraId="6EF38200" w14:textId="77777777" w:rsidR="00B967AB" w:rsidRPr="00B967AB" w:rsidRDefault="00B967AB" w:rsidP="00B967AB">
            <w:pPr>
              <w:jc w:val="right"/>
              <w:rPr>
                <w:rFonts w:cs="Arial"/>
                <w:b/>
                <w:bCs/>
                <w:color w:val="000000"/>
                <w:sz w:val="20"/>
                <w:szCs w:val="20"/>
                <w:lang w:eastAsia="en-GB"/>
              </w:rPr>
            </w:pPr>
            <w:r w:rsidRPr="00B967AB">
              <w:rPr>
                <w:rFonts w:cs="Arial"/>
                <w:b/>
                <w:bCs/>
                <w:color w:val="000000"/>
                <w:sz w:val="20"/>
                <w:szCs w:val="20"/>
                <w:lang w:eastAsia="en-GB"/>
              </w:rPr>
              <w:t>2,183</w:t>
            </w:r>
          </w:p>
        </w:tc>
        <w:tc>
          <w:tcPr>
            <w:tcW w:w="1038" w:type="dxa"/>
            <w:tcBorders>
              <w:top w:val="single" w:sz="4" w:space="0" w:color="auto"/>
              <w:left w:val="nil"/>
              <w:bottom w:val="double" w:sz="6" w:space="0" w:color="auto"/>
              <w:right w:val="nil"/>
            </w:tcBorders>
            <w:shd w:val="clear" w:color="000000" w:fill="FFFFFF"/>
            <w:noWrap/>
            <w:vAlign w:val="center"/>
            <w:hideMark/>
          </w:tcPr>
          <w:p w14:paraId="0ECF1C9C" w14:textId="77777777" w:rsidR="00B967AB" w:rsidRPr="00B967AB" w:rsidRDefault="00B967AB" w:rsidP="00B967AB">
            <w:pPr>
              <w:jc w:val="right"/>
              <w:rPr>
                <w:rFonts w:cs="Arial"/>
                <w:b/>
                <w:bCs/>
                <w:color w:val="000000"/>
                <w:sz w:val="20"/>
                <w:szCs w:val="20"/>
                <w:lang w:eastAsia="en-GB"/>
              </w:rPr>
            </w:pPr>
            <w:r w:rsidRPr="00B967AB">
              <w:rPr>
                <w:rFonts w:cs="Arial"/>
                <w:b/>
                <w:bCs/>
                <w:color w:val="000000"/>
                <w:sz w:val="20"/>
                <w:szCs w:val="20"/>
                <w:lang w:eastAsia="en-GB"/>
              </w:rPr>
              <w:t>764</w:t>
            </w:r>
          </w:p>
        </w:tc>
        <w:tc>
          <w:tcPr>
            <w:tcW w:w="4111" w:type="dxa"/>
            <w:tcBorders>
              <w:top w:val="single" w:sz="4" w:space="0" w:color="auto"/>
              <w:left w:val="nil"/>
              <w:bottom w:val="double" w:sz="6" w:space="0" w:color="auto"/>
              <w:right w:val="nil"/>
            </w:tcBorders>
            <w:shd w:val="clear" w:color="000000" w:fill="FFFFFF"/>
            <w:noWrap/>
            <w:vAlign w:val="center"/>
            <w:hideMark/>
          </w:tcPr>
          <w:p w14:paraId="3A8941A6" w14:textId="77777777" w:rsidR="00B967AB" w:rsidRPr="00B967AB" w:rsidRDefault="00B967AB" w:rsidP="00B967AB">
            <w:pPr>
              <w:rPr>
                <w:rFonts w:cs="Arial"/>
                <w:b/>
                <w:bCs/>
                <w:color w:val="000000"/>
                <w:sz w:val="20"/>
                <w:szCs w:val="20"/>
                <w:lang w:eastAsia="en-GB"/>
              </w:rPr>
            </w:pPr>
            <w:r w:rsidRPr="00B967AB">
              <w:rPr>
                <w:rFonts w:cs="Arial"/>
                <w:b/>
                <w:bCs/>
                <w:color w:val="000000"/>
                <w:sz w:val="20"/>
                <w:szCs w:val="20"/>
                <w:lang w:eastAsia="en-GB"/>
              </w:rPr>
              <w:t>(Surplus) / Deficit on Provision of Services</w:t>
            </w:r>
          </w:p>
        </w:tc>
        <w:tc>
          <w:tcPr>
            <w:tcW w:w="961" w:type="dxa"/>
            <w:tcBorders>
              <w:top w:val="single" w:sz="4" w:space="0" w:color="auto"/>
              <w:left w:val="nil"/>
              <w:bottom w:val="double" w:sz="6" w:space="0" w:color="auto"/>
              <w:right w:val="nil"/>
            </w:tcBorders>
            <w:shd w:val="clear" w:color="000000" w:fill="FFFFFF"/>
            <w:noWrap/>
            <w:vAlign w:val="center"/>
            <w:hideMark/>
          </w:tcPr>
          <w:p w14:paraId="3EA840E4" w14:textId="77777777" w:rsidR="00B967AB" w:rsidRPr="00B967AB" w:rsidRDefault="00B967AB" w:rsidP="00B967AB">
            <w:pPr>
              <w:jc w:val="right"/>
              <w:rPr>
                <w:rFonts w:cs="Arial"/>
                <w:b/>
                <w:bCs/>
                <w:color w:val="000000"/>
                <w:sz w:val="20"/>
                <w:szCs w:val="20"/>
                <w:lang w:eastAsia="en-GB"/>
              </w:rPr>
            </w:pPr>
            <w:r w:rsidRPr="00B967AB">
              <w:rPr>
                <w:rFonts w:cs="Arial"/>
                <w:b/>
                <w:bCs/>
                <w:color w:val="000000"/>
                <w:sz w:val="20"/>
                <w:szCs w:val="20"/>
                <w:lang w:eastAsia="en-GB"/>
              </w:rPr>
              <w:t xml:space="preserve"> (181)</w:t>
            </w:r>
          </w:p>
        </w:tc>
        <w:tc>
          <w:tcPr>
            <w:tcW w:w="1165" w:type="dxa"/>
            <w:tcBorders>
              <w:top w:val="single" w:sz="4" w:space="0" w:color="auto"/>
              <w:left w:val="nil"/>
              <w:bottom w:val="double" w:sz="6" w:space="0" w:color="auto"/>
              <w:right w:val="nil"/>
            </w:tcBorders>
            <w:shd w:val="clear" w:color="000000" w:fill="FFFFFF"/>
            <w:noWrap/>
            <w:vAlign w:val="center"/>
            <w:hideMark/>
          </w:tcPr>
          <w:p w14:paraId="57CE3E86" w14:textId="77777777" w:rsidR="00B967AB" w:rsidRPr="00B967AB" w:rsidRDefault="00B967AB" w:rsidP="00B967AB">
            <w:pPr>
              <w:jc w:val="right"/>
              <w:rPr>
                <w:rFonts w:cs="Arial"/>
                <w:b/>
                <w:bCs/>
                <w:color w:val="000000"/>
                <w:sz w:val="20"/>
                <w:szCs w:val="20"/>
                <w:lang w:eastAsia="en-GB"/>
              </w:rPr>
            </w:pPr>
            <w:r w:rsidRPr="00B967AB">
              <w:rPr>
                <w:rFonts w:cs="Arial"/>
                <w:b/>
                <w:bCs/>
                <w:color w:val="000000"/>
                <w:sz w:val="20"/>
                <w:szCs w:val="20"/>
                <w:lang w:eastAsia="en-GB"/>
              </w:rPr>
              <w:t>2,640</w:t>
            </w:r>
          </w:p>
        </w:tc>
        <w:tc>
          <w:tcPr>
            <w:tcW w:w="1059" w:type="dxa"/>
            <w:tcBorders>
              <w:top w:val="single" w:sz="4" w:space="0" w:color="auto"/>
              <w:left w:val="nil"/>
              <w:bottom w:val="double" w:sz="6" w:space="0" w:color="auto"/>
              <w:right w:val="single" w:sz="8" w:space="0" w:color="auto"/>
            </w:tcBorders>
            <w:shd w:val="clear" w:color="000000" w:fill="FFFFFF"/>
            <w:noWrap/>
            <w:vAlign w:val="center"/>
            <w:hideMark/>
          </w:tcPr>
          <w:p w14:paraId="1E417066" w14:textId="77777777" w:rsidR="00B967AB" w:rsidRPr="00B967AB" w:rsidRDefault="00B967AB" w:rsidP="00B967AB">
            <w:pPr>
              <w:jc w:val="right"/>
              <w:rPr>
                <w:rFonts w:cs="Arial"/>
                <w:b/>
                <w:bCs/>
                <w:color w:val="000000"/>
                <w:sz w:val="20"/>
                <w:szCs w:val="20"/>
                <w:lang w:eastAsia="en-GB"/>
              </w:rPr>
            </w:pPr>
            <w:r w:rsidRPr="00B967AB">
              <w:rPr>
                <w:rFonts w:cs="Arial"/>
                <w:b/>
                <w:bCs/>
                <w:color w:val="000000"/>
                <w:sz w:val="20"/>
                <w:szCs w:val="20"/>
                <w:lang w:eastAsia="en-GB"/>
              </w:rPr>
              <w:t>2,459</w:t>
            </w:r>
          </w:p>
        </w:tc>
      </w:tr>
      <w:tr w:rsidR="00B967AB" w:rsidRPr="00B967AB" w14:paraId="1F814379" w14:textId="77777777" w:rsidTr="00B967AB">
        <w:trPr>
          <w:trHeight w:val="300"/>
        </w:trPr>
        <w:tc>
          <w:tcPr>
            <w:tcW w:w="961" w:type="dxa"/>
            <w:tcBorders>
              <w:top w:val="nil"/>
              <w:left w:val="single" w:sz="8" w:space="0" w:color="auto"/>
              <w:bottom w:val="nil"/>
              <w:right w:val="nil"/>
            </w:tcBorders>
            <w:shd w:val="clear" w:color="000000" w:fill="FFFFFF"/>
            <w:noWrap/>
            <w:vAlign w:val="center"/>
            <w:hideMark/>
          </w:tcPr>
          <w:p w14:paraId="41597A50"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c>
          <w:tcPr>
            <w:tcW w:w="1120" w:type="dxa"/>
            <w:tcBorders>
              <w:top w:val="nil"/>
              <w:left w:val="nil"/>
              <w:bottom w:val="nil"/>
              <w:right w:val="nil"/>
            </w:tcBorders>
            <w:shd w:val="clear" w:color="000000" w:fill="FFFFFF"/>
            <w:noWrap/>
            <w:vAlign w:val="center"/>
            <w:hideMark/>
          </w:tcPr>
          <w:p w14:paraId="20B62F0C"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c>
          <w:tcPr>
            <w:tcW w:w="1038" w:type="dxa"/>
            <w:tcBorders>
              <w:top w:val="nil"/>
              <w:left w:val="nil"/>
              <w:bottom w:val="nil"/>
              <w:right w:val="nil"/>
            </w:tcBorders>
            <w:shd w:val="clear" w:color="000000" w:fill="FFFFFF"/>
            <w:noWrap/>
            <w:vAlign w:val="center"/>
            <w:hideMark/>
          </w:tcPr>
          <w:p w14:paraId="0837ACFD"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c>
          <w:tcPr>
            <w:tcW w:w="4111" w:type="dxa"/>
            <w:tcBorders>
              <w:top w:val="nil"/>
              <w:left w:val="nil"/>
              <w:bottom w:val="nil"/>
              <w:right w:val="nil"/>
            </w:tcBorders>
            <w:shd w:val="clear" w:color="000000" w:fill="FFFFFF"/>
            <w:noWrap/>
            <w:vAlign w:val="center"/>
            <w:hideMark/>
          </w:tcPr>
          <w:p w14:paraId="5AF42047"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c>
          <w:tcPr>
            <w:tcW w:w="961" w:type="dxa"/>
            <w:tcBorders>
              <w:top w:val="nil"/>
              <w:left w:val="nil"/>
              <w:bottom w:val="nil"/>
              <w:right w:val="nil"/>
            </w:tcBorders>
            <w:shd w:val="clear" w:color="000000" w:fill="FFFFFF"/>
            <w:noWrap/>
            <w:vAlign w:val="center"/>
            <w:hideMark/>
          </w:tcPr>
          <w:p w14:paraId="628730BD"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c>
          <w:tcPr>
            <w:tcW w:w="1165" w:type="dxa"/>
            <w:tcBorders>
              <w:top w:val="nil"/>
              <w:left w:val="nil"/>
              <w:bottom w:val="nil"/>
              <w:right w:val="nil"/>
            </w:tcBorders>
            <w:shd w:val="clear" w:color="000000" w:fill="FFFFFF"/>
            <w:noWrap/>
            <w:vAlign w:val="center"/>
            <w:hideMark/>
          </w:tcPr>
          <w:p w14:paraId="7765A08B"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c>
          <w:tcPr>
            <w:tcW w:w="1059" w:type="dxa"/>
            <w:tcBorders>
              <w:top w:val="nil"/>
              <w:left w:val="nil"/>
              <w:bottom w:val="nil"/>
              <w:right w:val="single" w:sz="8" w:space="0" w:color="auto"/>
            </w:tcBorders>
            <w:shd w:val="clear" w:color="000000" w:fill="FFFFFF"/>
            <w:noWrap/>
            <w:vAlign w:val="center"/>
            <w:hideMark/>
          </w:tcPr>
          <w:p w14:paraId="10CCE531" w14:textId="77777777" w:rsidR="00B967AB" w:rsidRPr="00B967AB" w:rsidRDefault="00B967AB" w:rsidP="00B967AB">
            <w:pPr>
              <w:rPr>
                <w:rFonts w:cs="Arial"/>
                <w:color w:val="000000"/>
                <w:sz w:val="20"/>
                <w:szCs w:val="20"/>
                <w:lang w:eastAsia="en-GB"/>
              </w:rPr>
            </w:pPr>
            <w:r w:rsidRPr="00B967AB">
              <w:rPr>
                <w:rFonts w:cs="Arial"/>
                <w:color w:val="000000"/>
                <w:sz w:val="20"/>
                <w:szCs w:val="20"/>
                <w:lang w:eastAsia="en-GB"/>
              </w:rPr>
              <w:t> </w:t>
            </w:r>
          </w:p>
        </w:tc>
      </w:tr>
      <w:tr w:rsidR="00B967AB" w:rsidRPr="00B967AB" w14:paraId="79B2C1AA" w14:textId="77777777" w:rsidTr="00B967AB">
        <w:trPr>
          <w:trHeight w:val="300"/>
        </w:trPr>
        <w:tc>
          <w:tcPr>
            <w:tcW w:w="961" w:type="dxa"/>
            <w:tcBorders>
              <w:top w:val="single" w:sz="4" w:space="0" w:color="auto"/>
              <w:left w:val="single" w:sz="8" w:space="0" w:color="auto"/>
              <w:bottom w:val="single" w:sz="8" w:space="0" w:color="auto"/>
              <w:right w:val="nil"/>
            </w:tcBorders>
            <w:shd w:val="clear" w:color="000000" w:fill="FFFFFF"/>
            <w:noWrap/>
            <w:vAlign w:val="center"/>
            <w:hideMark/>
          </w:tcPr>
          <w:p w14:paraId="3D06350D" w14:textId="77777777" w:rsidR="00B967AB" w:rsidRPr="00B967AB" w:rsidRDefault="00B967AB" w:rsidP="00B967AB">
            <w:pPr>
              <w:jc w:val="right"/>
              <w:rPr>
                <w:rFonts w:cs="Arial"/>
                <w:b/>
                <w:bCs/>
                <w:color w:val="000000"/>
                <w:sz w:val="20"/>
                <w:szCs w:val="20"/>
                <w:lang w:eastAsia="en-GB"/>
              </w:rPr>
            </w:pPr>
            <w:r w:rsidRPr="00B967AB">
              <w:rPr>
                <w:rFonts w:cs="Arial"/>
                <w:b/>
                <w:bCs/>
                <w:color w:val="000000"/>
                <w:sz w:val="20"/>
                <w:szCs w:val="20"/>
                <w:lang w:eastAsia="en-GB"/>
              </w:rPr>
              <w:t>4,222</w:t>
            </w:r>
          </w:p>
        </w:tc>
        <w:tc>
          <w:tcPr>
            <w:tcW w:w="1120" w:type="dxa"/>
            <w:tcBorders>
              <w:top w:val="single" w:sz="4" w:space="0" w:color="auto"/>
              <w:left w:val="nil"/>
              <w:bottom w:val="single" w:sz="8" w:space="0" w:color="auto"/>
              <w:right w:val="nil"/>
            </w:tcBorders>
            <w:shd w:val="clear" w:color="000000" w:fill="FFFFFF"/>
            <w:noWrap/>
            <w:vAlign w:val="center"/>
            <w:hideMark/>
          </w:tcPr>
          <w:p w14:paraId="322E0120" w14:textId="77777777" w:rsidR="00B967AB" w:rsidRPr="00B967AB" w:rsidRDefault="00B967AB" w:rsidP="00B967AB">
            <w:pPr>
              <w:jc w:val="right"/>
              <w:rPr>
                <w:rFonts w:cs="Arial"/>
                <w:b/>
                <w:bCs/>
                <w:color w:val="000000"/>
                <w:sz w:val="20"/>
                <w:szCs w:val="20"/>
                <w:lang w:eastAsia="en-GB"/>
              </w:rPr>
            </w:pPr>
            <w:r w:rsidRPr="00B967AB">
              <w:rPr>
                <w:rFonts w:cs="Arial"/>
                <w:b/>
                <w:bCs/>
                <w:color w:val="000000"/>
                <w:sz w:val="20"/>
                <w:szCs w:val="20"/>
                <w:lang w:eastAsia="en-GB"/>
              </w:rPr>
              <w:t>2,791</w:t>
            </w:r>
          </w:p>
        </w:tc>
        <w:tc>
          <w:tcPr>
            <w:tcW w:w="1038" w:type="dxa"/>
            <w:tcBorders>
              <w:top w:val="single" w:sz="4" w:space="0" w:color="auto"/>
              <w:left w:val="nil"/>
              <w:bottom w:val="single" w:sz="8" w:space="0" w:color="auto"/>
              <w:right w:val="nil"/>
            </w:tcBorders>
            <w:shd w:val="clear" w:color="000000" w:fill="FFFFFF"/>
            <w:noWrap/>
            <w:vAlign w:val="center"/>
            <w:hideMark/>
          </w:tcPr>
          <w:p w14:paraId="29EDF474" w14:textId="77777777" w:rsidR="00B967AB" w:rsidRPr="00B967AB" w:rsidRDefault="00B967AB" w:rsidP="00B967AB">
            <w:pPr>
              <w:jc w:val="right"/>
              <w:rPr>
                <w:rFonts w:cs="Arial"/>
                <w:b/>
                <w:bCs/>
                <w:color w:val="000000"/>
                <w:sz w:val="20"/>
                <w:szCs w:val="20"/>
                <w:lang w:eastAsia="en-GB"/>
              </w:rPr>
            </w:pPr>
            <w:r w:rsidRPr="00B967AB">
              <w:rPr>
                <w:rFonts w:cs="Arial"/>
                <w:b/>
                <w:bCs/>
                <w:color w:val="000000"/>
                <w:sz w:val="20"/>
                <w:szCs w:val="20"/>
                <w:lang w:eastAsia="en-GB"/>
              </w:rPr>
              <w:t>7,013</w:t>
            </w:r>
          </w:p>
        </w:tc>
        <w:tc>
          <w:tcPr>
            <w:tcW w:w="4111" w:type="dxa"/>
            <w:tcBorders>
              <w:top w:val="single" w:sz="4" w:space="0" w:color="auto"/>
              <w:left w:val="nil"/>
              <w:bottom w:val="single" w:sz="8" w:space="0" w:color="auto"/>
              <w:right w:val="nil"/>
            </w:tcBorders>
            <w:shd w:val="clear" w:color="000000" w:fill="FFFFFF"/>
            <w:noWrap/>
            <w:vAlign w:val="center"/>
            <w:hideMark/>
          </w:tcPr>
          <w:p w14:paraId="28C7D917" w14:textId="77777777" w:rsidR="00B967AB" w:rsidRPr="00B967AB" w:rsidRDefault="00B967AB" w:rsidP="00B967AB">
            <w:pPr>
              <w:rPr>
                <w:rFonts w:cs="Arial"/>
                <w:b/>
                <w:bCs/>
                <w:color w:val="000000"/>
                <w:sz w:val="20"/>
                <w:szCs w:val="20"/>
                <w:lang w:eastAsia="en-GB"/>
              </w:rPr>
            </w:pPr>
            <w:r w:rsidRPr="00B967AB">
              <w:rPr>
                <w:rFonts w:cs="Arial"/>
                <w:b/>
                <w:bCs/>
                <w:color w:val="000000"/>
                <w:sz w:val="20"/>
                <w:szCs w:val="20"/>
                <w:lang w:eastAsia="en-GB"/>
              </w:rPr>
              <w:t>Cost of services *</w:t>
            </w:r>
          </w:p>
        </w:tc>
        <w:tc>
          <w:tcPr>
            <w:tcW w:w="961" w:type="dxa"/>
            <w:tcBorders>
              <w:top w:val="single" w:sz="4" w:space="0" w:color="auto"/>
              <w:left w:val="nil"/>
              <w:bottom w:val="single" w:sz="8" w:space="0" w:color="auto"/>
              <w:right w:val="nil"/>
            </w:tcBorders>
            <w:shd w:val="clear" w:color="000000" w:fill="FFFFFF"/>
            <w:noWrap/>
            <w:vAlign w:val="center"/>
            <w:hideMark/>
          </w:tcPr>
          <w:p w14:paraId="15DFFDC2" w14:textId="77777777" w:rsidR="00B967AB" w:rsidRPr="00B967AB" w:rsidRDefault="00B967AB" w:rsidP="00B967AB">
            <w:pPr>
              <w:jc w:val="right"/>
              <w:rPr>
                <w:rFonts w:cs="Arial"/>
                <w:b/>
                <w:bCs/>
                <w:color w:val="000000"/>
                <w:sz w:val="20"/>
                <w:szCs w:val="20"/>
                <w:lang w:eastAsia="en-GB"/>
              </w:rPr>
            </w:pPr>
            <w:r w:rsidRPr="00B967AB">
              <w:rPr>
                <w:rFonts w:cs="Arial"/>
                <w:b/>
                <w:bCs/>
                <w:color w:val="000000"/>
                <w:sz w:val="20"/>
                <w:szCs w:val="20"/>
                <w:lang w:eastAsia="en-GB"/>
              </w:rPr>
              <w:t>6,014</w:t>
            </w:r>
          </w:p>
        </w:tc>
        <w:tc>
          <w:tcPr>
            <w:tcW w:w="1165" w:type="dxa"/>
            <w:tcBorders>
              <w:top w:val="single" w:sz="4" w:space="0" w:color="auto"/>
              <w:left w:val="nil"/>
              <w:bottom w:val="single" w:sz="8" w:space="0" w:color="auto"/>
              <w:right w:val="nil"/>
            </w:tcBorders>
            <w:shd w:val="clear" w:color="000000" w:fill="FFFFFF"/>
            <w:noWrap/>
            <w:vAlign w:val="center"/>
            <w:hideMark/>
          </w:tcPr>
          <w:p w14:paraId="4D16AA02" w14:textId="77777777" w:rsidR="00B967AB" w:rsidRPr="00B967AB" w:rsidRDefault="00B967AB" w:rsidP="00B967AB">
            <w:pPr>
              <w:jc w:val="right"/>
              <w:rPr>
                <w:rFonts w:cs="Arial"/>
                <w:b/>
                <w:bCs/>
                <w:color w:val="000000"/>
                <w:sz w:val="20"/>
                <w:szCs w:val="20"/>
                <w:lang w:eastAsia="en-GB"/>
              </w:rPr>
            </w:pPr>
            <w:r w:rsidRPr="00B967AB">
              <w:rPr>
                <w:rFonts w:cs="Arial"/>
                <w:b/>
                <w:bCs/>
                <w:color w:val="000000"/>
                <w:sz w:val="20"/>
                <w:szCs w:val="20"/>
                <w:lang w:eastAsia="en-GB"/>
              </w:rPr>
              <w:t>2,392</w:t>
            </w:r>
          </w:p>
        </w:tc>
        <w:tc>
          <w:tcPr>
            <w:tcW w:w="1059" w:type="dxa"/>
            <w:tcBorders>
              <w:top w:val="single" w:sz="4" w:space="0" w:color="auto"/>
              <w:left w:val="nil"/>
              <w:bottom w:val="single" w:sz="8" w:space="0" w:color="auto"/>
              <w:right w:val="single" w:sz="8" w:space="0" w:color="auto"/>
            </w:tcBorders>
            <w:shd w:val="clear" w:color="000000" w:fill="FFFFFF"/>
            <w:noWrap/>
            <w:vAlign w:val="center"/>
            <w:hideMark/>
          </w:tcPr>
          <w:p w14:paraId="7984E0D8" w14:textId="77777777" w:rsidR="00B967AB" w:rsidRPr="00B967AB" w:rsidRDefault="00B967AB" w:rsidP="00B967AB">
            <w:pPr>
              <w:jc w:val="right"/>
              <w:rPr>
                <w:rFonts w:cs="Arial"/>
                <w:b/>
                <w:bCs/>
                <w:color w:val="000000"/>
                <w:sz w:val="20"/>
                <w:szCs w:val="20"/>
                <w:lang w:eastAsia="en-GB"/>
              </w:rPr>
            </w:pPr>
            <w:r w:rsidRPr="00B967AB">
              <w:rPr>
                <w:rFonts w:cs="Arial"/>
                <w:b/>
                <w:bCs/>
                <w:color w:val="000000"/>
                <w:sz w:val="20"/>
                <w:szCs w:val="20"/>
                <w:lang w:eastAsia="en-GB"/>
              </w:rPr>
              <w:t>8,406</w:t>
            </w:r>
          </w:p>
        </w:tc>
      </w:tr>
    </w:tbl>
    <w:p w14:paraId="4C11C906" w14:textId="7DF8C67C" w:rsidR="00BF70F4" w:rsidRPr="004D5CA8" w:rsidRDefault="00BF70F4" w:rsidP="00BF70F4">
      <w:pPr>
        <w:rPr>
          <w:highlight w:val="yellow"/>
        </w:rPr>
      </w:pPr>
    </w:p>
    <w:p w14:paraId="404E1AC9" w14:textId="0B62E503" w:rsidR="000E1426" w:rsidRPr="00FD17A1" w:rsidRDefault="00FD17A1" w:rsidP="000E1426">
      <w:r w:rsidRPr="00FD17A1">
        <w:t>The 2021/22 comparator has been restated on the other service expenditure line to remove the impact of £455k of direct revenue financing. This</w:t>
      </w:r>
      <w:r>
        <w:t xml:space="preserve"> capital financing</w:t>
      </w:r>
      <w:r w:rsidRPr="00FD17A1">
        <w:t xml:space="preserve"> cost does not form part of the surplus/deficit on provision of services but forms part of the balances contained within the MIRS.</w:t>
      </w:r>
    </w:p>
    <w:p w14:paraId="485A4622" w14:textId="018EC802" w:rsidR="00A15CD3" w:rsidRPr="004D5CA8" w:rsidRDefault="00A15CD3" w:rsidP="00040C1A">
      <w:pPr>
        <w:rPr>
          <w:highlight w:val="yellow"/>
        </w:rPr>
      </w:pPr>
    </w:p>
    <w:p w14:paraId="485A4626" w14:textId="77777777" w:rsidR="00FC7127" w:rsidRPr="00967190" w:rsidRDefault="00FC7127" w:rsidP="00FC7127">
      <w:pPr>
        <w:pStyle w:val="Subtitle"/>
        <w:numPr>
          <w:ilvl w:val="0"/>
          <w:numId w:val="0"/>
        </w:numPr>
        <w:tabs>
          <w:tab w:val="left" w:pos="-709"/>
          <w:tab w:val="left" w:pos="-284"/>
          <w:tab w:val="left" w:pos="-142"/>
          <w:tab w:val="left" w:pos="0"/>
          <w:tab w:val="left" w:pos="567"/>
        </w:tabs>
        <w:spacing w:line="240" w:lineRule="atLeast"/>
        <w:ind w:left="567" w:right="680" w:hanging="567"/>
        <w:rPr>
          <w:rFonts w:ascii="Arial" w:hAnsi="Arial" w:cs="Arial"/>
          <w:b/>
          <w:i w:val="0"/>
          <w:sz w:val="23"/>
          <w:szCs w:val="23"/>
          <w:u w:val="none"/>
        </w:rPr>
      </w:pPr>
      <w:r w:rsidRPr="00967190">
        <w:rPr>
          <w:rFonts w:ascii="Arial" w:hAnsi="Arial" w:cs="Arial"/>
          <w:b/>
          <w:i w:val="0"/>
          <w:sz w:val="23"/>
          <w:szCs w:val="23"/>
          <w:u w:val="none"/>
        </w:rPr>
        <w:t>9.</w:t>
      </w:r>
      <w:r w:rsidRPr="00967190">
        <w:rPr>
          <w:rFonts w:ascii="Arial" w:hAnsi="Arial" w:cs="Arial"/>
          <w:b/>
          <w:i w:val="0"/>
          <w:sz w:val="23"/>
          <w:szCs w:val="23"/>
          <w:u w:val="none"/>
        </w:rPr>
        <w:tab/>
      </w:r>
      <w:r w:rsidRPr="00FC3A39">
        <w:rPr>
          <w:rFonts w:ascii="Arial" w:eastAsia="Times New Roman" w:hAnsi="Arial"/>
          <w:b/>
          <w:i w:val="0"/>
          <w:iCs w:val="0"/>
          <w:spacing w:val="0"/>
          <w:sz w:val="23"/>
          <w:szCs w:val="23"/>
          <w:u w:val="none"/>
          <w:lang w:eastAsia="en-US"/>
        </w:rPr>
        <w:t>Movement in Reserves Statement - Adjustments between accounting basis and funding basis under regulations</w:t>
      </w:r>
    </w:p>
    <w:p w14:paraId="485A4627" w14:textId="77777777" w:rsidR="00FC7127" w:rsidRPr="00967190" w:rsidRDefault="00FC7127" w:rsidP="00FC7127">
      <w:pPr>
        <w:pStyle w:val="Subtitle"/>
        <w:numPr>
          <w:ilvl w:val="0"/>
          <w:numId w:val="0"/>
        </w:numPr>
        <w:tabs>
          <w:tab w:val="left" w:pos="-709"/>
          <w:tab w:val="left" w:pos="-284"/>
          <w:tab w:val="left" w:pos="-142"/>
          <w:tab w:val="left" w:pos="0"/>
          <w:tab w:val="left" w:pos="993"/>
          <w:tab w:val="left" w:pos="1276"/>
        </w:tabs>
        <w:spacing w:line="240" w:lineRule="atLeast"/>
        <w:ind w:left="720" w:right="680"/>
        <w:rPr>
          <w:rFonts w:ascii="Arial" w:hAnsi="Arial" w:cs="Arial"/>
          <w:i w:val="0"/>
          <w:sz w:val="28"/>
          <w:szCs w:val="28"/>
          <w:u w:val="none"/>
        </w:rPr>
      </w:pPr>
    </w:p>
    <w:p w14:paraId="485A4628" w14:textId="77777777" w:rsidR="002A4B1E" w:rsidRPr="00967190" w:rsidRDefault="002A4B1E" w:rsidP="002A4B1E">
      <w:pPr>
        <w:ind w:left="567"/>
        <w:rPr>
          <w:lang w:eastAsia="en-GB"/>
        </w:rPr>
      </w:pPr>
      <w:r w:rsidRPr="00967190">
        <w:rPr>
          <w:lang w:eastAsia="en-GB"/>
        </w:rPr>
        <w:t>This note details the adjustments that are made to the total comprehensive income and expenditure recognised by the Authority in the year in accordance with proper accounting practice. The adjustments are made to the resources that are specified by statutory provisions as being available to the Authority to meet future capital and revenue expenditure.</w:t>
      </w:r>
    </w:p>
    <w:p w14:paraId="485A4629" w14:textId="77777777" w:rsidR="002A4B1E" w:rsidRPr="00967190" w:rsidRDefault="002A4B1E" w:rsidP="002A4B1E">
      <w:pPr>
        <w:ind w:left="705"/>
        <w:rPr>
          <w:lang w:eastAsia="en-GB"/>
        </w:rPr>
      </w:pPr>
    </w:p>
    <w:p w14:paraId="485A462A" w14:textId="77777777" w:rsidR="002A4B1E" w:rsidRPr="00967190" w:rsidRDefault="002A4B1E" w:rsidP="002A4B1E">
      <w:pPr>
        <w:ind w:left="567"/>
        <w:rPr>
          <w:lang w:eastAsia="en-GB"/>
        </w:rPr>
      </w:pPr>
      <w:r w:rsidRPr="00967190">
        <w:rPr>
          <w:lang w:eastAsia="en-GB"/>
        </w:rPr>
        <w:lastRenderedPageBreak/>
        <w:t>The following sets outs a description of the capital reserves that the adjustments are made against:</w:t>
      </w:r>
    </w:p>
    <w:p w14:paraId="485A462B" w14:textId="77777777" w:rsidR="002A4B1E" w:rsidRPr="00967190" w:rsidRDefault="002A4B1E" w:rsidP="002A4B1E">
      <w:pPr>
        <w:ind w:left="567"/>
        <w:rPr>
          <w:lang w:eastAsia="en-GB"/>
        </w:rPr>
      </w:pPr>
    </w:p>
    <w:p w14:paraId="485A462C" w14:textId="77777777" w:rsidR="002A4B1E" w:rsidRPr="00967190" w:rsidRDefault="002A4B1E" w:rsidP="002A4B1E">
      <w:pPr>
        <w:ind w:left="567"/>
        <w:rPr>
          <w:lang w:eastAsia="en-GB"/>
        </w:rPr>
      </w:pPr>
      <w:r w:rsidRPr="00967190">
        <w:rPr>
          <w:lang w:eastAsia="en-GB"/>
        </w:rPr>
        <w:t>Capital Receipts Reserve – this reserve holds the proceeds from the disposal of land or other assets, which are restricted by statute from being used other than to fund new capital expenditure or to be set aside to finance historical capital expenditure. The balance on the reserve shows the resources that have yet to be applied for these purposes at year end.</w:t>
      </w:r>
    </w:p>
    <w:p w14:paraId="485A462D" w14:textId="77777777" w:rsidR="002A4B1E" w:rsidRPr="00967190" w:rsidRDefault="002A4B1E" w:rsidP="002A4B1E">
      <w:pPr>
        <w:ind w:left="567"/>
        <w:rPr>
          <w:lang w:eastAsia="en-GB"/>
        </w:rPr>
      </w:pPr>
    </w:p>
    <w:p w14:paraId="485A462E" w14:textId="77777777" w:rsidR="002A4B1E" w:rsidRPr="00967190" w:rsidRDefault="002A4B1E" w:rsidP="002A4B1E">
      <w:pPr>
        <w:ind w:left="567"/>
        <w:rPr>
          <w:lang w:eastAsia="en-GB"/>
        </w:rPr>
      </w:pPr>
      <w:r w:rsidRPr="00967190">
        <w:rPr>
          <w:lang w:eastAsia="en-GB"/>
        </w:rPr>
        <w:t>Capital Grants Unapplied – this reserve holds the grants and contributions received towards capital projects for which the Authority has met the conditions that would otherwise require repayment of the monies but which have yet to be applied to meet expenditure. The balance is restricted by grant terms as to the capital expenditure against which it can be applied and/or the financial year in which this can take place.</w:t>
      </w:r>
    </w:p>
    <w:p w14:paraId="485A462F" w14:textId="77777777" w:rsidR="002A4B1E" w:rsidRPr="00967190" w:rsidRDefault="002A4B1E" w:rsidP="002A4B1E">
      <w:pPr>
        <w:ind w:left="567"/>
        <w:rPr>
          <w:lang w:eastAsia="en-GB"/>
        </w:rPr>
      </w:pPr>
    </w:p>
    <w:p w14:paraId="485A4630" w14:textId="77777777" w:rsidR="002A4B1E" w:rsidRPr="00967190" w:rsidRDefault="002A4B1E" w:rsidP="002A4B1E">
      <w:pPr>
        <w:tabs>
          <w:tab w:val="left" w:pos="567"/>
        </w:tabs>
        <w:ind w:left="567"/>
        <w:rPr>
          <w:bCs/>
        </w:rPr>
      </w:pPr>
      <w:r w:rsidRPr="00967190">
        <w:rPr>
          <w:bCs/>
        </w:rPr>
        <w:t>Capital Adjustment Account - absorbs the timing differences arising from the different arrangements for accounting for the consumption of non-current assets and for financing the acquisition, construction or additions to those assets under statutory provisions. The Account is debited with the cost of acquisition, construction or subsequent costs as depreciation, impairment losses and amortisations are charged to the Comprehensive Income and Expenditure Statement (with reconciling postings to the Revaluation Reserve to convert current and fair value figures to a historical cost basis). The account is credited with the amounts set aside by the authority as finance for the costs of acquisition, construction and subsequent costs. The Account contains accumulated gains and losses on Investment Properties and gains recognised on donated assets that have yet to be consumed by the authority. The account also contains revaluation gains accumulated on property, plant and equipment before 1 April 2007, the date the Revaluation Reserve was created to hold such gains.</w:t>
      </w:r>
    </w:p>
    <w:p w14:paraId="485A4631" w14:textId="77777777" w:rsidR="002A4B1E" w:rsidRPr="00967190" w:rsidRDefault="002A4B1E" w:rsidP="002A4B1E">
      <w:pPr>
        <w:ind w:left="567"/>
        <w:rPr>
          <w:lang w:eastAsia="en-GB"/>
        </w:rPr>
      </w:pPr>
    </w:p>
    <w:p w14:paraId="485A4632" w14:textId="57F3C8CE" w:rsidR="002A4B1E" w:rsidRPr="00967190" w:rsidRDefault="002A4B1E" w:rsidP="002A4B1E">
      <w:pPr>
        <w:tabs>
          <w:tab w:val="left" w:pos="567"/>
        </w:tabs>
        <w:ind w:left="567"/>
      </w:pPr>
      <w:r w:rsidRPr="00967190">
        <w:t>Revaluation Reserve - records the amount by which the current value of fixed assets in the Balance Sheet is greater because they are carried at revalued amounts rather than depreciated historical cost. The balance on the Revaluation Reserve at 31 March 202</w:t>
      </w:r>
      <w:r w:rsidR="000820C9">
        <w:t>3</w:t>
      </w:r>
      <w:r w:rsidRPr="00967190">
        <w:t xml:space="preserve"> in relation to fixed assets represents the revaluation gains accumulated since 1 April 2007. Accumulated gains arising before this date are consolidated into the balance on the Capital Adjustment Account. The balance is reduced when assets with accumulated gains are revalued downwards or impaired, disposed of, or used in the provision of services in which case the gains are consumed through depreciation.</w:t>
      </w:r>
    </w:p>
    <w:p w14:paraId="485A4633" w14:textId="77777777" w:rsidR="00963CED" w:rsidRPr="00967190" w:rsidRDefault="00963CED" w:rsidP="002A4B1E">
      <w:pPr>
        <w:tabs>
          <w:tab w:val="left" w:pos="567"/>
        </w:tabs>
        <w:ind w:left="567"/>
      </w:pPr>
    </w:p>
    <w:p w14:paraId="485A4634" w14:textId="77777777" w:rsidR="00963CED" w:rsidRPr="00F475DE" w:rsidRDefault="00963CED" w:rsidP="002A4B1E">
      <w:pPr>
        <w:tabs>
          <w:tab w:val="left" w:pos="567"/>
        </w:tabs>
        <w:ind w:left="567"/>
      </w:pPr>
      <w:r w:rsidRPr="00F475DE">
        <w:t xml:space="preserve">Deferred Capital Receipts Reserve – Same principles as Capital Receipts Reserve but reflects circumstances where the timing between Asset Sale and Cash Receipt is offset. </w:t>
      </w:r>
    </w:p>
    <w:p w14:paraId="485A4635" w14:textId="77777777" w:rsidR="002A4B1E" w:rsidRPr="00F475DE" w:rsidRDefault="002A4B1E" w:rsidP="002A4B1E">
      <w:pPr>
        <w:ind w:left="720"/>
      </w:pPr>
    </w:p>
    <w:p w14:paraId="1B29BE6C" w14:textId="77777777" w:rsidR="00FC3A39" w:rsidRDefault="00FC3A39" w:rsidP="00AA59C3">
      <w:pPr>
        <w:rPr>
          <w:lang w:eastAsia="en-GB"/>
        </w:rPr>
      </w:pPr>
    </w:p>
    <w:p w14:paraId="26131639" w14:textId="77777777" w:rsidR="00FC3A39" w:rsidRDefault="00FC3A39" w:rsidP="00AA59C3">
      <w:pPr>
        <w:rPr>
          <w:lang w:eastAsia="en-GB"/>
        </w:rPr>
      </w:pPr>
    </w:p>
    <w:p w14:paraId="7F732628" w14:textId="77777777" w:rsidR="00FC3A39" w:rsidRDefault="00FC3A39" w:rsidP="00AA59C3">
      <w:pPr>
        <w:rPr>
          <w:lang w:eastAsia="en-GB"/>
        </w:rPr>
      </w:pPr>
    </w:p>
    <w:p w14:paraId="304E64A6" w14:textId="77777777" w:rsidR="00FC3A39" w:rsidRDefault="00FC3A39" w:rsidP="00AA59C3">
      <w:pPr>
        <w:rPr>
          <w:lang w:eastAsia="en-GB"/>
        </w:rPr>
      </w:pPr>
    </w:p>
    <w:p w14:paraId="7AA6B467" w14:textId="77777777" w:rsidR="00FC3A39" w:rsidRDefault="00FC3A39" w:rsidP="00AA59C3">
      <w:pPr>
        <w:rPr>
          <w:lang w:eastAsia="en-GB"/>
        </w:rPr>
      </w:pPr>
    </w:p>
    <w:p w14:paraId="5916485E" w14:textId="77777777" w:rsidR="00FC3A39" w:rsidRDefault="00FC3A39" w:rsidP="00AA59C3">
      <w:pPr>
        <w:rPr>
          <w:lang w:eastAsia="en-GB"/>
        </w:rPr>
      </w:pPr>
    </w:p>
    <w:p w14:paraId="15520616" w14:textId="77777777" w:rsidR="00FC3A39" w:rsidRDefault="00FC3A39" w:rsidP="00AA59C3">
      <w:pPr>
        <w:rPr>
          <w:lang w:eastAsia="en-GB"/>
        </w:rPr>
      </w:pPr>
    </w:p>
    <w:p w14:paraId="19AAD795" w14:textId="77777777" w:rsidR="00FC3A39" w:rsidRDefault="00FC3A39" w:rsidP="00AA59C3">
      <w:pPr>
        <w:rPr>
          <w:lang w:eastAsia="en-GB"/>
        </w:rPr>
      </w:pPr>
    </w:p>
    <w:p w14:paraId="5BF8F824" w14:textId="77777777" w:rsidR="00FC3A39" w:rsidRDefault="00FC3A39" w:rsidP="00AA59C3">
      <w:pPr>
        <w:rPr>
          <w:lang w:eastAsia="en-GB"/>
        </w:rPr>
      </w:pPr>
    </w:p>
    <w:p w14:paraId="366E8653" w14:textId="77777777" w:rsidR="00FC3A39" w:rsidRDefault="00FC3A39" w:rsidP="00AA59C3">
      <w:pPr>
        <w:rPr>
          <w:lang w:eastAsia="en-GB"/>
        </w:rPr>
      </w:pPr>
    </w:p>
    <w:p w14:paraId="02D9A95D" w14:textId="77777777" w:rsidR="00FC3A39" w:rsidRDefault="00FC3A39" w:rsidP="00AA59C3">
      <w:pPr>
        <w:rPr>
          <w:lang w:eastAsia="en-GB"/>
        </w:rPr>
      </w:pPr>
    </w:p>
    <w:p w14:paraId="6F5B7018" w14:textId="77777777" w:rsidR="00FC3A39" w:rsidRDefault="00FC3A39" w:rsidP="00AA59C3">
      <w:pPr>
        <w:rPr>
          <w:lang w:eastAsia="en-GB"/>
        </w:rPr>
      </w:pPr>
    </w:p>
    <w:p w14:paraId="67875460" w14:textId="77777777" w:rsidR="00FC3A39" w:rsidRDefault="00FC3A39" w:rsidP="00AA59C3">
      <w:pPr>
        <w:rPr>
          <w:lang w:eastAsia="en-GB"/>
        </w:rPr>
      </w:pPr>
    </w:p>
    <w:p w14:paraId="60A0F6F7" w14:textId="77777777" w:rsidR="00FC3A39" w:rsidRDefault="00FC3A39" w:rsidP="00AA59C3">
      <w:pPr>
        <w:rPr>
          <w:lang w:eastAsia="en-GB"/>
        </w:rPr>
      </w:pPr>
    </w:p>
    <w:p w14:paraId="485A4636" w14:textId="4DBCD76B" w:rsidR="004F2552" w:rsidRDefault="00276F53" w:rsidP="00AA59C3">
      <w:pPr>
        <w:rPr>
          <w:lang w:eastAsia="en-GB"/>
        </w:rPr>
      </w:pPr>
      <w:r w:rsidRPr="00F475DE">
        <w:rPr>
          <w:lang w:eastAsia="en-GB"/>
        </w:rPr>
        <w:lastRenderedPageBreak/>
        <w:t>A</w:t>
      </w:r>
      <w:r w:rsidR="004F2552" w:rsidRPr="00F475DE">
        <w:rPr>
          <w:lang w:eastAsia="en-GB"/>
        </w:rPr>
        <w:t xml:space="preserve">djustments between </w:t>
      </w:r>
      <w:r w:rsidR="00F14DFA" w:rsidRPr="00F475DE">
        <w:rPr>
          <w:lang w:eastAsia="en-GB"/>
        </w:rPr>
        <w:t xml:space="preserve">the </w:t>
      </w:r>
      <w:r w:rsidR="004F2552" w:rsidRPr="00F475DE">
        <w:rPr>
          <w:lang w:eastAsia="en-GB"/>
        </w:rPr>
        <w:t>Funding and Accounting Basis</w:t>
      </w:r>
      <w:r w:rsidR="00F14DFA" w:rsidRPr="00F475DE">
        <w:rPr>
          <w:lang w:eastAsia="en-GB"/>
        </w:rPr>
        <w:t xml:space="preserve"> </w:t>
      </w:r>
      <w:r w:rsidR="00963CED" w:rsidRPr="00F475DE">
        <w:rPr>
          <w:lang w:eastAsia="en-GB"/>
        </w:rPr>
        <w:t xml:space="preserve">for Capital Purposes are allocated to Income &amp; Expenditure reporting segments are explained in detail as set out below: </w:t>
      </w:r>
    </w:p>
    <w:p w14:paraId="4DEED180" w14:textId="77777777" w:rsidR="00F475DE" w:rsidRDefault="00F475DE" w:rsidP="00AA59C3">
      <w:pPr>
        <w:rPr>
          <w:lang w:eastAsia="en-GB"/>
        </w:rPr>
      </w:pPr>
    </w:p>
    <w:p w14:paraId="5BA2293B" w14:textId="168DED9E" w:rsidR="00F475DE" w:rsidRPr="00F475DE" w:rsidRDefault="00CB0F1B" w:rsidP="00AA59C3">
      <w:pPr>
        <w:rPr>
          <w:lang w:eastAsia="en-GB"/>
        </w:rPr>
      </w:pPr>
      <w:r w:rsidRPr="00CB0F1B">
        <w:rPr>
          <w:noProof/>
        </w:rPr>
        <w:drawing>
          <wp:inline distT="0" distB="0" distL="0" distR="0" wp14:anchorId="2354C079" wp14:editId="15B8D7E9">
            <wp:extent cx="6106795" cy="2691130"/>
            <wp:effectExtent l="0" t="0" r="8255" b="0"/>
            <wp:docPr id="6764673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6795" cy="2691130"/>
                    </a:xfrm>
                    <a:prstGeom prst="rect">
                      <a:avLst/>
                    </a:prstGeom>
                    <a:noFill/>
                    <a:ln>
                      <a:noFill/>
                    </a:ln>
                  </pic:spPr>
                </pic:pic>
              </a:graphicData>
            </a:graphic>
          </wp:inline>
        </w:drawing>
      </w:r>
    </w:p>
    <w:p w14:paraId="5B8B53D7" w14:textId="77777777" w:rsidR="00E85229" w:rsidRDefault="00E85229" w:rsidP="00AA59C3">
      <w:pPr>
        <w:rPr>
          <w:lang w:eastAsia="en-GB"/>
        </w:rPr>
      </w:pPr>
    </w:p>
    <w:p w14:paraId="608D30D1" w14:textId="77777777" w:rsidR="009F03E4" w:rsidRDefault="009F03E4" w:rsidP="00AA59C3">
      <w:pPr>
        <w:rPr>
          <w:lang w:eastAsia="en-GB"/>
        </w:rPr>
      </w:pPr>
    </w:p>
    <w:p w14:paraId="663864F9" w14:textId="42F5AAE7" w:rsidR="009F03E4" w:rsidRDefault="009F03E4" w:rsidP="00AA59C3">
      <w:pPr>
        <w:rPr>
          <w:lang w:eastAsia="en-GB"/>
        </w:rPr>
      </w:pPr>
      <w:r>
        <w:rPr>
          <w:lang w:eastAsia="en-GB"/>
        </w:rPr>
        <w:t>The comparable figures for 2021/22 were as follows:</w:t>
      </w:r>
    </w:p>
    <w:p w14:paraId="725C909A" w14:textId="77777777" w:rsidR="009F03E4" w:rsidRPr="00F475DE" w:rsidRDefault="009F03E4" w:rsidP="00AA59C3">
      <w:pPr>
        <w:rPr>
          <w:lang w:eastAsia="en-GB"/>
        </w:rPr>
      </w:pPr>
    </w:p>
    <w:p w14:paraId="68859B6D" w14:textId="63460CCF" w:rsidR="000E1426" w:rsidRPr="00F475DE" w:rsidRDefault="00E85229" w:rsidP="00AA59C3">
      <w:pPr>
        <w:rPr>
          <w:lang w:eastAsia="en-GB"/>
        </w:rPr>
      </w:pPr>
      <w:r w:rsidRPr="00F475DE">
        <w:rPr>
          <w:noProof/>
          <w:lang w:eastAsia="en-GB"/>
        </w:rPr>
        <w:drawing>
          <wp:inline distT="0" distB="0" distL="0" distR="0" wp14:anchorId="778371F2" wp14:editId="755F3BE5">
            <wp:extent cx="6153150" cy="2458959"/>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53150" cy="2458959"/>
                    </a:xfrm>
                    <a:prstGeom prst="rect">
                      <a:avLst/>
                    </a:prstGeom>
                    <a:noFill/>
                    <a:ln>
                      <a:noFill/>
                    </a:ln>
                  </pic:spPr>
                </pic:pic>
              </a:graphicData>
            </a:graphic>
          </wp:inline>
        </w:drawing>
      </w:r>
    </w:p>
    <w:p w14:paraId="0DF9396F" w14:textId="0FE82FCB" w:rsidR="000E1426" w:rsidRPr="00F475DE" w:rsidRDefault="000E1426" w:rsidP="00AA59C3">
      <w:pPr>
        <w:rPr>
          <w:lang w:eastAsia="en-GB"/>
        </w:rPr>
      </w:pPr>
    </w:p>
    <w:p w14:paraId="485A4638" w14:textId="7027E3CC" w:rsidR="0057121D" w:rsidRPr="00F475DE" w:rsidRDefault="0057121D" w:rsidP="000E1426">
      <w:pPr>
        <w:ind w:left="142" w:right="403" w:hanging="142"/>
        <w:rPr>
          <w:lang w:eastAsia="en-GB"/>
        </w:rPr>
      </w:pPr>
    </w:p>
    <w:p w14:paraId="485A4639" w14:textId="77777777" w:rsidR="0057121D" w:rsidRPr="00F475DE" w:rsidRDefault="0057121D" w:rsidP="00261CF6">
      <w:pPr>
        <w:ind w:firstLine="567"/>
        <w:rPr>
          <w:lang w:eastAsia="en-GB"/>
        </w:rPr>
      </w:pPr>
    </w:p>
    <w:p w14:paraId="485A463C" w14:textId="77777777" w:rsidR="009367F6" w:rsidRPr="00F475DE" w:rsidRDefault="009367F6" w:rsidP="009367F6">
      <w:pPr>
        <w:pStyle w:val="BodyText"/>
        <w:jc w:val="both"/>
        <w:rPr>
          <w:rFonts w:cs="Arial"/>
          <w:sz w:val="24"/>
          <w:szCs w:val="24"/>
        </w:rPr>
      </w:pPr>
      <w:r w:rsidRPr="00F475DE">
        <w:rPr>
          <w:rFonts w:cs="Arial"/>
          <w:sz w:val="22"/>
          <w:szCs w:val="22"/>
        </w:rPr>
        <w:t xml:space="preserve">Please refer to </w:t>
      </w:r>
      <w:r w:rsidR="00AA59C3" w:rsidRPr="00F475DE">
        <w:rPr>
          <w:rFonts w:cs="Arial"/>
          <w:sz w:val="22"/>
          <w:szCs w:val="22"/>
        </w:rPr>
        <w:t xml:space="preserve">the </w:t>
      </w:r>
      <w:r w:rsidRPr="00F475DE">
        <w:rPr>
          <w:rFonts w:cs="Arial"/>
          <w:sz w:val="22"/>
          <w:szCs w:val="22"/>
        </w:rPr>
        <w:t>Balance Sheet for opening &amp; closing Balances upon each Reserve</w:t>
      </w:r>
      <w:r w:rsidRPr="00F475DE">
        <w:rPr>
          <w:rFonts w:cs="Arial"/>
          <w:sz w:val="24"/>
          <w:szCs w:val="24"/>
        </w:rPr>
        <w:t>.</w:t>
      </w:r>
    </w:p>
    <w:p w14:paraId="485A4641" w14:textId="77777777" w:rsidR="00BC1E55" w:rsidRPr="004D5CA8" w:rsidRDefault="00BC1E55" w:rsidP="009367F6">
      <w:pPr>
        <w:pStyle w:val="CodeNotesExampleText"/>
        <w:ind w:left="567"/>
        <w:rPr>
          <w:rFonts w:cs="Arial"/>
          <w:b/>
          <w:sz w:val="22"/>
          <w:szCs w:val="22"/>
          <w:highlight w:val="yellow"/>
        </w:rPr>
      </w:pPr>
    </w:p>
    <w:p w14:paraId="485A4642" w14:textId="77777777" w:rsidR="009367F6" w:rsidRPr="00F475DE" w:rsidRDefault="00276F53" w:rsidP="009367F6">
      <w:pPr>
        <w:pStyle w:val="CodeNotesExampleText"/>
        <w:ind w:left="567"/>
        <w:rPr>
          <w:rFonts w:cs="Arial"/>
          <w:b/>
          <w:sz w:val="22"/>
          <w:szCs w:val="22"/>
        </w:rPr>
      </w:pPr>
      <w:r w:rsidRPr="00F475DE">
        <w:rPr>
          <w:rFonts w:cs="Arial"/>
          <w:b/>
          <w:sz w:val="22"/>
          <w:szCs w:val="22"/>
        </w:rPr>
        <w:t>A</w:t>
      </w:r>
      <w:r w:rsidR="009367F6" w:rsidRPr="00F475DE">
        <w:rPr>
          <w:rFonts w:cs="Arial"/>
          <w:b/>
          <w:sz w:val="22"/>
          <w:szCs w:val="22"/>
        </w:rPr>
        <w:t>DJUSTMENTS BETWEEN ACCOUNTING BASIS AND FUNDING BASIS UNDER REGULATION</w:t>
      </w:r>
    </w:p>
    <w:p w14:paraId="485A4643" w14:textId="77777777" w:rsidR="0047179C" w:rsidRPr="00F475DE" w:rsidRDefault="0047179C" w:rsidP="009367F6">
      <w:pPr>
        <w:pStyle w:val="CodeNotesExampleText"/>
        <w:ind w:left="567"/>
        <w:rPr>
          <w:rFonts w:cs="Arial"/>
          <w:b/>
          <w:sz w:val="22"/>
          <w:szCs w:val="22"/>
        </w:rPr>
      </w:pPr>
    </w:p>
    <w:p w14:paraId="485A4646" w14:textId="77777777" w:rsidR="002A4B1E" w:rsidRPr="00F475DE" w:rsidRDefault="002A4B1E" w:rsidP="002A4B1E">
      <w:pPr>
        <w:ind w:left="567"/>
        <w:rPr>
          <w:lang w:eastAsia="en-GB"/>
        </w:rPr>
      </w:pPr>
      <w:r w:rsidRPr="00F475DE">
        <w:rPr>
          <w:lang w:eastAsia="en-GB"/>
        </w:rPr>
        <w:t>General Reserve – this is the statutory fund into which all the receipts of the Authority are required to be paid and out of which all liabilities are to be met, except to the extent that statutory rules might provide otherwise. These rules can also specify the financial year in which liabilities and payments should impact on the General Fund Balance, which is not necessarily in accordance with proper accounting practice. The General Fund Balance therefore summarises the resources the Authority is statutorily empowered to spend on its services or on capital investment at the end of the financial year.</w:t>
      </w:r>
    </w:p>
    <w:p w14:paraId="485A4647" w14:textId="77777777" w:rsidR="000A7D9B" w:rsidRPr="00F475DE" w:rsidRDefault="000A7D9B" w:rsidP="000A7D9B">
      <w:pPr>
        <w:rPr>
          <w:lang w:eastAsia="en-GB"/>
        </w:rPr>
      </w:pPr>
    </w:p>
    <w:p w14:paraId="485A4648" w14:textId="77777777" w:rsidR="00DE3440" w:rsidRPr="00F475DE" w:rsidRDefault="000A7D9B" w:rsidP="00317745">
      <w:pPr>
        <w:numPr>
          <w:ilvl w:val="0"/>
          <w:numId w:val="15"/>
        </w:numPr>
        <w:ind w:left="1276" w:hanging="425"/>
        <w:rPr>
          <w:lang w:eastAsia="en-GB"/>
        </w:rPr>
      </w:pPr>
      <w:r w:rsidRPr="00F475DE">
        <w:rPr>
          <w:lang w:eastAsia="en-GB"/>
        </w:rPr>
        <w:lastRenderedPageBreak/>
        <w:t xml:space="preserve">Other </w:t>
      </w:r>
      <w:r w:rsidR="00963CED" w:rsidRPr="00F475DE">
        <w:rPr>
          <w:lang w:eastAsia="en-GB"/>
        </w:rPr>
        <w:t xml:space="preserve">Items as reflected in the Table above shows movements upon the Accumulated Absences Reserve and Financial Instruments Reserve. These are immaterial in nature.  </w:t>
      </w:r>
    </w:p>
    <w:p w14:paraId="485A4649" w14:textId="77777777" w:rsidR="00DE3440" w:rsidRPr="00F475DE" w:rsidRDefault="00DE3440" w:rsidP="006D2EED">
      <w:pPr>
        <w:rPr>
          <w:lang w:eastAsia="en-GB"/>
        </w:rPr>
      </w:pPr>
    </w:p>
    <w:p w14:paraId="2121438D" w14:textId="77777777" w:rsidR="00BE0832" w:rsidRPr="00F475DE" w:rsidRDefault="00BE0832" w:rsidP="006D2EED">
      <w:pPr>
        <w:rPr>
          <w:lang w:eastAsia="en-GB"/>
        </w:rPr>
      </w:pPr>
    </w:p>
    <w:p w14:paraId="3FB7F88C" w14:textId="62B0C77D" w:rsidR="00DA5BD9" w:rsidRPr="00F475DE" w:rsidRDefault="00CB0F1B" w:rsidP="00DC1950">
      <w:pPr>
        <w:jc w:val="center"/>
        <w:rPr>
          <w:noProof/>
          <w:lang w:eastAsia="en-GB"/>
        </w:rPr>
      </w:pPr>
      <w:r w:rsidRPr="00CB0F1B">
        <w:rPr>
          <w:noProof/>
        </w:rPr>
        <w:drawing>
          <wp:inline distT="0" distB="0" distL="0" distR="0" wp14:anchorId="6B59801C" wp14:editId="1EAF15B8">
            <wp:extent cx="6106795" cy="5575935"/>
            <wp:effectExtent l="0" t="0" r="8255" b="5715"/>
            <wp:docPr id="20039409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06795" cy="5575935"/>
                    </a:xfrm>
                    <a:prstGeom prst="rect">
                      <a:avLst/>
                    </a:prstGeom>
                    <a:noFill/>
                    <a:ln>
                      <a:noFill/>
                    </a:ln>
                  </pic:spPr>
                </pic:pic>
              </a:graphicData>
            </a:graphic>
          </wp:inline>
        </w:drawing>
      </w:r>
    </w:p>
    <w:p w14:paraId="14293DAF" w14:textId="30D761DE" w:rsidR="00BE0832" w:rsidRPr="00F475DE" w:rsidRDefault="00BE0832" w:rsidP="00DC1950">
      <w:pPr>
        <w:jc w:val="center"/>
        <w:rPr>
          <w:lang w:eastAsia="en-GB"/>
        </w:rPr>
      </w:pPr>
    </w:p>
    <w:p w14:paraId="468224DA" w14:textId="77777777" w:rsidR="009F03E4" w:rsidRDefault="009F03E4" w:rsidP="00DC1950">
      <w:pPr>
        <w:jc w:val="center"/>
        <w:rPr>
          <w:lang w:eastAsia="en-GB"/>
        </w:rPr>
      </w:pPr>
    </w:p>
    <w:p w14:paraId="7B642070" w14:textId="77777777" w:rsidR="00CB0F1B" w:rsidRDefault="00CB0F1B" w:rsidP="00DC1950">
      <w:pPr>
        <w:jc w:val="center"/>
        <w:rPr>
          <w:lang w:eastAsia="en-GB"/>
        </w:rPr>
      </w:pPr>
    </w:p>
    <w:p w14:paraId="0A83EBE5" w14:textId="77777777" w:rsidR="00CB0F1B" w:rsidRDefault="00CB0F1B" w:rsidP="00DC1950">
      <w:pPr>
        <w:jc w:val="center"/>
        <w:rPr>
          <w:lang w:eastAsia="en-GB"/>
        </w:rPr>
      </w:pPr>
    </w:p>
    <w:p w14:paraId="6FE5944D" w14:textId="77777777" w:rsidR="00CB0F1B" w:rsidRDefault="00CB0F1B" w:rsidP="00DC1950">
      <w:pPr>
        <w:jc w:val="center"/>
        <w:rPr>
          <w:lang w:eastAsia="en-GB"/>
        </w:rPr>
      </w:pPr>
    </w:p>
    <w:p w14:paraId="4607AB7A" w14:textId="77777777" w:rsidR="000D7C2D" w:rsidRDefault="000D7C2D" w:rsidP="00DC1950">
      <w:pPr>
        <w:jc w:val="center"/>
        <w:rPr>
          <w:lang w:eastAsia="en-GB"/>
        </w:rPr>
      </w:pPr>
    </w:p>
    <w:p w14:paraId="4E08FB32" w14:textId="77777777" w:rsidR="000D7C2D" w:rsidRDefault="000D7C2D" w:rsidP="00DC1950">
      <w:pPr>
        <w:jc w:val="center"/>
        <w:rPr>
          <w:lang w:eastAsia="en-GB"/>
        </w:rPr>
      </w:pPr>
    </w:p>
    <w:p w14:paraId="23BD0D71" w14:textId="77777777" w:rsidR="000D7C2D" w:rsidRDefault="000D7C2D" w:rsidP="00DC1950">
      <w:pPr>
        <w:jc w:val="center"/>
        <w:rPr>
          <w:lang w:eastAsia="en-GB"/>
        </w:rPr>
      </w:pPr>
    </w:p>
    <w:p w14:paraId="3040F87C" w14:textId="77777777" w:rsidR="000D7C2D" w:rsidRDefault="000D7C2D" w:rsidP="00DC1950">
      <w:pPr>
        <w:jc w:val="center"/>
        <w:rPr>
          <w:lang w:eastAsia="en-GB"/>
        </w:rPr>
      </w:pPr>
    </w:p>
    <w:p w14:paraId="7E06524D" w14:textId="77777777" w:rsidR="000D7C2D" w:rsidRDefault="000D7C2D" w:rsidP="00DC1950">
      <w:pPr>
        <w:jc w:val="center"/>
        <w:rPr>
          <w:lang w:eastAsia="en-GB"/>
        </w:rPr>
      </w:pPr>
    </w:p>
    <w:p w14:paraId="64EB5DA5" w14:textId="77777777" w:rsidR="000D7C2D" w:rsidRDefault="000D7C2D" w:rsidP="00DC1950">
      <w:pPr>
        <w:jc w:val="center"/>
        <w:rPr>
          <w:lang w:eastAsia="en-GB"/>
        </w:rPr>
      </w:pPr>
    </w:p>
    <w:p w14:paraId="716B3B8E" w14:textId="77777777" w:rsidR="000D7C2D" w:rsidRDefault="000D7C2D" w:rsidP="00DC1950">
      <w:pPr>
        <w:jc w:val="center"/>
        <w:rPr>
          <w:lang w:eastAsia="en-GB"/>
        </w:rPr>
      </w:pPr>
    </w:p>
    <w:p w14:paraId="487C257B" w14:textId="77777777" w:rsidR="000D7C2D" w:rsidRDefault="000D7C2D" w:rsidP="00DC1950">
      <w:pPr>
        <w:jc w:val="center"/>
        <w:rPr>
          <w:lang w:eastAsia="en-GB"/>
        </w:rPr>
      </w:pPr>
    </w:p>
    <w:p w14:paraId="43D8D3CB" w14:textId="77777777" w:rsidR="000D7C2D" w:rsidRDefault="000D7C2D" w:rsidP="00DC1950">
      <w:pPr>
        <w:jc w:val="center"/>
        <w:rPr>
          <w:lang w:eastAsia="en-GB"/>
        </w:rPr>
      </w:pPr>
    </w:p>
    <w:p w14:paraId="2DCA54E5" w14:textId="77777777" w:rsidR="000D7C2D" w:rsidRDefault="000D7C2D" w:rsidP="00DC1950">
      <w:pPr>
        <w:jc w:val="center"/>
        <w:rPr>
          <w:lang w:eastAsia="en-GB"/>
        </w:rPr>
      </w:pPr>
    </w:p>
    <w:p w14:paraId="7B5B989C" w14:textId="77777777" w:rsidR="000D7C2D" w:rsidRDefault="000D7C2D" w:rsidP="00DC1950">
      <w:pPr>
        <w:jc w:val="center"/>
        <w:rPr>
          <w:lang w:eastAsia="en-GB"/>
        </w:rPr>
      </w:pPr>
    </w:p>
    <w:p w14:paraId="5A66FAF8" w14:textId="77777777" w:rsidR="00CB0F1B" w:rsidRDefault="00CB0F1B" w:rsidP="00DC1950">
      <w:pPr>
        <w:jc w:val="center"/>
        <w:rPr>
          <w:lang w:eastAsia="en-GB"/>
        </w:rPr>
      </w:pPr>
    </w:p>
    <w:p w14:paraId="485A464B" w14:textId="77777777" w:rsidR="00E00863" w:rsidRPr="00F475DE" w:rsidRDefault="00E00863" w:rsidP="00317745">
      <w:pPr>
        <w:pStyle w:val="Subtitle"/>
        <w:numPr>
          <w:ilvl w:val="0"/>
          <w:numId w:val="21"/>
        </w:numPr>
        <w:tabs>
          <w:tab w:val="left" w:pos="-709"/>
          <w:tab w:val="left" w:pos="-284"/>
          <w:tab w:val="left" w:pos="-142"/>
          <w:tab w:val="left" w:pos="0"/>
          <w:tab w:val="left" w:pos="567"/>
        </w:tabs>
        <w:spacing w:line="240" w:lineRule="atLeast"/>
        <w:ind w:left="567" w:right="680" w:hanging="567"/>
        <w:rPr>
          <w:rFonts w:ascii="Arial" w:hAnsi="Arial" w:cs="Arial"/>
          <w:b/>
          <w:i w:val="0"/>
          <w:sz w:val="23"/>
          <w:szCs w:val="23"/>
          <w:u w:val="none"/>
        </w:rPr>
      </w:pPr>
      <w:r w:rsidRPr="00F475DE">
        <w:rPr>
          <w:rFonts w:ascii="Arial" w:eastAsia="Times New Roman" w:hAnsi="Arial"/>
          <w:b/>
          <w:i w:val="0"/>
          <w:iCs w:val="0"/>
          <w:spacing w:val="0"/>
          <w:sz w:val="23"/>
          <w:szCs w:val="23"/>
          <w:u w:val="none"/>
          <w:lang w:eastAsia="en-US"/>
        </w:rPr>
        <w:lastRenderedPageBreak/>
        <w:t>Officers’ Remuneration</w:t>
      </w:r>
    </w:p>
    <w:p w14:paraId="485A464C" w14:textId="77777777" w:rsidR="00E00863" w:rsidRPr="00A51DC5" w:rsidRDefault="00E00863" w:rsidP="006D2EED">
      <w:pPr>
        <w:pStyle w:val="Subtitle"/>
        <w:rPr>
          <w:sz w:val="22"/>
        </w:rPr>
      </w:pPr>
    </w:p>
    <w:p w14:paraId="485A464D" w14:textId="7CFCB660" w:rsidR="003E1329" w:rsidRPr="00A51DC5" w:rsidRDefault="0052081A" w:rsidP="00261CF6">
      <w:pPr>
        <w:pStyle w:val="BlockText"/>
        <w:tabs>
          <w:tab w:val="clear" w:pos="1843"/>
          <w:tab w:val="left" w:pos="567"/>
        </w:tabs>
        <w:ind w:left="567" w:right="0"/>
        <w:rPr>
          <w:bCs/>
          <w:sz w:val="23"/>
          <w:szCs w:val="23"/>
        </w:rPr>
      </w:pPr>
      <w:r w:rsidRPr="00A51DC5">
        <w:rPr>
          <w:bCs/>
          <w:sz w:val="23"/>
          <w:szCs w:val="23"/>
        </w:rPr>
        <w:t>The following table discloses details of remuneration to senior employees who earned over £50,000. There were no senior employees earning over £150,000</w:t>
      </w:r>
      <w:r w:rsidR="00CC7E49" w:rsidRPr="00A51DC5">
        <w:rPr>
          <w:bCs/>
          <w:sz w:val="23"/>
          <w:szCs w:val="23"/>
        </w:rPr>
        <w:t>.</w:t>
      </w:r>
    </w:p>
    <w:p w14:paraId="373E48F9" w14:textId="77777777" w:rsidR="00A51DC5" w:rsidRDefault="00A51DC5" w:rsidP="00261CF6">
      <w:pPr>
        <w:pStyle w:val="BlockText"/>
        <w:tabs>
          <w:tab w:val="clear" w:pos="1843"/>
          <w:tab w:val="left" w:pos="567"/>
        </w:tabs>
        <w:ind w:left="567" w:right="0"/>
        <w:rPr>
          <w:bCs/>
          <w:sz w:val="23"/>
          <w:szCs w:val="23"/>
          <w:highlight w:val="yellow"/>
        </w:rPr>
      </w:pPr>
    </w:p>
    <w:tbl>
      <w:tblPr>
        <w:tblW w:w="9356" w:type="dxa"/>
        <w:tblInd w:w="132" w:type="dxa"/>
        <w:tblLayout w:type="fixed"/>
        <w:tblLook w:val="04A0" w:firstRow="1" w:lastRow="0" w:firstColumn="1" w:lastColumn="0" w:noHBand="0" w:noVBand="1"/>
      </w:tblPr>
      <w:tblGrid>
        <w:gridCol w:w="3544"/>
        <w:gridCol w:w="1134"/>
        <w:gridCol w:w="1097"/>
        <w:gridCol w:w="1328"/>
        <w:gridCol w:w="1265"/>
        <w:gridCol w:w="988"/>
      </w:tblGrid>
      <w:tr w:rsidR="00A51DC5" w:rsidRPr="001377F8" w14:paraId="4D207168" w14:textId="77777777" w:rsidTr="001377F8">
        <w:trPr>
          <w:trHeight w:val="1470"/>
        </w:trPr>
        <w:tc>
          <w:tcPr>
            <w:tcW w:w="3544" w:type="dxa"/>
            <w:tcBorders>
              <w:top w:val="single" w:sz="8" w:space="0" w:color="auto"/>
              <w:left w:val="single" w:sz="8" w:space="0" w:color="auto"/>
              <w:bottom w:val="nil"/>
              <w:right w:val="nil"/>
            </w:tcBorders>
            <w:shd w:val="clear" w:color="000000" w:fill="000000"/>
            <w:vAlign w:val="center"/>
            <w:hideMark/>
          </w:tcPr>
          <w:p w14:paraId="3A569890" w14:textId="77777777" w:rsidR="00A51DC5" w:rsidRPr="001377F8" w:rsidRDefault="00A51DC5" w:rsidP="00A51DC5">
            <w:pPr>
              <w:jc w:val="center"/>
              <w:rPr>
                <w:rFonts w:cs="Arial"/>
                <w:b/>
                <w:bCs/>
                <w:color w:val="FFFFFF"/>
                <w:sz w:val="16"/>
                <w:szCs w:val="16"/>
                <w:lang w:eastAsia="en-GB"/>
              </w:rPr>
            </w:pPr>
            <w:r w:rsidRPr="001377F8">
              <w:rPr>
                <w:rFonts w:cs="Arial"/>
                <w:b/>
                <w:bCs/>
                <w:color w:val="FFFFFF"/>
                <w:sz w:val="16"/>
                <w:szCs w:val="16"/>
                <w:lang w:eastAsia="en-GB"/>
              </w:rPr>
              <w:t> </w:t>
            </w:r>
          </w:p>
        </w:tc>
        <w:tc>
          <w:tcPr>
            <w:tcW w:w="1134" w:type="dxa"/>
            <w:tcBorders>
              <w:top w:val="single" w:sz="8" w:space="0" w:color="auto"/>
              <w:left w:val="nil"/>
              <w:bottom w:val="nil"/>
              <w:right w:val="nil"/>
            </w:tcBorders>
            <w:shd w:val="clear" w:color="000000" w:fill="000000"/>
            <w:vAlign w:val="center"/>
            <w:hideMark/>
          </w:tcPr>
          <w:p w14:paraId="272794FF" w14:textId="77777777" w:rsidR="00A51DC5" w:rsidRPr="001377F8" w:rsidRDefault="00A51DC5" w:rsidP="00A51DC5">
            <w:pPr>
              <w:jc w:val="center"/>
              <w:rPr>
                <w:rFonts w:cs="Arial"/>
                <w:b/>
                <w:bCs/>
                <w:color w:val="FFFFFF"/>
                <w:sz w:val="16"/>
                <w:szCs w:val="16"/>
                <w:lang w:eastAsia="en-GB"/>
              </w:rPr>
            </w:pPr>
            <w:r w:rsidRPr="001377F8">
              <w:rPr>
                <w:rFonts w:cs="Arial"/>
                <w:b/>
                <w:bCs/>
                <w:color w:val="FFFFFF"/>
                <w:sz w:val="16"/>
                <w:szCs w:val="16"/>
                <w:lang w:eastAsia="en-GB"/>
              </w:rPr>
              <w:t>Salary including Allowances</w:t>
            </w:r>
          </w:p>
        </w:tc>
        <w:tc>
          <w:tcPr>
            <w:tcW w:w="1097" w:type="dxa"/>
            <w:tcBorders>
              <w:top w:val="single" w:sz="8" w:space="0" w:color="auto"/>
              <w:left w:val="nil"/>
              <w:bottom w:val="nil"/>
              <w:right w:val="nil"/>
            </w:tcBorders>
            <w:shd w:val="clear" w:color="000000" w:fill="000000"/>
            <w:vAlign w:val="center"/>
            <w:hideMark/>
          </w:tcPr>
          <w:p w14:paraId="348BB575" w14:textId="77777777" w:rsidR="00A51DC5" w:rsidRPr="001377F8" w:rsidRDefault="00A51DC5" w:rsidP="00A51DC5">
            <w:pPr>
              <w:jc w:val="center"/>
              <w:rPr>
                <w:rFonts w:cs="Arial"/>
                <w:b/>
                <w:bCs/>
                <w:color w:val="FFFFFF"/>
                <w:sz w:val="16"/>
                <w:szCs w:val="16"/>
                <w:lang w:eastAsia="en-GB"/>
              </w:rPr>
            </w:pPr>
            <w:r w:rsidRPr="001377F8">
              <w:rPr>
                <w:rFonts w:cs="Arial"/>
                <w:b/>
                <w:bCs/>
                <w:color w:val="FFFFFF"/>
                <w:sz w:val="16"/>
                <w:szCs w:val="16"/>
                <w:lang w:eastAsia="en-GB"/>
              </w:rPr>
              <w:t>Expense Allowances</w:t>
            </w:r>
          </w:p>
        </w:tc>
        <w:tc>
          <w:tcPr>
            <w:tcW w:w="1328" w:type="dxa"/>
            <w:tcBorders>
              <w:top w:val="single" w:sz="8" w:space="0" w:color="auto"/>
              <w:left w:val="nil"/>
              <w:bottom w:val="nil"/>
              <w:right w:val="nil"/>
            </w:tcBorders>
            <w:shd w:val="clear" w:color="000000" w:fill="000000"/>
            <w:vAlign w:val="center"/>
            <w:hideMark/>
          </w:tcPr>
          <w:p w14:paraId="6EBD1388" w14:textId="40FA6D8A" w:rsidR="00A51DC5" w:rsidRPr="001377F8" w:rsidRDefault="00A51DC5" w:rsidP="00A51DC5">
            <w:pPr>
              <w:jc w:val="center"/>
              <w:rPr>
                <w:rFonts w:cs="Arial"/>
                <w:b/>
                <w:bCs/>
                <w:color w:val="FFFFFF"/>
                <w:sz w:val="16"/>
                <w:szCs w:val="16"/>
                <w:lang w:eastAsia="en-GB"/>
              </w:rPr>
            </w:pPr>
            <w:r w:rsidRPr="001377F8">
              <w:rPr>
                <w:rFonts w:cs="Arial"/>
                <w:b/>
                <w:bCs/>
                <w:color w:val="FFFFFF"/>
                <w:sz w:val="16"/>
                <w:szCs w:val="16"/>
                <w:lang w:eastAsia="en-GB"/>
              </w:rPr>
              <w:t>Compensation for Loss of Office</w:t>
            </w:r>
          </w:p>
        </w:tc>
        <w:tc>
          <w:tcPr>
            <w:tcW w:w="1265" w:type="dxa"/>
            <w:tcBorders>
              <w:top w:val="single" w:sz="8" w:space="0" w:color="auto"/>
              <w:left w:val="nil"/>
              <w:bottom w:val="nil"/>
              <w:right w:val="nil"/>
            </w:tcBorders>
            <w:shd w:val="clear" w:color="000000" w:fill="000000"/>
            <w:vAlign w:val="center"/>
            <w:hideMark/>
          </w:tcPr>
          <w:p w14:paraId="66A333ED" w14:textId="77777777" w:rsidR="00A51DC5" w:rsidRPr="001377F8" w:rsidRDefault="00A51DC5" w:rsidP="00A51DC5">
            <w:pPr>
              <w:jc w:val="center"/>
              <w:rPr>
                <w:rFonts w:cs="Arial"/>
                <w:b/>
                <w:bCs/>
                <w:color w:val="FFFFFF"/>
                <w:sz w:val="16"/>
                <w:szCs w:val="16"/>
                <w:lang w:eastAsia="en-GB"/>
              </w:rPr>
            </w:pPr>
            <w:r w:rsidRPr="001377F8">
              <w:rPr>
                <w:rFonts w:cs="Arial"/>
                <w:b/>
                <w:bCs/>
                <w:color w:val="FFFFFF"/>
                <w:sz w:val="16"/>
                <w:szCs w:val="16"/>
                <w:lang w:eastAsia="en-GB"/>
              </w:rPr>
              <w:t>Employers Pension Contributions</w:t>
            </w:r>
          </w:p>
        </w:tc>
        <w:tc>
          <w:tcPr>
            <w:tcW w:w="988" w:type="dxa"/>
            <w:tcBorders>
              <w:top w:val="single" w:sz="8" w:space="0" w:color="auto"/>
              <w:left w:val="nil"/>
              <w:bottom w:val="nil"/>
              <w:right w:val="single" w:sz="8" w:space="0" w:color="auto"/>
            </w:tcBorders>
            <w:shd w:val="clear" w:color="000000" w:fill="000000"/>
            <w:vAlign w:val="center"/>
            <w:hideMark/>
          </w:tcPr>
          <w:p w14:paraId="1E0BFE1D" w14:textId="39015DEE" w:rsidR="00A51DC5" w:rsidRPr="001377F8" w:rsidRDefault="00A51DC5" w:rsidP="00A51DC5">
            <w:pPr>
              <w:jc w:val="center"/>
              <w:rPr>
                <w:rFonts w:cs="Arial"/>
                <w:b/>
                <w:bCs/>
                <w:color w:val="FFFFFF"/>
                <w:sz w:val="16"/>
                <w:szCs w:val="16"/>
                <w:lang w:eastAsia="en-GB"/>
              </w:rPr>
            </w:pPr>
            <w:r w:rsidRPr="001377F8">
              <w:rPr>
                <w:rFonts w:cs="Arial"/>
                <w:b/>
                <w:bCs/>
                <w:color w:val="FFFFFF"/>
                <w:sz w:val="16"/>
                <w:szCs w:val="16"/>
                <w:lang w:eastAsia="en-GB"/>
              </w:rPr>
              <w:t xml:space="preserve">Total </w:t>
            </w:r>
          </w:p>
        </w:tc>
      </w:tr>
      <w:tr w:rsidR="00A51DC5" w:rsidRPr="001377F8" w14:paraId="015FEB62" w14:textId="77777777" w:rsidTr="001377F8">
        <w:trPr>
          <w:trHeight w:val="300"/>
        </w:trPr>
        <w:tc>
          <w:tcPr>
            <w:tcW w:w="3544" w:type="dxa"/>
            <w:tcBorders>
              <w:top w:val="nil"/>
              <w:left w:val="single" w:sz="8" w:space="0" w:color="auto"/>
              <w:bottom w:val="single" w:sz="8" w:space="0" w:color="auto"/>
              <w:right w:val="nil"/>
            </w:tcBorders>
            <w:shd w:val="clear" w:color="000000" w:fill="000000"/>
            <w:noWrap/>
            <w:vAlign w:val="center"/>
            <w:hideMark/>
          </w:tcPr>
          <w:p w14:paraId="70AB7892" w14:textId="77777777" w:rsidR="00A51DC5" w:rsidRPr="001377F8" w:rsidRDefault="00A51DC5" w:rsidP="00A51DC5">
            <w:pPr>
              <w:rPr>
                <w:rFonts w:ascii="Calibri" w:hAnsi="Calibri" w:cs="Calibri"/>
                <w:color w:val="000000"/>
                <w:sz w:val="16"/>
                <w:szCs w:val="16"/>
                <w:lang w:eastAsia="en-GB"/>
              </w:rPr>
            </w:pPr>
            <w:r w:rsidRPr="001377F8">
              <w:rPr>
                <w:rFonts w:ascii="Calibri" w:hAnsi="Calibri" w:cs="Calibri"/>
                <w:color w:val="000000"/>
                <w:sz w:val="16"/>
                <w:szCs w:val="16"/>
                <w:lang w:eastAsia="en-GB"/>
              </w:rPr>
              <w:t> </w:t>
            </w:r>
          </w:p>
        </w:tc>
        <w:tc>
          <w:tcPr>
            <w:tcW w:w="1134" w:type="dxa"/>
            <w:tcBorders>
              <w:top w:val="nil"/>
              <w:left w:val="nil"/>
              <w:bottom w:val="single" w:sz="8" w:space="0" w:color="auto"/>
              <w:right w:val="nil"/>
            </w:tcBorders>
            <w:shd w:val="clear" w:color="000000" w:fill="000000"/>
            <w:noWrap/>
            <w:vAlign w:val="center"/>
            <w:hideMark/>
          </w:tcPr>
          <w:p w14:paraId="7D3D786A" w14:textId="77777777" w:rsidR="00A51DC5" w:rsidRPr="001377F8" w:rsidRDefault="00A51DC5" w:rsidP="00A51DC5">
            <w:pPr>
              <w:jc w:val="center"/>
              <w:rPr>
                <w:rFonts w:cs="Arial"/>
                <w:b/>
                <w:bCs/>
                <w:color w:val="FFFFFF"/>
                <w:sz w:val="16"/>
                <w:szCs w:val="16"/>
                <w:lang w:eastAsia="en-GB"/>
              </w:rPr>
            </w:pPr>
            <w:r w:rsidRPr="001377F8">
              <w:rPr>
                <w:rFonts w:cs="Arial"/>
                <w:b/>
                <w:bCs/>
                <w:color w:val="FFFFFF"/>
                <w:sz w:val="16"/>
                <w:szCs w:val="16"/>
                <w:lang w:eastAsia="en-GB"/>
              </w:rPr>
              <w:t>£</w:t>
            </w:r>
          </w:p>
        </w:tc>
        <w:tc>
          <w:tcPr>
            <w:tcW w:w="1097" w:type="dxa"/>
            <w:tcBorders>
              <w:top w:val="nil"/>
              <w:left w:val="nil"/>
              <w:bottom w:val="single" w:sz="8" w:space="0" w:color="auto"/>
              <w:right w:val="nil"/>
            </w:tcBorders>
            <w:shd w:val="clear" w:color="000000" w:fill="000000"/>
            <w:noWrap/>
            <w:vAlign w:val="center"/>
            <w:hideMark/>
          </w:tcPr>
          <w:p w14:paraId="3A41729E" w14:textId="77777777" w:rsidR="00A51DC5" w:rsidRPr="001377F8" w:rsidRDefault="00A51DC5" w:rsidP="00A51DC5">
            <w:pPr>
              <w:jc w:val="center"/>
              <w:rPr>
                <w:rFonts w:cs="Arial"/>
                <w:b/>
                <w:bCs/>
                <w:color w:val="FFFFFF"/>
                <w:sz w:val="16"/>
                <w:szCs w:val="16"/>
                <w:lang w:eastAsia="en-GB"/>
              </w:rPr>
            </w:pPr>
            <w:r w:rsidRPr="001377F8">
              <w:rPr>
                <w:rFonts w:cs="Arial"/>
                <w:b/>
                <w:bCs/>
                <w:color w:val="FFFFFF"/>
                <w:sz w:val="16"/>
                <w:szCs w:val="16"/>
                <w:lang w:eastAsia="en-GB"/>
              </w:rPr>
              <w:t>£</w:t>
            </w:r>
          </w:p>
        </w:tc>
        <w:tc>
          <w:tcPr>
            <w:tcW w:w="1328" w:type="dxa"/>
            <w:tcBorders>
              <w:top w:val="nil"/>
              <w:left w:val="nil"/>
              <w:bottom w:val="single" w:sz="8" w:space="0" w:color="auto"/>
              <w:right w:val="nil"/>
            </w:tcBorders>
            <w:shd w:val="clear" w:color="000000" w:fill="000000"/>
            <w:noWrap/>
            <w:vAlign w:val="center"/>
            <w:hideMark/>
          </w:tcPr>
          <w:p w14:paraId="7BD6F7D4" w14:textId="77777777" w:rsidR="00A51DC5" w:rsidRPr="001377F8" w:rsidRDefault="00A51DC5" w:rsidP="00A51DC5">
            <w:pPr>
              <w:jc w:val="center"/>
              <w:rPr>
                <w:rFonts w:cs="Arial"/>
                <w:b/>
                <w:bCs/>
                <w:color w:val="FFFFFF"/>
                <w:sz w:val="16"/>
                <w:szCs w:val="16"/>
                <w:lang w:eastAsia="en-GB"/>
              </w:rPr>
            </w:pPr>
            <w:r w:rsidRPr="001377F8">
              <w:rPr>
                <w:rFonts w:cs="Arial"/>
                <w:b/>
                <w:bCs/>
                <w:color w:val="FFFFFF"/>
                <w:sz w:val="16"/>
                <w:szCs w:val="16"/>
                <w:lang w:eastAsia="en-GB"/>
              </w:rPr>
              <w:t>£</w:t>
            </w:r>
          </w:p>
        </w:tc>
        <w:tc>
          <w:tcPr>
            <w:tcW w:w="1265" w:type="dxa"/>
            <w:tcBorders>
              <w:top w:val="nil"/>
              <w:left w:val="nil"/>
              <w:bottom w:val="single" w:sz="8" w:space="0" w:color="auto"/>
              <w:right w:val="nil"/>
            </w:tcBorders>
            <w:shd w:val="clear" w:color="000000" w:fill="000000"/>
            <w:noWrap/>
            <w:vAlign w:val="center"/>
            <w:hideMark/>
          </w:tcPr>
          <w:p w14:paraId="00EE7775" w14:textId="77777777" w:rsidR="00A51DC5" w:rsidRPr="001377F8" w:rsidRDefault="00A51DC5" w:rsidP="00A51DC5">
            <w:pPr>
              <w:jc w:val="center"/>
              <w:rPr>
                <w:rFonts w:cs="Arial"/>
                <w:b/>
                <w:bCs/>
                <w:color w:val="FFFFFF"/>
                <w:sz w:val="16"/>
                <w:szCs w:val="16"/>
                <w:lang w:eastAsia="en-GB"/>
              </w:rPr>
            </w:pPr>
            <w:r w:rsidRPr="001377F8">
              <w:rPr>
                <w:rFonts w:cs="Arial"/>
                <w:b/>
                <w:bCs/>
                <w:color w:val="FFFFFF"/>
                <w:sz w:val="16"/>
                <w:szCs w:val="16"/>
                <w:lang w:eastAsia="en-GB"/>
              </w:rPr>
              <w:t>£</w:t>
            </w:r>
          </w:p>
        </w:tc>
        <w:tc>
          <w:tcPr>
            <w:tcW w:w="988" w:type="dxa"/>
            <w:tcBorders>
              <w:top w:val="nil"/>
              <w:left w:val="nil"/>
              <w:bottom w:val="single" w:sz="8" w:space="0" w:color="auto"/>
              <w:right w:val="single" w:sz="8" w:space="0" w:color="auto"/>
            </w:tcBorders>
            <w:shd w:val="clear" w:color="000000" w:fill="000000"/>
            <w:noWrap/>
            <w:vAlign w:val="center"/>
            <w:hideMark/>
          </w:tcPr>
          <w:p w14:paraId="5769654C" w14:textId="77777777" w:rsidR="00A51DC5" w:rsidRPr="001377F8" w:rsidRDefault="00A51DC5" w:rsidP="00A51DC5">
            <w:pPr>
              <w:jc w:val="center"/>
              <w:rPr>
                <w:rFonts w:cs="Arial"/>
                <w:b/>
                <w:bCs/>
                <w:color w:val="FFFFFF"/>
                <w:sz w:val="16"/>
                <w:szCs w:val="16"/>
                <w:lang w:eastAsia="en-GB"/>
              </w:rPr>
            </w:pPr>
            <w:r w:rsidRPr="001377F8">
              <w:rPr>
                <w:rFonts w:cs="Arial"/>
                <w:b/>
                <w:bCs/>
                <w:color w:val="FFFFFF"/>
                <w:sz w:val="16"/>
                <w:szCs w:val="16"/>
                <w:lang w:eastAsia="en-GB"/>
              </w:rPr>
              <w:t>£</w:t>
            </w:r>
          </w:p>
        </w:tc>
      </w:tr>
      <w:tr w:rsidR="00A51DC5" w:rsidRPr="001377F8" w14:paraId="35E91715" w14:textId="77777777" w:rsidTr="001377F8">
        <w:trPr>
          <w:trHeight w:val="290"/>
        </w:trPr>
        <w:tc>
          <w:tcPr>
            <w:tcW w:w="3544" w:type="dxa"/>
            <w:tcBorders>
              <w:top w:val="nil"/>
              <w:left w:val="single" w:sz="8" w:space="0" w:color="auto"/>
              <w:bottom w:val="nil"/>
              <w:right w:val="nil"/>
            </w:tcBorders>
            <w:shd w:val="clear" w:color="000000" w:fill="FFFFFF"/>
            <w:noWrap/>
            <w:vAlign w:val="center"/>
            <w:hideMark/>
          </w:tcPr>
          <w:p w14:paraId="57D5B437" w14:textId="77777777" w:rsidR="00A51DC5" w:rsidRPr="001377F8" w:rsidRDefault="00A51DC5" w:rsidP="00A51DC5">
            <w:pPr>
              <w:rPr>
                <w:rFonts w:ascii="Calibri" w:hAnsi="Calibri" w:cs="Calibri"/>
                <w:color w:val="000000"/>
                <w:sz w:val="16"/>
                <w:szCs w:val="16"/>
                <w:lang w:eastAsia="en-GB"/>
              </w:rPr>
            </w:pPr>
            <w:r w:rsidRPr="001377F8">
              <w:rPr>
                <w:rFonts w:ascii="Calibri" w:hAnsi="Calibri" w:cs="Calibri"/>
                <w:color w:val="000000"/>
                <w:sz w:val="16"/>
                <w:szCs w:val="16"/>
                <w:lang w:eastAsia="en-GB"/>
              </w:rPr>
              <w:t> </w:t>
            </w:r>
          </w:p>
        </w:tc>
        <w:tc>
          <w:tcPr>
            <w:tcW w:w="1134" w:type="dxa"/>
            <w:tcBorders>
              <w:top w:val="nil"/>
              <w:left w:val="nil"/>
              <w:bottom w:val="nil"/>
              <w:right w:val="nil"/>
            </w:tcBorders>
            <w:shd w:val="clear" w:color="000000" w:fill="FFFFFF"/>
            <w:noWrap/>
            <w:vAlign w:val="center"/>
            <w:hideMark/>
          </w:tcPr>
          <w:p w14:paraId="3C6F82DD" w14:textId="77777777" w:rsidR="00A51DC5" w:rsidRPr="001377F8" w:rsidRDefault="00A51DC5" w:rsidP="00A51DC5">
            <w:pPr>
              <w:jc w:val="center"/>
              <w:rPr>
                <w:rFonts w:cs="Arial"/>
                <w:b/>
                <w:bCs/>
                <w:color w:val="FFFFFF"/>
                <w:sz w:val="16"/>
                <w:szCs w:val="16"/>
                <w:lang w:eastAsia="en-GB"/>
              </w:rPr>
            </w:pPr>
            <w:r w:rsidRPr="001377F8">
              <w:rPr>
                <w:rFonts w:cs="Arial"/>
                <w:b/>
                <w:bCs/>
                <w:color w:val="FFFFFF"/>
                <w:sz w:val="16"/>
                <w:szCs w:val="16"/>
                <w:lang w:eastAsia="en-GB"/>
              </w:rPr>
              <w:t> </w:t>
            </w:r>
          </w:p>
        </w:tc>
        <w:tc>
          <w:tcPr>
            <w:tcW w:w="1097" w:type="dxa"/>
            <w:tcBorders>
              <w:top w:val="nil"/>
              <w:left w:val="nil"/>
              <w:bottom w:val="nil"/>
              <w:right w:val="nil"/>
            </w:tcBorders>
            <w:shd w:val="clear" w:color="000000" w:fill="FFFFFF"/>
            <w:noWrap/>
            <w:vAlign w:val="center"/>
            <w:hideMark/>
          </w:tcPr>
          <w:p w14:paraId="1CFC3845" w14:textId="77777777" w:rsidR="00A51DC5" w:rsidRPr="001377F8" w:rsidRDefault="00A51DC5" w:rsidP="00A51DC5">
            <w:pPr>
              <w:jc w:val="center"/>
              <w:rPr>
                <w:rFonts w:cs="Arial"/>
                <w:b/>
                <w:bCs/>
                <w:color w:val="FFFFFF"/>
                <w:sz w:val="16"/>
                <w:szCs w:val="16"/>
                <w:lang w:eastAsia="en-GB"/>
              </w:rPr>
            </w:pPr>
            <w:r w:rsidRPr="001377F8">
              <w:rPr>
                <w:rFonts w:cs="Arial"/>
                <w:b/>
                <w:bCs/>
                <w:color w:val="FFFFFF"/>
                <w:sz w:val="16"/>
                <w:szCs w:val="16"/>
                <w:lang w:eastAsia="en-GB"/>
              </w:rPr>
              <w:t> </w:t>
            </w:r>
          </w:p>
        </w:tc>
        <w:tc>
          <w:tcPr>
            <w:tcW w:w="1328" w:type="dxa"/>
            <w:tcBorders>
              <w:top w:val="nil"/>
              <w:left w:val="nil"/>
              <w:bottom w:val="nil"/>
              <w:right w:val="nil"/>
            </w:tcBorders>
            <w:shd w:val="clear" w:color="000000" w:fill="FFFFFF"/>
            <w:noWrap/>
            <w:vAlign w:val="center"/>
            <w:hideMark/>
          </w:tcPr>
          <w:p w14:paraId="13077CB2" w14:textId="77777777" w:rsidR="00A51DC5" w:rsidRPr="001377F8" w:rsidRDefault="00A51DC5" w:rsidP="00A51DC5">
            <w:pPr>
              <w:jc w:val="center"/>
              <w:rPr>
                <w:rFonts w:cs="Arial"/>
                <w:b/>
                <w:bCs/>
                <w:color w:val="FFFFFF"/>
                <w:sz w:val="16"/>
                <w:szCs w:val="16"/>
                <w:lang w:eastAsia="en-GB"/>
              </w:rPr>
            </w:pPr>
            <w:r w:rsidRPr="001377F8">
              <w:rPr>
                <w:rFonts w:cs="Arial"/>
                <w:b/>
                <w:bCs/>
                <w:color w:val="FFFFFF"/>
                <w:sz w:val="16"/>
                <w:szCs w:val="16"/>
                <w:lang w:eastAsia="en-GB"/>
              </w:rPr>
              <w:t> </w:t>
            </w:r>
          </w:p>
        </w:tc>
        <w:tc>
          <w:tcPr>
            <w:tcW w:w="1265" w:type="dxa"/>
            <w:tcBorders>
              <w:top w:val="nil"/>
              <w:left w:val="nil"/>
              <w:bottom w:val="nil"/>
              <w:right w:val="nil"/>
            </w:tcBorders>
            <w:shd w:val="clear" w:color="000000" w:fill="FFFFFF"/>
            <w:noWrap/>
            <w:vAlign w:val="center"/>
            <w:hideMark/>
          </w:tcPr>
          <w:p w14:paraId="21477309" w14:textId="77777777" w:rsidR="00A51DC5" w:rsidRPr="001377F8" w:rsidRDefault="00A51DC5" w:rsidP="00A51DC5">
            <w:pPr>
              <w:jc w:val="center"/>
              <w:rPr>
                <w:rFonts w:cs="Arial"/>
                <w:b/>
                <w:bCs/>
                <w:color w:val="FFFFFF"/>
                <w:sz w:val="16"/>
                <w:szCs w:val="16"/>
                <w:lang w:eastAsia="en-GB"/>
              </w:rPr>
            </w:pPr>
            <w:r w:rsidRPr="001377F8">
              <w:rPr>
                <w:rFonts w:cs="Arial"/>
                <w:b/>
                <w:bCs/>
                <w:color w:val="FFFFFF"/>
                <w:sz w:val="16"/>
                <w:szCs w:val="16"/>
                <w:lang w:eastAsia="en-GB"/>
              </w:rPr>
              <w:t> </w:t>
            </w:r>
          </w:p>
        </w:tc>
        <w:tc>
          <w:tcPr>
            <w:tcW w:w="988" w:type="dxa"/>
            <w:tcBorders>
              <w:top w:val="nil"/>
              <w:left w:val="nil"/>
              <w:bottom w:val="nil"/>
              <w:right w:val="single" w:sz="8" w:space="0" w:color="auto"/>
            </w:tcBorders>
            <w:shd w:val="clear" w:color="000000" w:fill="FFFFFF"/>
            <w:noWrap/>
            <w:vAlign w:val="center"/>
            <w:hideMark/>
          </w:tcPr>
          <w:p w14:paraId="4D14E6DA" w14:textId="77777777" w:rsidR="00A51DC5" w:rsidRPr="001377F8" w:rsidRDefault="00A51DC5" w:rsidP="00A51DC5">
            <w:pPr>
              <w:jc w:val="center"/>
              <w:rPr>
                <w:rFonts w:cs="Arial"/>
                <w:b/>
                <w:bCs/>
                <w:color w:val="FFFFFF"/>
                <w:sz w:val="16"/>
                <w:szCs w:val="16"/>
                <w:lang w:eastAsia="en-GB"/>
              </w:rPr>
            </w:pPr>
            <w:r w:rsidRPr="001377F8">
              <w:rPr>
                <w:rFonts w:cs="Arial"/>
                <w:b/>
                <w:bCs/>
                <w:color w:val="FFFFFF"/>
                <w:sz w:val="16"/>
                <w:szCs w:val="16"/>
                <w:lang w:eastAsia="en-GB"/>
              </w:rPr>
              <w:t> </w:t>
            </w:r>
          </w:p>
        </w:tc>
      </w:tr>
      <w:tr w:rsidR="00A51DC5" w:rsidRPr="001377F8" w14:paraId="7DBCFE10" w14:textId="77777777" w:rsidTr="001377F8">
        <w:trPr>
          <w:trHeight w:val="290"/>
        </w:trPr>
        <w:tc>
          <w:tcPr>
            <w:tcW w:w="3544" w:type="dxa"/>
            <w:tcBorders>
              <w:top w:val="nil"/>
              <w:left w:val="single" w:sz="8" w:space="0" w:color="auto"/>
              <w:bottom w:val="nil"/>
              <w:right w:val="nil"/>
            </w:tcBorders>
            <w:shd w:val="clear" w:color="auto" w:fill="auto"/>
            <w:noWrap/>
            <w:vAlign w:val="bottom"/>
            <w:hideMark/>
          </w:tcPr>
          <w:p w14:paraId="4A274AF5" w14:textId="77777777" w:rsidR="00A51DC5" w:rsidRPr="001377F8" w:rsidRDefault="00A51DC5" w:rsidP="00A51DC5">
            <w:pPr>
              <w:rPr>
                <w:rFonts w:cs="Arial"/>
                <w:b/>
                <w:bCs/>
                <w:color w:val="000000"/>
                <w:sz w:val="16"/>
                <w:szCs w:val="16"/>
                <w:lang w:eastAsia="en-GB"/>
              </w:rPr>
            </w:pPr>
            <w:r w:rsidRPr="001377F8">
              <w:rPr>
                <w:rFonts w:cs="Arial"/>
                <w:b/>
                <w:bCs/>
                <w:color w:val="000000"/>
                <w:sz w:val="16"/>
                <w:szCs w:val="16"/>
                <w:lang w:eastAsia="en-GB"/>
              </w:rPr>
              <w:t>2022/23</w:t>
            </w:r>
          </w:p>
        </w:tc>
        <w:tc>
          <w:tcPr>
            <w:tcW w:w="1134" w:type="dxa"/>
            <w:tcBorders>
              <w:top w:val="nil"/>
              <w:left w:val="nil"/>
              <w:bottom w:val="nil"/>
              <w:right w:val="nil"/>
            </w:tcBorders>
            <w:shd w:val="clear" w:color="auto" w:fill="auto"/>
            <w:noWrap/>
            <w:vAlign w:val="bottom"/>
            <w:hideMark/>
          </w:tcPr>
          <w:p w14:paraId="60737A09" w14:textId="77777777" w:rsidR="00A51DC5" w:rsidRPr="001377F8" w:rsidRDefault="00A51DC5" w:rsidP="00A51DC5">
            <w:pPr>
              <w:rPr>
                <w:rFonts w:cs="Arial"/>
                <w:b/>
                <w:bCs/>
                <w:color w:val="000000"/>
                <w:sz w:val="16"/>
                <w:szCs w:val="16"/>
                <w:lang w:eastAsia="en-GB"/>
              </w:rPr>
            </w:pPr>
          </w:p>
        </w:tc>
        <w:tc>
          <w:tcPr>
            <w:tcW w:w="1097" w:type="dxa"/>
            <w:tcBorders>
              <w:top w:val="nil"/>
              <w:left w:val="nil"/>
              <w:bottom w:val="nil"/>
              <w:right w:val="nil"/>
            </w:tcBorders>
            <w:shd w:val="clear" w:color="auto" w:fill="auto"/>
            <w:noWrap/>
            <w:vAlign w:val="bottom"/>
            <w:hideMark/>
          </w:tcPr>
          <w:p w14:paraId="491D8DBA" w14:textId="77777777" w:rsidR="00A51DC5" w:rsidRPr="001377F8" w:rsidRDefault="00A51DC5" w:rsidP="00A51DC5">
            <w:pPr>
              <w:rPr>
                <w:rFonts w:ascii="Times New Roman" w:hAnsi="Times New Roman"/>
                <w:sz w:val="16"/>
                <w:szCs w:val="16"/>
                <w:lang w:eastAsia="en-GB"/>
              </w:rPr>
            </w:pPr>
          </w:p>
        </w:tc>
        <w:tc>
          <w:tcPr>
            <w:tcW w:w="1328" w:type="dxa"/>
            <w:tcBorders>
              <w:top w:val="nil"/>
              <w:left w:val="nil"/>
              <w:bottom w:val="nil"/>
              <w:right w:val="nil"/>
            </w:tcBorders>
            <w:shd w:val="clear" w:color="auto" w:fill="auto"/>
            <w:noWrap/>
            <w:vAlign w:val="bottom"/>
            <w:hideMark/>
          </w:tcPr>
          <w:p w14:paraId="0DD2E5FA" w14:textId="77777777" w:rsidR="00A51DC5" w:rsidRPr="001377F8" w:rsidRDefault="00A51DC5" w:rsidP="00A51DC5">
            <w:pPr>
              <w:rPr>
                <w:rFonts w:ascii="Times New Roman" w:hAnsi="Times New Roman"/>
                <w:sz w:val="16"/>
                <w:szCs w:val="16"/>
                <w:lang w:eastAsia="en-GB"/>
              </w:rPr>
            </w:pPr>
          </w:p>
        </w:tc>
        <w:tc>
          <w:tcPr>
            <w:tcW w:w="1265" w:type="dxa"/>
            <w:tcBorders>
              <w:top w:val="nil"/>
              <w:left w:val="nil"/>
              <w:bottom w:val="nil"/>
              <w:right w:val="nil"/>
            </w:tcBorders>
            <w:shd w:val="clear" w:color="auto" w:fill="auto"/>
            <w:noWrap/>
            <w:vAlign w:val="bottom"/>
            <w:hideMark/>
          </w:tcPr>
          <w:p w14:paraId="6ECD4D48" w14:textId="77777777" w:rsidR="00A51DC5" w:rsidRPr="001377F8" w:rsidRDefault="00A51DC5" w:rsidP="00A51DC5">
            <w:pPr>
              <w:rPr>
                <w:rFonts w:ascii="Times New Roman" w:hAnsi="Times New Roman"/>
                <w:sz w:val="16"/>
                <w:szCs w:val="16"/>
                <w:lang w:eastAsia="en-GB"/>
              </w:rPr>
            </w:pPr>
          </w:p>
        </w:tc>
        <w:tc>
          <w:tcPr>
            <w:tcW w:w="988" w:type="dxa"/>
            <w:tcBorders>
              <w:top w:val="nil"/>
              <w:left w:val="nil"/>
              <w:bottom w:val="nil"/>
              <w:right w:val="single" w:sz="8" w:space="0" w:color="auto"/>
            </w:tcBorders>
            <w:shd w:val="clear" w:color="auto" w:fill="auto"/>
            <w:noWrap/>
            <w:vAlign w:val="bottom"/>
            <w:hideMark/>
          </w:tcPr>
          <w:p w14:paraId="551ABC77" w14:textId="77777777" w:rsidR="00A51DC5" w:rsidRPr="001377F8" w:rsidRDefault="00A51DC5" w:rsidP="00A51DC5">
            <w:pPr>
              <w:rPr>
                <w:rFonts w:cs="Arial"/>
                <w:color w:val="000000"/>
                <w:sz w:val="16"/>
                <w:szCs w:val="16"/>
                <w:lang w:eastAsia="en-GB"/>
              </w:rPr>
            </w:pPr>
            <w:r w:rsidRPr="001377F8">
              <w:rPr>
                <w:rFonts w:cs="Arial"/>
                <w:color w:val="000000"/>
                <w:sz w:val="16"/>
                <w:szCs w:val="16"/>
                <w:lang w:eastAsia="en-GB"/>
              </w:rPr>
              <w:t> </w:t>
            </w:r>
          </w:p>
        </w:tc>
      </w:tr>
      <w:tr w:rsidR="00A51DC5" w:rsidRPr="001377F8" w14:paraId="38C37F07" w14:textId="77777777" w:rsidTr="001377F8">
        <w:trPr>
          <w:trHeight w:val="290"/>
        </w:trPr>
        <w:tc>
          <w:tcPr>
            <w:tcW w:w="3544" w:type="dxa"/>
            <w:tcBorders>
              <w:top w:val="nil"/>
              <w:left w:val="single" w:sz="8" w:space="0" w:color="auto"/>
              <w:bottom w:val="nil"/>
              <w:right w:val="nil"/>
            </w:tcBorders>
            <w:shd w:val="clear" w:color="auto" w:fill="auto"/>
            <w:noWrap/>
            <w:vAlign w:val="bottom"/>
            <w:hideMark/>
          </w:tcPr>
          <w:p w14:paraId="566BAE09" w14:textId="77777777" w:rsidR="00A51DC5" w:rsidRPr="001377F8" w:rsidRDefault="00A51DC5" w:rsidP="00A51DC5">
            <w:pPr>
              <w:rPr>
                <w:rFonts w:cs="Arial"/>
                <w:color w:val="000000"/>
                <w:sz w:val="16"/>
                <w:szCs w:val="16"/>
                <w:lang w:eastAsia="en-GB"/>
              </w:rPr>
            </w:pPr>
            <w:r w:rsidRPr="001377F8">
              <w:rPr>
                <w:rFonts w:cs="Arial"/>
                <w:color w:val="000000"/>
                <w:sz w:val="16"/>
                <w:szCs w:val="16"/>
                <w:lang w:eastAsia="en-GB"/>
              </w:rPr>
              <w:t>Chief Executive</w:t>
            </w:r>
          </w:p>
        </w:tc>
        <w:tc>
          <w:tcPr>
            <w:tcW w:w="1134" w:type="dxa"/>
            <w:tcBorders>
              <w:top w:val="nil"/>
              <w:left w:val="nil"/>
              <w:bottom w:val="nil"/>
              <w:right w:val="nil"/>
            </w:tcBorders>
            <w:shd w:val="clear" w:color="auto" w:fill="auto"/>
            <w:noWrap/>
            <w:vAlign w:val="bottom"/>
            <w:hideMark/>
          </w:tcPr>
          <w:p w14:paraId="7C0083C8"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104,262</w:t>
            </w:r>
          </w:p>
        </w:tc>
        <w:tc>
          <w:tcPr>
            <w:tcW w:w="1097" w:type="dxa"/>
            <w:tcBorders>
              <w:top w:val="nil"/>
              <w:left w:val="nil"/>
              <w:bottom w:val="nil"/>
              <w:right w:val="nil"/>
            </w:tcBorders>
            <w:shd w:val="clear" w:color="auto" w:fill="auto"/>
            <w:noWrap/>
            <w:vAlign w:val="bottom"/>
            <w:hideMark/>
          </w:tcPr>
          <w:p w14:paraId="3ACC7ACE"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0</w:t>
            </w:r>
          </w:p>
        </w:tc>
        <w:tc>
          <w:tcPr>
            <w:tcW w:w="1328" w:type="dxa"/>
            <w:tcBorders>
              <w:top w:val="nil"/>
              <w:left w:val="nil"/>
              <w:bottom w:val="nil"/>
              <w:right w:val="nil"/>
            </w:tcBorders>
            <w:shd w:val="clear" w:color="auto" w:fill="auto"/>
            <w:noWrap/>
            <w:vAlign w:val="bottom"/>
            <w:hideMark/>
          </w:tcPr>
          <w:p w14:paraId="51900115"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0</w:t>
            </w:r>
          </w:p>
        </w:tc>
        <w:tc>
          <w:tcPr>
            <w:tcW w:w="1265" w:type="dxa"/>
            <w:tcBorders>
              <w:top w:val="nil"/>
              <w:left w:val="nil"/>
              <w:bottom w:val="nil"/>
              <w:right w:val="nil"/>
            </w:tcBorders>
            <w:shd w:val="clear" w:color="auto" w:fill="auto"/>
            <w:noWrap/>
            <w:vAlign w:val="bottom"/>
            <w:hideMark/>
          </w:tcPr>
          <w:p w14:paraId="1C867113"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18,098</w:t>
            </w:r>
          </w:p>
        </w:tc>
        <w:tc>
          <w:tcPr>
            <w:tcW w:w="988" w:type="dxa"/>
            <w:tcBorders>
              <w:top w:val="nil"/>
              <w:left w:val="nil"/>
              <w:bottom w:val="nil"/>
              <w:right w:val="single" w:sz="8" w:space="0" w:color="auto"/>
            </w:tcBorders>
            <w:shd w:val="clear" w:color="auto" w:fill="auto"/>
            <w:noWrap/>
            <w:vAlign w:val="bottom"/>
            <w:hideMark/>
          </w:tcPr>
          <w:p w14:paraId="6CACB5B3"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122,360</w:t>
            </w:r>
          </w:p>
        </w:tc>
      </w:tr>
      <w:tr w:rsidR="00A51DC5" w:rsidRPr="001377F8" w14:paraId="72E57902" w14:textId="77777777" w:rsidTr="001377F8">
        <w:trPr>
          <w:trHeight w:val="290"/>
        </w:trPr>
        <w:tc>
          <w:tcPr>
            <w:tcW w:w="3544" w:type="dxa"/>
            <w:tcBorders>
              <w:top w:val="nil"/>
              <w:left w:val="single" w:sz="8" w:space="0" w:color="auto"/>
              <w:bottom w:val="nil"/>
              <w:right w:val="nil"/>
            </w:tcBorders>
            <w:shd w:val="clear" w:color="auto" w:fill="auto"/>
            <w:noWrap/>
            <w:vAlign w:val="bottom"/>
            <w:hideMark/>
          </w:tcPr>
          <w:p w14:paraId="3EECF1B4" w14:textId="77777777" w:rsidR="00A51DC5" w:rsidRPr="001377F8" w:rsidRDefault="00A51DC5" w:rsidP="00A51DC5">
            <w:pPr>
              <w:rPr>
                <w:rFonts w:cs="Arial"/>
                <w:color w:val="000000"/>
                <w:sz w:val="16"/>
                <w:szCs w:val="16"/>
                <w:lang w:eastAsia="en-GB"/>
              </w:rPr>
            </w:pPr>
            <w:r w:rsidRPr="001377F8">
              <w:rPr>
                <w:rFonts w:cs="Arial"/>
                <w:color w:val="000000"/>
                <w:sz w:val="16"/>
                <w:szCs w:val="16"/>
                <w:lang w:eastAsia="en-GB"/>
              </w:rPr>
              <w:t>Director of Sustainable Development</w:t>
            </w:r>
          </w:p>
        </w:tc>
        <w:tc>
          <w:tcPr>
            <w:tcW w:w="1134" w:type="dxa"/>
            <w:tcBorders>
              <w:top w:val="nil"/>
              <w:left w:val="nil"/>
              <w:bottom w:val="nil"/>
              <w:right w:val="nil"/>
            </w:tcBorders>
            <w:shd w:val="clear" w:color="auto" w:fill="auto"/>
            <w:noWrap/>
            <w:vAlign w:val="bottom"/>
            <w:hideMark/>
          </w:tcPr>
          <w:p w14:paraId="23016F24"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74,870</w:t>
            </w:r>
          </w:p>
        </w:tc>
        <w:tc>
          <w:tcPr>
            <w:tcW w:w="1097" w:type="dxa"/>
            <w:tcBorders>
              <w:top w:val="nil"/>
              <w:left w:val="nil"/>
              <w:bottom w:val="nil"/>
              <w:right w:val="nil"/>
            </w:tcBorders>
            <w:shd w:val="clear" w:color="auto" w:fill="auto"/>
            <w:noWrap/>
            <w:vAlign w:val="bottom"/>
            <w:hideMark/>
          </w:tcPr>
          <w:p w14:paraId="09118F60"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0</w:t>
            </w:r>
          </w:p>
        </w:tc>
        <w:tc>
          <w:tcPr>
            <w:tcW w:w="1328" w:type="dxa"/>
            <w:tcBorders>
              <w:top w:val="nil"/>
              <w:left w:val="nil"/>
              <w:bottom w:val="nil"/>
              <w:right w:val="nil"/>
            </w:tcBorders>
            <w:shd w:val="clear" w:color="auto" w:fill="auto"/>
            <w:noWrap/>
            <w:vAlign w:val="bottom"/>
            <w:hideMark/>
          </w:tcPr>
          <w:p w14:paraId="01B5FA72"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0</w:t>
            </w:r>
          </w:p>
        </w:tc>
        <w:tc>
          <w:tcPr>
            <w:tcW w:w="1265" w:type="dxa"/>
            <w:tcBorders>
              <w:top w:val="nil"/>
              <w:left w:val="nil"/>
              <w:bottom w:val="nil"/>
              <w:right w:val="nil"/>
            </w:tcBorders>
            <w:shd w:val="clear" w:color="auto" w:fill="auto"/>
            <w:noWrap/>
            <w:vAlign w:val="bottom"/>
            <w:hideMark/>
          </w:tcPr>
          <w:p w14:paraId="3D558D1A"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13,027</w:t>
            </w:r>
          </w:p>
        </w:tc>
        <w:tc>
          <w:tcPr>
            <w:tcW w:w="988" w:type="dxa"/>
            <w:tcBorders>
              <w:top w:val="nil"/>
              <w:left w:val="nil"/>
              <w:bottom w:val="nil"/>
              <w:right w:val="single" w:sz="8" w:space="0" w:color="auto"/>
            </w:tcBorders>
            <w:shd w:val="clear" w:color="auto" w:fill="auto"/>
            <w:noWrap/>
            <w:vAlign w:val="bottom"/>
            <w:hideMark/>
          </w:tcPr>
          <w:p w14:paraId="1613064D"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87,897</w:t>
            </w:r>
          </w:p>
        </w:tc>
      </w:tr>
      <w:tr w:rsidR="00A51DC5" w:rsidRPr="001377F8" w14:paraId="11E600D5" w14:textId="77777777" w:rsidTr="001377F8">
        <w:trPr>
          <w:trHeight w:val="290"/>
        </w:trPr>
        <w:tc>
          <w:tcPr>
            <w:tcW w:w="3544" w:type="dxa"/>
            <w:tcBorders>
              <w:top w:val="nil"/>
              <w:left w:val="single" w:sz="8" w:space="0" w:color="auto"/>
              <w:bottom w:val="nil"/>
              <w:right w:val="nil"/>
            </w:tcBorders>
            <w:shd w:val="clear" w:color="auto" w:fill="auto"/>
            <w:noWrap/>
            <w:vAlign w:val="bottom"/>
            <w:hideMark/>
          </w:tcPr>
          <w:p w14:paraId="6860350A" w14:textId="60F64089" w:rsidR="00A51DC5" w:rsidRPr="001377F8" w:rsidRDefault="00A51DC5" w:rsidP="00A51DC5">
            <w:pPr>
              <w:rPr>
                <w:rFonts w:cs="Arial"/>
                <w:color w:val="000000"/>
                <w:sz w:val="16"/>
                <w:szCs w:val="16"/>
                <w:lang w:eastAsia="en-GB"/>
              </w:rPr>
            </w:pPr>
            <w:r w:rsidRPr="001377F8">
              <w:rPr>
                <w:rFonts w:cs="Arial"/>
                <w:color w:val="000000"/>
                <w:sz w:val="16"/>
                <w:szCs w:val="16"/>
                <w:lang w:eastAsia="en-GB"/>
              </w:rPr>
              <w:t xml:space="preserve">Director of Communications &amp; Resources </w:t>
            </w:r>
            <w:r w:rsidR="001377F8">
              <w:rPr>
                <w:rFonts w:cs="Arial"/>
                <w:color w:val="000000"/>
                <w:sz w:val="16"/>
                <w:szCs w:val="16"/>
                <w:lang w:eastAsia="en-GB"/>
              </w:rPr>
              <w:t>*</w:t>
            </w:r>
          </w:p>
        </w:tc>
        <w:tc>
          <w:tcPr>
            <w:tcW w:w="1134" w:type="dxa"/>
            <w:tcBorders>
              <w:top w:val="nil"/>
              <w:left w:val="nil"/>
              <w:bottom w:val="nil"/>
              <w:right w:val="nil"/>
            </w:tcBorders>
            <w:shd w:val="clear" w:color="auto" w:fill="auto"/>
            <w:noWrap/>
            <w:vAlign w:val="bottom"/>
            <w:hideMark/>
          </w:tcPr>
          <w:p w14:paraId="4DDFAF74"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26,524</w:t>
            </w:r>
          </w:p>
        </w:tc>
        <w:tc>
          <w:tcPr>
            <w:tcW w:w="1097" w:type="dxa"/>
            <w:tcBorders>
              <w:top w:val="nil"/>
              <w:left w:val="nil"/>
              <w:bottom w:val="nil"/>
              <w:right w:val="nil"/>
            </w:tcBorders>
            <w:shd w:val="clear" w:color="auto" w:fill="auto"/>
            <w:noWrap/>
            <w:vAlign w:val="bottom"/>
            <w:hideMark/>
          </w:tcPr>
          <w:p w14:paraId="195AC16C"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0</w:t>
            </w:r>
          </w:p>
        </w:tc>
        <w:tc>
          <w:tcPr>
            <w:tcW w:w="1328" w:type="dxa"/>
            <w:tcBorders>
              <w:top w:val="nil"/>
              <w:left w:val="nil"/>
              <w:bottom w:val="nil"/>
              <w:right w:val="nil"/>
            </w:tcBorders>
            <w:shd w:val="clear" w:color="auto" w:fill="auto"/>
            <w:noWrap/>
            <w:vAlign w:val="bottom"/>
            <w:hideMark/>
          </w:tcPr>
          <w:p w14:paraId="49BAFC43"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0</w:t>
            </w:r>
          </w:p>
        </w:tc>
        <w:tc>
          <w:tcPr>
            <w:tcW w:w="1265" w:type="dxa"/>
            <w:tcBorders>
              <w:top w:val="nil"/>
              <w:left w:val="nil"/>
              <w:bottom w:val="nil"/>
              <w:right w:val="nil"/>
            </w:tcBorders>
            <w:shd w:val="clear" w:color="auto" w:fill="auto"/>
            <w:noWrap/>
            <w:vAlign w:val="bottom"/>
            <w:hideMark/>
          </w:tcPr>
          <w:p w14:paraId="256C80BD"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3,257</w:t>
            </w:r>
          </w:p>
        </w:tc>
        <w:tc>
          <w:tcPr>
            <w:tcW w:w="988" w:type="dxa"/>
            <w:tcBorders>
              <w:top w:val="nil"/>
              <w:left w:val="nil"/>
              <w:bottom w:val="nil"/>
              <w:right w:val="single" w:sz="8" w:space="0" w:color="auto"/>
            </w:tcBorders>
            <w:shd w:val="clear" w:color="auto" w:fill="auto"/>
            <w:noWrap/>
            <w:vAlign w:val="bottom"/>
            <w:hideMark/>
          </w:tcPr>
          <w:p w14:paraId="4E93A9CD"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29,781</w:t>
            </w:r>
          </w:p>
        </w:tc>
      </w:tr>
      <w:tr w:rsidR="00A51DC5" w:rsidRPr="001377F8" w14:paraId="01324069" w14:textId="77777777" w:rsidTr="001377F8">
        <w:trPr>
          <w:trHeight w:val="290"/>
        </w:trPr>
        <w:tc>
          <w:tcPr>
            <w:tcW w:w="3544" w:type="dxa"/>
            <w:tcBorders>
              <w:top w:val="nil"/>
              <w:left w:val="single" w:sz="8" w:space="0" w:color="auto"/>
              <w:bottom w:val="nil"/>
              <w:right w:val="nil"/>
            </w:tcBorders>
            <w:shd w:val="clear" w:color="auto" w:fill="auto"/>
            <w:noWrap/>
            <w:vAlign w:val="bottom"/>
            <w:hideMark/>
          </w:tcPr>
          <w:p w14:paraId="3FBA994F" w14:textId="1CA1088C" w:rsidR="00A51DC5" w:rsidRPr="001377F8" w:rsidRDefault="00A51DC5" w:rsidP="00A51DC5">
            <w:pPr>
              <w:rPr>
                <w:rFonts w:cs="Arial"/>
                <w:color w:val="000000"/>
                <w:sz w:val="16"/>
                <w:szCs w:val="16"/>
                <w:lang w:eastAsia="en-GB"/>
              </w:rPr>
            </w:pPr>
            <w:r w:rsidRPr="001377F8">
              <w:rPr>
                <w:rFonts w:cs="Arial"/>
                <w:color w:val="000000"/>
                <w:sz w:val="16"/>
                <w:szCs w:val="16"/>
                <w:lang w:eastAsia="en-GB"/>
              </w:rPr>
              <w:t xml:space="preserve">Director of Visitor Services and Resources </w:t>
            </w:r>
            <w:r w:rsidR="001377F8">
              <w:rPr>
                <w:rFonts w:cs="Arial"/>
                <w:color w:val="000000"/>
                <w:sz w:val="16"/>
                <w:szCs w:val="16"/>
                <w:lang w:eastAsia="en-GB"/>
              </w:rPr>
              <w:t>**</w:t>
            </w:r>
          </w:p>
        </w:tc>
        <w:tc>
          <w:tcPr>
            <w:tcW w:w="1134" w:type="dxa"/>
            <w:tcBorders>
              <w:top w:val="nil"/>
              <w:left w:val="nil"/>
              <w:bottom w:val="nil"/>
              <w:right w:val="nil"/>
            </w:tcBorders>
            <w:shd w:val="clear" w:color="auto" w:fill="auto"/>
            <w:noWrap/>
            <w:vAlign w:val="bottom"/>
            <w:hideMark/>
          </w:tcPr>
          <w:p w14:paraId="749852CC"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54,455</w:t>
            </w:r>
          </w:p>
        </w:tc>
        <w:tc>
          <w:tcPr>
            <w:tcW w:w="1097" w:type="dxa"/>
            <w:tcBorders>
              <w:top w:val="nil"/>
              <w:left w:val="nil"/>
              <w:bottom w:val="nil"/>
              <w:right w:val="nil"/>
            </w:tcBorders>
            <w:shd w:val="clear" w:color="auto" w:fill="auto"/>
            <w:noWrap/>
            <w:vAlign w:val="bottom"/>
            <w:hideMark/>
          </w:tcPr>
          <w:p w14:paraId="12AD59EB"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0</w:t>
            </w:r>
          </w:p>
        </w:tc>
        <w:tc>
          <w:tcPr>
            <w:tcW w:w="1328" w:type="dxa"/>
            <w:tcBorders>
              <w:top w:val="nil"/>
              <w:left w:val="nil"/>
              <w:bottom w:val="nil"/>
              <w:right w:val="nil"/>
            </w:tcBorders>
            <w:shd w:val="clear" w:color="auto" w:fill="auto"/>
            <w:noWrap/>
            <w:vAlign w:val="bottom"/>
            <w:hideMark/>
          </w:tcPr>
          <w:p w14:paraId="1F5F3EF3"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0</w:t>
            </w:r>
          </w:p>
        </w:tc>
        <w:tc>
          <w:tcPr>
            <w:tcW w:w="1265" w:type="dxa"/>
            <w:tcBorders>
              <w:top w:val="nil"/>
              <w:left w:val="nil"/>
              <w:bottom w:val="nil"/>
              <w:right w:val="nil"/>
            </w:tcBorders>
            <w:shd w:val="clear" w:color="auto" w:fill="auto"/>
            <w:noWrap/>
            <w:vAlign w:val="bottom"/>
            <w:hideMark/>
          </w:tcPr>
          <w:p w14:paraId="23FEBB0F"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9,475</w:t>
            </w:r>
          </w:p>
        </w:tc>
        <w:tc>
          <w:tcPr>
            <w:tcW w:w="988" w:type="dxa"/>
            <w:tcBorders>
              <w:top w:val="nil"/>
              <w:left w:val="nil"/>
              <w:bottom w:val="nil"/>
              <w:right w:val="single" w:sz="8" w:space="0" w:color="auto"/>
            </w:tcBorders>
            <w:shd w:val="clear" w:color="auto" w:fill="auto"/>
            <w:noWrap/>
            <w:vAlign w:val="bottom"/>
            <w:hideMark/>
          </w:tcPr>
          <w:p w14:paraId="7E5AEC90"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63,931</w:t>
            </w:r>
          </w:p>
        </w:tc>
      </w:tr>
      <w:tr w:rsidR="00A51DC5" w:rsidRPr="001377F8" w14:paraId="4416728E" w14:textId="77777777" w:rsidTr="001377F8">
        <w:trPr>
          <w:trHeight w:val="290"/>
        </w:trPr>
        <w:tc>
          <w:tcPr>
            <w:tcW w:w="3544" w:type="dxa"/>
            <w:tcBorders>
              <w:top w:val="nil"/>
              <w:left w:val="single" w:sz="8" w:space="0" w:color="auto"/>
              <w:bottom w:val="nil"/>
              <w:right w:val="nil"/>
            </w:tcBorders>
            <w:shd w:val="clear" w:color="auto" w:fill="auto"/>
            <w:noWrap/>
            <w:vAlign w:val="bottom"/>
            <w:hideMark/>
          </w:tcPr>
          <w:p w14:paraId="7FDDA56D" w14:textId="35D065C2" w:rsidR="00A51DC5" w:rsidRPr="001377F8" w:rsidRDefault="00A51DC5" w:rsidP="00A51DC5">
            <w:pPr>
              <w:rPr>
                <w:rFonts w:cs="Arial"/>
                <w:color w:val="000000"/>
                <w:sz w:val="16"/>
                <w:szCs w:val="16"/>
                <w:lang w:eastAsia="en-GB"/>
              </w:rPr>
            </w:pPr>
            <w:r w:rsidRPr="001377F8">
              <w:rPr>
                <w:rFonts w:cs="Arial"/>
                <w:color w:val="000000"/>
                <w:sz w:val="16"/>
                <w:szCs w:val="16"/>
                <w:lang w:eastAsia="en-GB"/>
              </w:rPr>
              <w:t xml:space="preserve">Head of Resources </w:t>
            </w:r>
            <w:r w:rsidR="001377F8">
              <w:rPr>
                <w:rFonts w:cs="Arial"/>
                <w:color w:val="000000"/>
                <w:sz w:val="16"/>
                <w:szCs w:val="16"/>
                <w:lang w:eastAsia="en-GB"/>
              </w:rPr>
              <w:t>***</w:t>
            </w:r>
          </w:p>
        </w:tc>
        <w:tc>
          <w:tcPr>
            <w:tcW w:w="1134" w:type="dxa"/>
            <w:tcBorders>
              <w:top w:val="nil"/>
              <w:left w:val="nil"/>
              <w:bottom w:val="nil"/>
              <w:right w:val="nil"/>
            </w:tcBorders>
            <w:shd w:val="clear" w:color="auto" w:fill="auto"/>
            <w:noWrap/>
            <w:vAlign w:val="bottom"/>
            <w:hideMark/>
          </w:tcPr>
          <w:p w14:paraId="75204A05"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31,693</w:t>
            </w:r>
          </w:p>
        </w:tc>
        <w:tc>
          <w:tcPr>
            <w:tcW w:w="1097" w:type="dxa"/>
            <w:tcBorders>
              <w:top w:val="nil"/>
              <w:left w:val="nil"/>
              <w:bottom w:val="nil"/>
              <w:right w:val="nil"/>
            </w:tcBorders>
            <w:shd w:val="clear" w:color="auto" w:fill="auto"/>
            <w:noWrap/>
            <w:vAlign w:val="bottom"/>
            <w:hideMark/>
          </w:tcPr>
          <w:p w14:paraId="72C49E1F"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0</w:t>
            </w:r>
          </w:p>
        </w:tc>
        <w:tc>
          <w:tcPr>
            <w:tcW w:w="1328" w:type="dxa"/>
            <w:tcBorders>
              <w:top w:val="nil"/>
              <w:left w:val="nil"/>
              <w:bottom w:val="nil"/>
              <w:right w:val="nil"/>
            </w:tcBorders>
            <w:shd w:val="clear" w:color="auto" w:fill="auto"/>
            <w:noWrap/>
            <w:vAlign w:val="bottom"/>
            <w:hideMark/>
          </w:tcPr>
          <w:p w14:paraId="7BF2F249"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0</w:t>
            </w:r>
          </w:p>
        </w:tc>
        <w:tc>
          <w:tcPr>
            <w:tcW w:w="1265" w:type="dxa"/>
            <w:tcBorders>
              <w:top w:val="nil"/>
              <w:left w:val="nil"/>
              <w:bottom w:val="nil"/>
              <w:right w:val="nil"/>
            </w:tcBorders>
            <w:shd w:val="clear" w:color="auto" w:fill="auto"/>
            <w:noWrap/>
            <w:vAlign w:val="bottom"/>
            <w:hideMark/>
          </w:tcPr>
          <w:p w14:paraId="3245D16F"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5,514</w:t>
            </w:r>
          </w:p>
        </w:tc>
        <w:tc>
          <w:tcPr>
            <w:tcW w:w="988" w:type="dxa"/>
            <w:tcBorders>
              <w:top w:val="nil"/>
              <w:left w:val="nil"/>
              <w:bottom w:val="nil"/>
              <w:right w:val="single" w:sz="8" w:space="0" w:color="auto"/>
            </w:tcBorders>
            <w:shd w:val="clear" w:color="auto" w:fill="auto"/>
            <w:noWrap/>
            <w:vAlign w:val="bottom"/>
            <w:hideMark/>
          </w:tcPr>
          <w:p w14:paraId="3B804CFE"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37,207</w:t>
            </w:r>
          </w:p>
        </w:tc>
      </w:tr>
      <w:tr w:rsidR="00A51DC5" w:rsidRPr="001377F8" w14:paraId="0FB0D3DC" w14:textId="77777777" w:rsidTr="001377F8">
        <w:trPr>
          <w:trHeight w:val="300"/>
        </w:trPr>
        <w:tc>
          <w:tcPr>
            <w:tcW w:w="3544" w:type="dxa"/>
            <w:tcBorders>
              <w:top w:val="nil"/>
              <w:left w:val="single" w:sz="8" w:space="0" w:color="auto"/>
              <w:bottom w:val="nil"/>
              <w:right w:val="nil"/>
            </w:tcBorders>
            <w:shd w:val="clear" w:color="auto" w:fill="auto"/>
            <w:noWrap/>
            <w:vAlign w:val="bottom"/>
            <w:hideMark/>
          </w:tcPr>
          <w:p w14:paraId="2C3599F6" w14:textId="77777777" w:rsidR="00A51DC5" w:rsidRPr="001377F8" w:rsidRDefault="00A51DC5" w:rsidP="00A51DC5">
            <w:pPr>
              <w:rPr>
                <w:rFonts w:cs="Arial"/>
                <w:color w:val="000000"/>
                <w:sz w:val="16"/>
                <w:szCs w:val="16"/>
                <w:lang w:eastAsia="en-GB"/>
              </w:rPr>
            </w:pPr>
            <w:r w:rsidRPr="001377F8">
              <w:rPr>
                <w:rFonts w:cs="Arial"/>
                <w:color w:val="000000"/>
                <w:sz w:val="16"/>
                <w:szCs w:val="16"/>
                <w:lang w:eastAsia="en-GB"/>
              </w:rPr>
              <w:t> </w:t>
            </w:r>
          </w:p>
        </w:tc>
        <w:tc>
          <w:tcPr>
            <w:tcW w:w="1134" w:type="dxa"/>
            <w:tcBorders>
              <w:top w:val="single" w:sz="4" w:space="0" w:color="auto"/>
              <w:left w:val="nil"/>
              <w:bottom w:val="double" w:sz="6" w:space="0" w:color="auto"/>
              <w:right w:val="nil"/>
            </w:tcBorders>
            <w:shd w:val="clear" w:color="auto" w:fill="auto"/>
            <w:noWrap/>
            <w:vAlign w:val="bottom"/>
            <w:hideMark/>
          </w:tcPr>
          <w:p w14:paraId="1F604D2F"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291,804</w:t>
            </w:r>
          </w:p>
        </w:tc>
        <w:tc>
          <w:tcPr>
            <w:tcW w:w="1097" w:type="dxa"/>
            <w:tcBorders>
              <w:top w:val="single" w:sz="4" w:space="0" w:color="auto"/>
              <w:left w:val="nil"/>
              <w:bottom w:val="double" w:sz="6" w:space="0" w:color="auto"/>
              <w:right w:val="nil"/>
            </w:tcBorders>
            <w:shd w:val="clear" w:color="auto" w:fill="auto"/>
            <w:noWrap/>
            <w:vAlign w:val="bottom"/>
            <w:hideMark/>
          </w:tcPr>
          <w:p w14:paraId="4C7DBD3E"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0</w:t>
            </w:r>
          </w:p>
        </w:tc>
        <w:tc>
          <w:tcPr>
            <w:tcW w:w="1328" w:type="dxa"/>
            <w:tcBorders>
              <w:top w:val="single" w:sz="4" w:space="0" w:color="auto"/>
              <w:left w:val="nil"/>
              <w:bottom w:val="double" w:sz="6" w:space="0" w:color="auto"/>
              <w:right w:val="nil"/>
            </w:tcBorders>
            <w:shd w:val="clear" w:color="auto" w:fill="auto"/>
            <w:noWrap/>
            <w:vAlign w:val="bottom"/>
            <w:hideMark/>
          </w:tcPr>
          <w:p w14:paraId="0ED1E412"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0</w:t>
            </w:r>
          </w:p>
        </w:tc>
        <w:tc>
          <w:tcPr>
            <w:tcW w:w="1265" w:type="dxa"/>
            <w:tcBorders>
              <w:top w:val="single" w:sz="4" w:space="0" w:color="auto"/>
              <w:left w:val="nil"/>
              <w:bottom w:val="double" w:sz="6" w:space="0" w:color="auto"/>
              <w:right w:val="nil"/>
            </w:tcBorders>
            <w:shd w:val="clear" w:color="auto" w:fill="auto"/>
            <w:noWrap/>
            <w:vAlign w:val="bottom"/>
            <w:hideMark/>
          </w:tcPr>
          <w:p w14:paraId="25273346"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49,372</w:t>
            </w:r>
          </w:p>
        </w:tc>
        <w:tc>
          <w:tcPr>
            <w:tcW w:w="988" w:type="dxa"/>
            <w:tcBorders>
              <w:top w:val="single" w:sz="4" w:space="0" w:color="auto"/>
              <w:left w:val="nil"/>
              <w:bottom w:val="double" w:sz="6" w:space="0" w:color="auto"/>
              <w:right w:val="single" w:sz="8" w:space="0" w:color="auto"/>
            </w:tcBorders>
            <w:shd w:val="clear" w:color="auto" w:fill="auto"/>
            <w:noWrap/>
            <w:vAlign w:val="bottom"/>
            <w:hideMark/>
          </w:tcPr>
          <w:p w14:paraId="6BE6C8C3"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341,176</w:t>
            </w:r>
          </w:p>
        </w:tc>
      </w:tr>
      <w:tr w:rsidR="00A51DC5" w:rsidRPr="001377F8" w14:paraId="61B2E5FF" w14:textId="77777777" w:rsidTr="001377F8">
        <w:trPr>
          <w:trHeight w:val="300"/>
        </w:trPr>
        <w:tc>
          <w:tcPr>
            <w:tcW w:w="3544" w:type="dxa"/>
            <w:tcBorders>
              <w:top w:val="nil"/>
              <w:left w:val="single" w:sz="8" w:space="0" w:color="auto"/>
              <w:bottom w:val="nil"/>
              <w:right w:val="nil"/>
            </w:tcBorders>
            <w:shd w:val="clear" w:color="000000" w:fill="FFFFFF"/>
            <w:noWrap/>
            <w:vAlign w:val="center"/>
            <w:hideMark/>
          </w:tcPr>
          <w:p w14:paraId="0DBC4B82" w14:textId="77777777" w:rsidR="00A51DC5" w:rsidRPr="001377F8" w:rsidRDefault="00A51DC5" w:rsidP="00A51DC5">
            <w:pPr>
              <w:rPr>
                <w:rFonts w:cs="Arial"/>
                <w:b/>
                <w:bCs/>
                <w:color w:val="000000"/>
                <w:sz w:val="16"/>
                <w:szCs w:val="16"/>
                <w:lang w:eastAsia="en-GB"/>
              </w:rPr>
            </w:pPr>
            <w:r w:rsidRPr="001377F8">
              <w:rPr>
                <w:rFonts w:cs="Arial"/>
                <w:b/>
                <w:bCs/>
                <w:color w:val="000000"/>
                <w:sz w:val="16"/>
                <w:szCs w:val="16"/>
                <w:lang w:eastAsia="en-GB"/>
              </w:rPr>
              <w:t> </w:t>
            </w:r>
          </w:p>
        </w:tc>
        <w:tc>
          <w:tcPr>
            <w:tcW w:w="1134" w:type="dxa"/>
            <w:tcBorders>
              <w:top w:val="nil"/>
              <w:left w:val="nil"/>
              <w:bottom w:val="nil"/>
              <w:right w:val="nil"/>
            </w:tcBorders>
            <w:shd w:val="clear" w:color="000000" w:fill="FFFFFF"/>
            <w:noWrap/>
            <w:vAlign w:val="center"/>
            <w:hideMark/>
          </w:tcPr>
          <w:p w14:paraId="0BA970A1" w14:textId="77777777" w:rsidR="00A51DC5" w:rsidRPr="001377F8" w:rsidRDefault="00A51DC5" w:rsidP="00A51DC5">
            <w:pPr>
              <w:rPr>
                <w:rFonts w:cs="Arial"/>
                <w:b/>
                <w:bCs/>
                <w:color w:val="000000"/>
                <w:sz w:val="16"/>
                <w:szCs w:val="16"/>
                <w:lang w:eastAsia="en-GB"/>
              </w:rPr>
            </w:pPr>
            <w:r w:rsidRPr="001377F8">
              <w:rPr>
                <w:rFonts w:cs="Arial"/>
                <w:b/>
                <w:bCs/>
                <w:color w:val="000000"/>
                <w:sz w:val="16"/>
                <w:szCs w:val="16"/>
                <w:lang w:eastAsia="en-GB"/>
              </w:rPr>
              <w:t> </w:t>
            </w:r>
          </w:p>
        </w:tc>
        <w:tc>
          <w:tcPr>
            <w:tcW w:w="1097" w:type="dxa"/>
            <w:tcBorders>
              <w:top w:val="nil"/>
              <w:left w:val="nil"/>
              <w:bottom w:val="nil"/>
              <w:right w:val="nil"/>
            </w:tcBorders>
            <w:shd w:val="clear" w:color="000000" w:fill="FFFFFF"/>
            <w:noWrap/>
            <w:vAlign w:val="center"/>
            <w:hideMark/>
          </w:tcPr>
          <w:p w14:paraId="7E527F04" w14:textId="77777777" w:rsidR="00A51DC5" w:rsidRPr="001377F8" w:rsidRDefault="00A51DC5" w:rsidP="00A51DC5">
            <w:pPr>
              <w:rPr>
                <w:rFonts w:cs="Arial"/>
                <w:b/>
                <w:bCs/>
                <w:color w:val="000000"/>
                <w:sz w:val="16"/>
                <w:szCs w:val="16"/>
                <w:lang w:eastAsia="en-GB"/>
              </w:rPr>
            </w:pPr>
            <w:r w:rsidRPr="001377F8">
              <w:rPr>
                <w:rFonts w:cs="Arial"/>
                <w:b/>
                <w:bCs/>
                <w:color w:val="000000"/>
                <w:sz w:val="16"/>
                <w:szCs w:val="16"/>
                <w:lang w:eastAsia="en-GB"/>
              </w:rPr>
              <w:t> </w:t>
            </w:r>
          </w:p>
        </w:tc>
        <w:tc>
          <w:tcPr>
            <w:tcW w:w="1328" w:type="dxa"/>
            <w:tcBorders>
              <w:top w:val="nil"/>
              <w:left w:val="nil"/>
              <w:bottom w:val="nil"/>
              <w:right w:val="nil"/>
            </w:tcBorders>
            <w:shd w:val="clear" w:color="000000" w:fill="FFFFFF"/>
            <w:noWrap/>
            <w:vAlign w:val="center"/>
            <w:hideMark/>
          </w:tcPr>
          <w:p w14:paraId="3DDFB4F0" w14:textId="77777777" w:rsidR="00A51DC5" w:rsidRPr="001377F8" w:rsidRDefault="00A51DC5" w:rsidP="00A51DC5">
            <w:pPr>
              <w:rPr>
                <w:rFonts w:cs="Arial"/>
                <w:b/>
                <w:bCs/>
                <w:color w:val="000000"/>
                <w:sz w:val="16"/>
                <w:szCs w:val="16"/>
                <w:lang w:eastAsia="en-GB"/>
              </w:rPr>
            </w:pPr>
            <w:r w:rsidRPr="001377F8">
              <w:rPr>
                <w:rFonts w:cs="Arial"/>
                <w:b/>
                <w:bCs/>
                <w:color w:val="000000"/>
                <w:sz w:val="16"/>
                <w:szCs w:val="16"/>
                <w:lang w:eastAsia="en-GB"/>
              </w:rPr>
              <w:t> </w:t>
            </w:r>
          </w:p>
        </w:tc>
        <w:tc>
          <w:tcPr>
            <w:tcW w:w="1265" w:type="dxa"/>
            <w:tcBorders>
              <w:top w:val="nil"/>
              <w:left w:val="nil"/>
              <w:bottom w:val="nil"/>
              <w:right w:val="nil"/>
            </w:tcBorders>
            <w:shd w:val="clear" w:color="000000" w:fill="FFFFFF"/>
            <w:noWrap/>
            <w:vAlign w:val="center"/>
            <w:hideMark/>
          </w:tcPr>
          <w:p w14:paraId="4A2D3806" w14:textId="77777777" w:rsidR="00A51DC5" w:rsidRPr="001377F8" w:rsidRDefault="00A51DC5" w:rsidP="00A51DC5">
            <w:pPr>
              <w:rPr>
                <w:rFonts w:cs="Arial"/>
                <w:b/>
                <w:bCs/>
                <w:color w:val="000000"/>
                <w:sz w:val="16"/>
                <w:szCs w:val="16"/>
                <w:lang w:eastAsia="en-GB"/>
              </w:rPr>
            </w:pPr>
            <w:r w:rsidRPr="001377F8">
              <w:rPr>
                <w:rFonts w:cs="Arial"/>
                <w:b/>
                <w:bCs/>
                <w:color w:val="000000"/>
                <w:sz w:val="16"/>
                <w:szCs w:val="16"/>
                <w:lang w:eastAsia="en-GB"/>
              </w:rPr>
              <w:t> </w:t>
            </w:r>
          </w:p>
        </w:tc>
        <w:tc>
          <w:tcPr>
            <w:tcW w:w="988" w:type="dxa"/>
            <w:tcBorders>
              <w:top w:val="nil"/>
              <w:left w:val="nil"/>
              <w:bottom w:val="nil"/>
              <w:right w:val="single" w:sz="8" w:space="0" w:color="auto"/>
            </w:tcBorders>
            <w:shd w:val="clear" w:color="000000" w:fill="FFFFFF"/>
            <w:noWrap/>
            <w:vAlign w:val="center"/>
            <w:hideMark/>
          </w:tcPr>
          <w:p w14:paraId="43CB1A0B" w14:textId="77777777" w:rsidR="00A51DC5" w:rsidRPr="001377F8" w:rsidRDefault="00A51DC5" w:rsidP="00A51DC5">
            <w:pPr>
              <w:rPr>
                <w:rFonts w:cs="Arial"/>
                <w:b/>
                <w:bCs/>
                <w:color w:val="000000"/>
                <w:sz w:val="16"/>
                <w:szCs w:val="16"/>
                <w:lang w:eastAsia="en-GB"/>
              </w:rPr>
            </w:pPr>
            <w:r w:rsidRPr="001377F8">
              <w:rPr>
                <w:rFonts w:cs="Arial"/>
                <w:b/>
                <w:bCs/>
                <w:color w:val="000000"/>
                <w:sz w:val="16"/>
                <w:szCs w:val="16"/>
                <w:lang w:eastAsia="en-GB"/>
              </w:rPr>
              <w:t> </w:t>
            </w:r>
          </w:p>
        </w:tc>
      </w:tr>
      <w:tr w:rsidR="00A51DC5" w:rsidRPr="001377F8" w14:paraId="73925F92" w14:textId="77777777" w:rsidTr="001377F8">
        <w:trPr>
          <w:trHeight w:val="290"/>
        </w:trPr>
        <w:tc>
          <w:tcPr>
            <w:tcW w:w="3544" w:type="dxa"/>
            <w:tcBorders>
              <w:top w:val="nil"/>
              <w:left w:val="single" w:sz="8" w:space="0" w:color="auto"/>
              <w:bottom w:val="nil"/>
              <w:right w:val="nil"/>
            </w:tcBorders>
            <w:shd w:val="clear" w:color="000000" w:fill="FFFFFF"/>
            <w:noWrap/>
            <w:vAlign w:val="center"/>
            <w:hideMark/>
          </w:tcPr>
          <w:p w14:paraId="272E44D9" w14:textId="77777777" w:rsidR="00A51DC5" w:rsidRPr="001377F8" w:rsidRDefault="00A51DC5" w:rsidP="00A51DC5">
            <w:pPr>
              <w:rPr>
                <w:rFonts w:cs="Arial"/>
                <w:b/>
                <w:bCs/>
                <w:color w:val="000000"/>
                <w:sz w:val="16"/>
                <w:szCs w:val="16"/>
                <w:lang w:eastAsia="en-GB"/>
              </w:rPr>
            </w:pPr>
            <w:r w:rsidRPr="001377F8">
              <w:rPr>
                <w:rFonts w:cs="Arial"/>
                <w:b/>
                <w:bCs/>
                <w:color w:val="000000"/>
                <w:sz w:val="16"/>
                <w:szCs w:val="16"/>
                <w:lang w:eastAsia="en-GB"/>
              </w:rPr>
              <w:t>2021/22</w:t>
            </w:r>
          </w:p>
        </w:tc>
        <w:tc>
          <w:tcPr>
            <w:tcW w:w="1134" w:type="dxa"/>
            <w:tcBorders>
              <w:top w:val="nil"/>
              <w:left w:val="nil"/>
              <w:bottom w:val="nil"/>
              <w:right w:val="nil"/>
            </w:tcBorders>
            <w:shd w:val="clear" w:color="000000" w:fill="FFFFFF"/>
            <w:noWrap/>
            <w:vAlign w:val="center"/>
            <w:hideMark/>
          </w:tcPr>
          <w:p w14:paraId="3514112C" w14:textId="77777777" w:rsidR="00A51DC5" w:rsidRPr="001377F8" w:rsidRDefault="00A51DC5" w:rsidP="00A51DC5">
            <w:pPr>
              <w:jc w:val="center"/>
              <w:rPr>
                <w:rFonts w:cs="Arial"/>
                <w:b/>
                <w:bCs/>
                <w:color w:val="FFFFFF"/>
                <w:sz w:val="16"/>
                <w:szCs w:val="16"/>
                <w:lang w:eastAsia="en-GB"/>
              </w:rPr>
            </w:pPr>
            <w:r w:rsidRPr="001377F8">
              <w:rPr>
                <w:rFonts w:cs="Arial"/>
                <w:b/>
                <w:bCs/>
                <w:color w:val="FFFFFF"/>
                <w:sz w:val="16"/>
                <w:szCs w:val="16"/>
                <w:lang w:eastAsia="en-GB"/>
              </w:rPr>
              <w:t> </w:t>
            </w:r>
          </w:p>
        </w:tc>
        <w:tc>
          <w:tcPr>
            <w:tcW w:w="1097" w:type="dxa"/>
            <w:tcBorders>
              <w:top w:val="nil"/>
              <w:left w:val="nil"/>
              <w:bottom w:val="nil"/>
              <w:right w:val="nil"/>
            </w:tcBorders>
            <w:shd w:val="clear" w:color="000000" w:fill="FFFFFF"/>
            <w:noWrap/>
            <w:vAlign w:val="center"/>
            <w:hideMark/>
          </w:tcPr>
          <w:p w14:paraId="5DE3A4BE" w14:textId="77777777" w:rsidR="00A51DC5" w:rsidRPr="001377F8" w:rsidRDefault="00A51DC5" w:rsidP="00A51DC5">
            <w:pPr>
              <w:jc w:val="center"/>
              <w:rPr>
                <w:rFonts w:cs="Arial"/>
                <w:b/>
                <w:bCs/>
                <w:color w:val="FFFFFF"/>
                <w:sz w:val="16"/>
                <w:szCs w:val="16"/>
                <w:lang w:eastAsia="en-GB"/>
              </w:rPr>
            </w:pPr>
            <w:r w:rsidRPr="001377F8">
              <w:rPr>
                <w:rFonts w:cs="Arial"/>
                <w:b/>
                <w:bCs/>
                <w:color w:val="FFFFFF"/>
                <w:sz w:val="16"/>
                <w:szCs w:val="16"/>
                <w:lang w:eastAsia="en-GB"/>
              </w:rPr>
              <w:t> </w:t>
            </w:r>
          </w:p>
        </w:tc>
        <w:tc>
          <w:tcPr>
            <w:tcW w:w="1328" w:type="dxa"/>
            <w:tcBorders>
              <w:top w:val="nil"/>
              <w:left w:val="nil"/>
              <w:bottom w:val="nil"/>
              <w:right w:val="nil"/>
            </w:tcBorders>
            <w:shd w:val="clear" w:color="000000" w:fill="FFFFFF"/>
            <w:noWrap/>
            <w:vAlign w:val="center"/>
            <w:hideMark/>
          </w:tcPr>
          <w:p w14:paraId="0133EC1D" w14:textId="77777777" w:rsidR="00A51DC5" w:rsidRPr="001377F8" w:rsidRDefault="00A51DC5" w:rsidP="00A51DC5">
            <w:pPr>
              <w:jc w:val="center"/>
              <w:rPr>
                <w:rFonts w:cs="Arial"/>
                <w:b/>
                <w:bCs/>
                <w:color w:val="FFFFFF"/>
                <w:sz w:val="16"/>
                <w:szCs w:val="16"/>
                <w:lang w:eastAsia="en-GB"/>
              </w:rPr>
            </w:pPr>
            <w:r w:rsidRPr="001377F8">
              <w:rPr>
                <w:rFonts w:cs="Arial"/>
                <w:b/>
                <w:bCs/>
                <w:color w:val="FFFFFF"/>
                <w:sz w:val="16"/>
                <w:szCs w:val="16"/>
                <w:lang w:eastAsia="en-GB"/>
              </w:rPr>
              <w:t> </w:t>
            </w:r>
          </w:p>
        </w:tc>
        <w:tc>
          <w:tcPr>
            <w:tcW w:w="1265" w:type="dxa"/>
            <w:tcBorders>
              <w:top w:val="nil"/>
              <w:left w:val="nil"/>
              <w:bottom w:val="nil"/>
              <w:right w:val="nil"/>
            </w:tcBorders>
            <w:shd w:val="clear" w:color="000000" w:fill="FFFFFF"/>
            <w:noWrap/>
            <w:vAlign w:val="center"/>
            <w:hideMark/>
          </w:tcPr>
          <w:p w14:paraId="3FF5B4E8" w14:textId="77777777" w:rsidR="00A51DC5" w:rsidRPr="001377F8" w:rsidRDefault="00A51DC5" w:rsidP="00A51DC5">
            <w:pPr>
              <w:jc w:val="center"/>
              <w:rPr>
                <w:rFonts w:cs="Arial"/>
                <w:b/>
                <w:bCs/>
                <w:color w:val="FFFFFF"/>
                <w:sz w:val="16"/>
                <w:szCs w:val="16"/>
                <w:lang w:eastAsia="en-GB"/>
              </w:rPr>
            </w:pPr>
            <w:r w:rsidRPr="001377F8">
              <w:rPr>
                <w:rFonts w:cs="Arial"/>
                <w:b/>
                <w:bCs/>
                <w:color w:val="FFFFFF"/>
                <w:sz w:val="16"/>
                <w:szCs w:val="16"/>
                <w:lang w:eastAsia="en-GB"/>
              </w:rPr>
              <w:t> </w:t>
            </w:r>
          </w:p>
        </w:tc>
        <w:tc>
          <w:tcPr>
            <w:tcW w:w="988" w:type="dxa"/>
            <w:tcBorders>
              <w:top w:val="nil"/>
              <w:left w:val="nil"/>
              <w:bottom w:val="nil"/>
              <w:right w:val="single" w:sz="8" w:space="0" w:color="auto"/>
            </w:tcBorders>
            <w:shd w:val="clear" w:color="000000" w:fill="FFFFFF"/>
            <w:noWrap/>
            <w:vAlign w:val="center"/>
            <w:hideMark/>
          </w:tcPr>
          <w:p w14:paraId="5029EDBE" w14:textId="77777777" w:rsidR="00A51DC5" w:rsidRPr="001377F8" w:rsidRDefault="00A51DC5" w:rsidP="00A51DC5">
            <w:pPr>
              <w:jc w:val="center"/>
              <w:rPr>
                <w:rFonts w:cs="Arial"/>
                <w:b/>
                <w:bCs/>
                <w:color w:val="FFFFFF"/>
                <w:sz w:val="16"/>
                <w:szCs w:val="16"/>
                <w:lang w:eastAsia="en-GB"/>
              </w:rPr>
            </w:pPr>
            <w:r w:rsidRPr="001377F8">
              <w:rPr>
                <w:rFonts w:cs="Arial"/>
                <w:b/>
                <w:bCs/>
                <w:color w:val="FFFFFF"/>
                <w:sz w:val="16"/>
                <w:szCs w:val="16"/>
                <w:lang w:eastAsia="en-GB"/>
              </w:rPr>
              <w:t> </w:t>
            </w:r>
          </w:p>
        </w:tc>
      </w:tr>
      <w:tr w:rsidR="00A51DC5" w:rsidRPr="001377F8" w14:paraId="527DF808" w14:textId="77777777" w:rsidTr="001377F8">
        <w:trPr>
          <w:trHeight w:val="290"/>
        </w:trPr>
        <w:tc>
          <w:tcPr>
            <w:tcW w:w="3544" w:type="dxa"/>
            <w:tcBorders>
              <w:top w:val="nil"/>
              <w:left w:val="single" w:sz="8" w:space="0" w:color="auto"/>
              <w:bottom w:val="nil"/>
              <w:right w:val="nil"/>
            </w:tcBorders>
            <w:shd w:val="clear" w:color="000000" w:fill="FFFFFF"/>
            <w:noWrap/>
            <w:vAlign w:val="center"/>
            <w:hideMark/>
          </w:tcPr>
          <w:p w14:paraId="5169642A" w14:textId="77777777" w:rsidR="00A51DC5" w:rsidRPr="001377F8" w:rsidRDefault="00A51DC5" w:rsidP="00A51DC5">
            <w:pPr>
              <w:rPr>
                <w:rFonts w:cs="Arial"/>
                <w:color w:val="000000"/>
                <w:sz w:val="16"/>
                <w:szCs w:val="16"/>
                <w:lang w:eastAsia="en-GB"/>
              </w:rPr>
            </w:pPr>
            <w:r w:rsidRPr="001377F8">
              <w:rPr>
                <w:rFonts w:cs="Arial"/>
                <w:color w:val="000000"/>
                <w:sz w:val="16"/>
                <w:szCs w:val="16"/>
                <w:lang w:eastAsia="en-GB"/>
              </w:rPr>
              <w:t>Chief Executive</w:t>
            </w:r>
          </w:p>
        </w:tc>
        <w:tc>
          <w:tcPr>
            <w:tcW w:w="1134" w:type="dxa"/>
            <w:tcBorders>
              <w:top w:val="nil"/>
              <w:left w:val="nil"/>
              <w:bottom w:val="nil"/>
              <w:right w:val="nil"/>
            </w:tcBorders>
            <w:shd w:val="clear" w:color="000000" w:fill="FFFFFF"/>
            <w:noWrap/>
            <w:vAlign w:val="center"/>
            <w:hideMark/>
          </w:tcPr>
          <w:p w14:paraId="53349079"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102,087</w:t>
            </w:r>
          </w:p>
        </w:tc>
        <w:tc>
          <w:tcPr>
            <w:tcW w:w="1097" w:type="dxa"/>
            <w:tcBorders>
              <w:top w:val="nil"/>
              <w:left w:val="nil"/>
              <w:bottom w:val="nil"/>
              <w:right w:val="nil"/>
            </w:tcBorders>
            <w:shd w:val="clear" w:color="000000" w:fill="FFFFFF"/>
            <w:noWrap/>
            <w:vAlign w:val="center"/>
            <w:hideMark/>
          </w:tcPr>
          <w:p w14:paraId="22975D68"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0</w:t>
            </w:r>
          </w:p>
        </w:tc>
        <w:tc>
          <w:tcPr>
            <w:tcW w:w="1328" w:type="dxa"/>
            <w:tcBorders>
              <w:top w:val="nil"/>
              <w:left w:val="nil"/>
              <w:bottom w:val="nil"/>
              <w:right w:val="nil"/>
            </w:tcBorders>
            <w:shd w:val="clear" w:color="000000" w:fill="FFFFFF"/>
            <w:noWrap/>
            <w:vAlign w:val="center"/>
            <w:hideMark/>
          </w:tcPr>
          <w:p w14:paraId="23E72464"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0</w:t>
            </w:r>
          </w:p>
        </w:tc>
        <w:tc>
          <w:tcPr>
            <w:tcW w:w="1265" w:type="dxa"/>
            <w:tcBorders>
              <w:top w:val="nil"/>
              <w:left w:val="nil"/>
              <w:bottom w:val="nil"/>
              <w:right w:val="nil"/>
            </w:tcBorders>
            <w:shd w:val="clear" w:color="000000" w:fill="FFFFFF"/>
            <w:noWrap/>
            <w:vAlign w:val="center"/>
            <w:hideMark/>
          </w:tcPr>
          <w:p w14:paraId="756BE059"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17,763</w:t>
            </w:r>
          </w:p>
        </w:tc>
        <w:tc>
          <w:tcPr>
            <w:tcW w:w="988" w:type="dxa"/>
            <w:tcBorders>
              <w:top w:val="nil"/>
              <w:left w:val="nil"/>
              <w:bottom w:val="nil"/>
              <w:right w:val="single" w:sz="8" w:space="0" w:color="auto"/>
            </w:tcBorders>
            <w:shd w:val="clear" w:color="000000" w:fill="FFFFFF"/>
            <w:noWrap/>
            <w:vAlign w:val="center"/>
            <w:hideMark/>
          </w:tcPr>
          <w:p w14:paraId="468AB63C"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119,850</w:t>
            </w:r>
          </w:p>
        </w:tc>
      </w:tr>
      <w:tr w:rsidR="00A51DC5" w:rsidRPr="001377F8" w14:paraId="4B883E51" w14:textId="77777777" w:rsidTr="001377F8">
        <w:trPr>
          <w:trHeight w:val="290"/>
        </w:trPr>
        <w:tc>
          <w:tcPr>
            <w:tcW w:w="3544" w:type="dxa"/>
            <w:tcBorders>
              <w:top w:val="nil"/>
              <w:left w:val="single" w:sz="8" w:space="0" w:color="auto"/>
              <w:bottom w:val="nil"/>
              <w:right w:val="nil"/>
            </w:tcBorders>
            <w:shd w:val="clear" w:color="000000" w:fill="FFFFFF"/>
            <w:noWrap/>
            <w:vAlign w:val="center"/>
            <w:hideMark/>
          </w:tcPr>
          <w:p w14:paraId="45A13BC0" w14:textId="77777777" w:rsidR="00A51DC5" w:rsidRPr="001377F8" w:rsidRDefault="00A51DC5" w:rsidP="00A51DC5">
            <w:pPr>
              <w:rPr>
                <w:rFonts w:cs="Arial"/>
                <w:color w:val="000000"/>
                <w:sz w:val="16"/>
                <w:szCs w:val="16"/>
                <w:lang w:eastAsia="en-GB"/>
              </w:rPr>
            </w:pPr>
            <w:r w:rsidRPr="001377F8">
              <w:rPr>
                <w:rFonts w:cs="Arial"/>
                <w:color w:val="000000"/>
                <w:sz w:val="16"/>
                <w:szCs w:val="16"/>
                <w:lang w:eastAsia="en-GB"/>
              </w:rPr>
              <w:t>Director of Sustainable Development</w:t>
            </w:r>
          </w:p>
        </w:tc>
        <w:tc>
          <w:tcPr>
            <w:tcW w:w="1134" w:type="dxa"/>
            <w:tcBorders>
              <w:top w:val="nil"/>
              <w:left w:val="nil"/>
              <w:bottom w:val="nil"/>
              <w:right w:val="nil"/>
            </w:tcBorders>
            <w:shd w:val="clear" w:color="000000" w:fill="FFFFFF"/>
            <w:noWrap/>
            <w:vAlign w:val="center"/>
            <w:hideMark/>
          </w:tcPr>
          <w:p w14:paraId="557DFD5B"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74,945</w:t>
            </w:r>
          </w:p>
        </w:tc>
        <w:tc>
          <w:tcPr>
            <w:tcW w:w="1097" w:type="dxa"/>
            <w:tcBorders>
              <w:top w:val="nil"/>
              <w:left w:val="nil"/>
              <w:bottom w:val="nil"/>
              <w:right w:val="nil"/>
            </w:tcBorders>
            <w:shd w:val="clear" w:color="000000" w:fill="FFFFFF"/>
            <w:noWrap/>
            <w:vAlign w:val="center"/>
            <w:hideMark/>
          </w:tcPr>
          <w:p w14:paraId="5D6D6645"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642</w:t>
            </w:r>
          </w:p>
        </w:tc>
        <w:tc>
          <w:tcPr>
            <w:tcW w:w="1328" w:type="dxa"/>
            <w:tcBorders>
              <w:top w:val="nil"/>
              <w:left w:val="nil"/>
              <w:bottom w:val="nil"/>
              <w:right w:val="nil"/>
            </w:tcBorders>
            <w:shd w:val="clear" w:color="000000" w:fill="FFFFFF"/>
            <w:noWrap/>
            <w:vAlign w:val="center"/>
            <w:hideMark/>
          </w:tcPr>
          <w:p w14:paraId="48F95994"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0</w:t>
            </w:r>
          </w:p>
        </w:tc>
        <w:tc>
          <w:tcPr>
            <w:tcW w:w="1265" w:type="dxa"/>
            <w:tcBorders>
              <w:top w:val="nil"/>
              <w:left w:val="nil"/>
              <w:bottom w:val="nil"/>
              <w:right w:val="nil"/>
            </w:tcBorders>
            <w:shd w:val="clear" w:color="000000" w:fill="FFFFFF"/>
            <w:noWrap/>
            <w:vAlign w:val="center"/>
            <w:hideMark/>
          </w:tcPr>
          <w:p w14:paraId="20EE6DEA"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13,040</w:t>
            </w:r>
          </w:p>
        </w:tc>
        <w:tc>
          <w:tcPr>
            <w:tcW w:w="988" w:type="dxa"/>
            <w:tcBorders>
              <w:top w:val="nil"/>
              <w:left w:val="nil"/>
              <w:bottom w:val="nil"/>
              <w:right w:val="single" w:sz="8" w:space="0" w:color="auto"/>
            </w:tcBorders>
            <w:shd w:val="clear" w:color="000000" w:fill="FFFFFF"/>
            <w:noWrap/>
            <w:vAlign w:val="center"/>
            <w:hideMark/>
          </w:tcPr>
          <w:p w14:paraId="75FB7A1A"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88,628</w:t>
            </w:r>
          </w:p>
        </w:tc>
      </w:tr>
      <w:tr w:rsidR="00A51DC5" w:rsidRPr="001377F8" w14:paraId="16BC1655" w14:textId="77777777" w:rsidTr="001377F8">
        <w:trPr>
          <w:trHeight w:val="290"/>
        </w:trPr>
        <w:tc>
          <w:tcPr>
            <w:tcW w:w="3544" w:type="dxa"/>
            <w:tcBorders>
              <w:top w:val="nil"/>
              <w:left w:val="single" w:sz="8" w:space="0" w:color="auto"/>
              <w:bottom w:val="nil"/>
              <w:right w:val="nil"/>
            </w:tcBorders>
            <w:shd w:val="clear" w:color="000000" w:fill="FFFFFF"/>
            <w:noWrap/>
            <w:vAlign w:val="center"/>
            <w:hideMark/>
          </w:tcPr>
          <w:p w14:paraId="44CB8177" w14:textId="77777777" w:rsidR="00A51DC5" w:rsidRPr="001377F8" w:rsidRDefault="00A51DC5" w:rsidP="00A51DC5">
            <w:pPr>
              <w:rPr>
                <w:rFonts w:cs="Arial"/>
                <w:color w:val="000000"/>
                <w:sz w:val="16"/>
                <w:szCs w:val="16"/>
                <w:lang w:eastAsia="en-GB"/>
              </w:rPr>
            </w:pPr>
            <w:r w:rsidRPr="001377F8">
              <w:rPr>
                <w:rFonts w:cs="Arial"/>
                <w:color w:val="000000"/>
                <w:sz w:val="16"/>
                <w:szCs w:val="16"/>
                <w:lang w:eastAsia="en-GB"/>
              </w:rPr>
              <w:t>Director of Communications &amp; Resources</w:t>
            </w:r>
          </w:p>
        </w:tc>
        <w:tc>
          <w:tcPr>
            <w:tcW w:w="1134" w:type="dxa"/>
            <w:tcBorders>
              <w:top w:val="nil"/>
              <w:left w:val="nil"/>
              <w:bottom w:val="nil"/>
              <w:right w:val="nil"/>
            </w:tcBorders>
            <w:shd w:val="clear" w:color="000000" w:fill="FFFFFF"/>
            <w:noWrap/>
            <w:vAlign w:val="center"/>
            <w:hideMark/>
          </w:tcPr>
          <w:p w14:paraId="4E329C7A"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74,445</w:t>
            </w:r>
          </w:p>
        </w:tc>
        <w:tc>
          <w:tcPr>
            <w:tcW w:w="1097" w:type="dxa"/>
            <w:tcBorders>
              <w:top w:val="nil"/>
              <w:left w:val="nil"/>
              <w:bottom w:val="nil"/>
              <w:right w:val="nil"/>
            </w:tcBorders>
            <w:shd w:val="clear" w:color="000000" w:fill="FFFFFF"/>
            <w:noWrap/>
            <w:vAlign w:val="center"/>
            <w:hideMark/>
          </w:tcPr>
          <w:p w14:paraId="06A9E3E4"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0</w:t>
            </w:r>
          </w:p>
        </w:tc>
        <w:tc>
          <w:tcPr>
            <w:tcW w:w="1328" w:type="dxa"/>
            <w:tcBorders>
              <w:top w:val="nil"/>
              <w:left w:val="nil"/>
              <w:bottom w:val="nil"/>
              <w:right w:val="nil"/>
            </w:tcBorders>
            <w:shd w:val="clear" w:color="000000" w:fill="FFFFFF"/>
            <w:noWrap/>
            <w:vAlign w:val="center"/>
            <w:hideMark/>
          </w:tcPr>
          <w:p w14:paraId="3E986710"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0</w:t>
            </w:r>
          </w:p>
        </w:tc>
        <w:tc>
          <w:tcPr>
            <w:tcW w:w="1265" w:type="dxa"/>
            <w:tcBorders>
              <w:top w:val="nil"/>
              <w:left w:val="nil"/>
              <w:bottom w:val="nil"/>
              <w:right w:val="nil"/>
            </w:tcBorders>
            <w:shd w:val="clear" w:color="000000" w:fill="FFFFFF"/>
            <w:noWrap/>
            <w:vAlign w:val="center"/>
            <w:hideMark/>
          </w:tcPr>
          <w:p w14:paraId="77B6A45B"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12,953</w:t>
            </w:r>
          </w:p>
        </w:tc>
        <w:tc>
          <w:tcPr>
            <w:tcW w:w="988" w:type="dxa"/>
            <w:tcBorders>
              <w:top w:val="nil"/>
              <w:left w:val="nil"/>
              <w:bottom w:val="nil"/>
              <w:right w:val="single" w:sz="8" w:space="0" w:color="auto"/>
            </w:tcBorders>
            <w:shd w:val="clear" w:color="000000" w:fill="FFFFFF"/>
            <w:noWrap/>
            <w:vAlign w:val="center"/>
            <w:hideMark/>
          </w:tcPr>
          <w:p w14:paraId="34CC2534" w14:textId="77777777" w:rsidR="00A51DC5" w:rsidRPr="001377F8" w:rsidRDefault="00A51DC5" w:rsidP="00A51DC5">
            <w:pPr>
              <w:jc w:val="right"/>
              <w:rPr>
                <w:rFonts w:cs="Arial"/>
                <w:color w:val="000000"/>
                <w:sz w:val="16"/>
                <w:szCs w:val="16"/>
                <w:lang w:eastAsia="en-GB"/>
              </w:rPr>
            </w:pPr>
            <w:r w:rsidRPr="001377F8">
              <w:rPr>
                <w:rFonts w:cs="Arial"/>
                <w:color w:val="000000"/>
                <w:sz w:val="16"/>
                <w:szCs w:val="16"/>
                <w:lang w:eastAsia="en-GB"/>
              </w:rPr>
              <w:t>87,398</w:t>
            </w:r>
          </w:p>
        </w:tc>
      </w:tr>
      <w:tr w:rsidR="00A51DC5" w:rsidRPr="001377F8" w14:paraId="6D37F94C" w14:textId="77777777" w:rsidTr="001377F8">
        <w:trPr>
          <w:trHeight w:val="300"/>
        </w:trPr>
        <w:tc>
          <w:tcPr>
            <w:tcW w:w="3544" w:type="dxa"/>
            <w:tcBorders>
              <w:top w:val="nil"/>
              <w:left w:val="single" w:sz="8" w:space="0" w:color="auto"/>
              <w:bottom w:val="nil"/>
              <w:right w:val="nil"/>
            </w:tcBorders>
            <w:shd w:val="clear" w:color="000000" w:fill="FFFFFF"/>
            <w:noWrap/>
            <w:vAlign w:val="center"/>
            <w:hideMark/>
          </w:tcPr>
          <w:p w14:paraId="48B17792" w14:textId="77777777" w:rsidR="00A51DC5" w:rsidRPr="001377F8" w:rsidRDefault="00A51DC5" w:rsidP="00A51DC5">
            <w:pPr>
              <w:rPr>
                <w:rFonts w:cs="Arial"/>
                <w:b/>
                <w:bCs/>
                <w:color w:val="000000"/>
                <w:sz w:val="16"/>
                <w:szCs w:val="16"/>
                <w:lang w:eastAsia="en-GB"/>
              </w:rPr>
            </w:pPr>
            <w:r w:rsidRPr="001377F8">
              <w:rPr>
                <w:rFonts w:cs="Arial"/>
                <w:b/>
                <w:bCs/>
                <w:color w:val="000000"/>
                <w:sz w:val="16"/>
                <w:szCs w:val="16"/>
                <w:lang w:eastAsia="en-GB"/>
              </w:rPr>
              <w:t> </w:t>
            </w:r>
          </w:p>
        </w:tc>
        <w:tc>
          <w:tcPr>
            <w:tcW w:w="1134" w:type="dxa"/>
            <w:tcBorders>
              <w:top w:val="single" w:sz="4" w:space="0" w:color="auto"/>
              <w:left w:val="nil"/>
              <w:bottom w:val="double" w:sz="6" w:space="0" w:color="auto"/>
              <w:right w:val="nil"/>
            </w:tcBorders>
            <w:shd w:val="clear" w:color="000000" w:fill="FFFFFF"/>
            <w:noWrap/>
            <w:vAlign w:val="center"/>
            <w:hideMark/>
          </w:tcPr>
          <w:p w14:paraId="5B44FAD2" w14:textId="77777777" w:rsidR="00A51DC5" w:rsidRPr="001377F8" w:rsidRDefault="00A51DC5" w:rsidP="00A51DC5">
            <w:pPr>
              <w:jc w:val="right"/>
              <w:rPr>
                <w:rFonts w:cs="Arial"/>
                <w:b/>
                <w:bCs/>
                <w:color w:val="000000"/>
                <w:sz w:val="16"/>
                <w:szCs w:val="16"/>
                <w:lang w:eastAsia="en-GB"/>
              </w:rPr>
            </w:pPr>
            <w:r w:rsidRPr="001377F8">
              <w:rPr>
                <w:rFonts w:cs="Arial"/>
                <w:b/>
                <w:bCs/>
                <w:color w:val="000000"/>
                <w:sz w:val="16"/>
                <w:szCs w:val="16"/>
                <w:lang w:eastAsia="en-GB"/>
              </w:rPr>
              <w:t>251,477</w:t>
            </w:r>
          </w:p>
        </w:tc>
        <w:tc>
          <w:tcPr>
            <w:tcW w:w="1097" w:type="dxa"/>
            <w:tcBorders>
              <w:top w:val="single" w:sz="4" w:space="0" w:color="auto"/>
              <w:left w:val="nil"/>
              <w:bottom w:val="double" w:sz="6" w:space="0" w:color="auto"/>
              <w:right w:val="nil"/>
            </w:tcBorders>
            <w:shd w:val="clear" w:color="000000" w:fill="FFFFFF"/>
            <w:noWrap/>
            <w:vAlign w:val="center"/>
            <w:hideMark/>
          </w:tcPr>
          <w:p w14:paraId="005741E1" w14:textId="77777777" w:rsidR="00A51DC5" w:rsidRPr="001377F8" w:rsidRDefault="00A51DC5" w:rsidP="00A51DC5">
            <w:pPr>
              <w:jc w:val="right"/>
              <w:rPr>
                <w:rFonts w:cs="Arial"/>
                <w:b/>
                <w:bCs/>
                <w:color w:val="000000"/>
                <w:sz w:val="16"/>
                <w:szCs w:val="16"/>
                <w:lang w:eastAsia="en-GB"/>
              </w:rPr>
            </w:pPr>
            <w:r w:rsidRPr="001377F8">
              <w:rPr>
                <w:rFonts w:cs="Arial"/>
                <w:b/>
                <w:bCs/>
                <w:color w:val="000000"/>
                <w:sz w:val="16"/>
                <w:szCs w:val="16"/>
                <w:lang w:eastAsia="en-GB"/>
              </w:rPr>
              <w:t>642</w:t>
            </w:r>
          </w:p>
        </w:tc>
        <w:tc>
          <w:tcPr>
            <w:tcW w:w="1328" w:type="dxa"/>
            <w:tcBorders>
              <w:top w:val="single" w:sz="4" w:space="0" w:color="auto"/>
              <w:left w:val="nil"/>
              <w:bottom w:val="double" w:sz="6" w:space="0" w:color="auto"/>
              <w:right w:val="nil"/>
            </w:tcBorders>
            <w:shd w:val="clear" w:color="000000" w:fill="FFFFFF"/>
            <w:noWrap/>
            <w:vAlign w:val="center"/>
            <w:hideMark/>
          </w:tcPr>
          <w:p w14:paraId="2E870452" w14:textId="77777777" w:rsidR="00A51DC5" w:rsidRPr="001377F8" w:rsidRDefault="00A51DC5" w:rsidP="00A51DC5">
            <w:pPr>
              <w:jc w:val="right"/>
              <w:rPr>
                <w:rFonts w:cs="Arial"/>
                <w:b/>
                <w:bCs/>
                <w:color w:val="000000"/>
                <w:sz w:val="16"/>
                <w:szCs w:val="16"/>
                <w:lang w:eastAsia="en-GB"/>
              </w:rPr>
            </w:pPr>
            <w:r w:rsidRPr="001377F8">
              <w:rPr>
                <w:rFonts w:cs="Arial"/>
                <w:b/>
                <w:bCs/>
                <w:color w:val="000000"/>
                <w:sz w:val="16"/>
                <w:szCs w:val="16"/>
                <w:lang w:eastAsia="en-GB"/>
              </w:rPr>
              <w:t>0</w:t>
            </w:r>
          </w:p>
        </w:tc>
        <w:tc>
          <w:tcPr>
            <w:tcW w:w="1265" w:type="dxa"/>
            <w:tcBorders>
              <w:top w:val="single" w:sz="4" w:space="0" w:color="auto"/>
              <w:left w:val="nil"/>
              <w:bottom w:val="double" w:sz="6" w:space="0" w:color="auto"/>
              <w:right w:val="nil"/>
            </w:tcBorders>
            <w:shd w:val="clear" w:color="000000" w:fill="FFFFFF"/>
            <w:noWrap/>
            <w:vAlign w:val="center"/>
            <w:hideMark/>
          </w:tcPr>
          <w:p w14:paraId="0CBD7E62" w14:textId="77777777" w:rsidR="00A51DC5" w:rsidRPr="001377F8" w:rsidRDefault="00A51DC5" w:rsidP="00A51DC5">
            <w:pPr>
              <w:jc w:val="right"/>
              <w:rPr>
                <w:rFonts w:cs="Arial"/>
                <w:b/>
                <w:bCs/>
                <w:color w:val="000000"/>
                <w:sz w:val="16"/>
                <w:szCs w:val="16"/>
                <w:lang w:eastAsia="en-GB"/>
              </w:rPr>
            </w:pPr>
            <w:r w:rsidRPr="001377F8">
              <w:rPr>
                <w:rFonts w:cs="Arial"/>
                <w:b/>
                <w:bCs/>
                <w:color w:val="000000"/>
                <w:sz w:val="16"/>
                <w:szCs w:val="16"/>
                <w:lang w:eastAsia="en-GB"/>
              </w:rPr>
              <w:t>43,757</w:t>
            </w:r>
          </w:p>
        </w:tc>
        <w:tc>
          <w:tcPr>
            <w:tcW w:w="988" w:type="dxa"/>
            <w:tcBorders>
              <w:top w:val="single" w:sz="4" w:space="0" w:color="auto"/>
              <w:left w:val="nil"/>
              <w:bottom w:val="double" w:sz="6" w:space="0" w:color="auto"/>
              <w:right w:val="single" w:sz="8" w:space="0" w:color="auto"/>
            </w:tcBorders>
            <w:shd w:val="clear" w:color="000000" w:fill="FFFFFF"/>
            <w:noWrap/>
            <w:vAlign w:val="center"/>
            <w:hideMark/>
          </w:tcPr>
          <w:p w14:paraId="5CA62721" w14:textId="77777777" w:rsidR="00A51DC5" w:rsidRPr="001377F8" w:rsidRDefault="00A51DC5" w:rsidP="00A51DC5">
            <w:pPr>
              <w:jc w:val="right"/>
              <w:rPr>
                <w:rFonts w:cs="Arial"/>
                <w:b/>
                <w:bCs/>
                <w:color w:val="000000"/>
                <w:sz w:val="16"/>
                <w:szCs w:val="16"/>
                <w:lang w:eastAsia="en-GB"/>
              </w:rPr>
            </w:pPr>
            <w:r w:rsidRPr="001377F8">
              <w:rPr>
                <w:rFonts w:cs="Arial"/>
                <w:b/>
                <w:bCs/>
                <w:color w:val="000000"/>
                <w:sz w:val="16"/>
                <w:szCs w:val="16"/>
                <w:lang w:eastAsia="en-GB"/>
              </w:rPr>
              <w:t>295,876</w:t>
            </w:r>
          </w:p>
        </w:tc>
      </w:tr>
      <w:tr w:rsidR="00A51DC5" w:rsidRPr="001377F8" w14:paraId="5CFD7076" w14:textId="77777777" w:rsidTr="001377F8">
        <w:trPr>
          <w:trHeight w:val="310"/>
        </w:trPr>
        <w:tc>
          <w:tcPr>
            <w:tcW w:w="3544" w:type="dxa"/>
            <w:tcBorders>
              <w:top w:val="nil"/>
              <w:left w:val="single" w:sz="8" w:space="0" w:color="auto"/>
              <w:bottom w:val="single" w:sz="8" w:space="0" w:color="auto"/>
              <w:right w:val="nil"/>
            </w:tcBorders>
            <w:shd w:val="clear" w:color="000000" w:fill="FFFFFF"/>
            <w:noWrap/>
            <w:vAlign w:val="center"/>
            <w:hideMark/>
          </w:tcPr>
          <w:p w14:paraId="1763D06C" w14:textId="77777777" w:rsidR="00A51DC5" w:rsidRPr="001377F8" w:rsidRDefault="00A51DC5" w:rsidP="00A51DC5">
            <w:pPr>
              <w:rPr>
                <w:rFonts w:cs="Arial"/>
                <w:color w:val="000000"/>
                <w:sz w:val="16"/>
                <w:szCs w:val="16"/>
                <w:lang w:eastAsia="en-GB"/>
              </w:rPr>
            </w:pPr>
            <w:r w:rsidRPr="001377F8">
              <w:rPr>
                <w:rFonts w:cs="Arial"/>
                <w:color w:val="000000"/>
                <w:sz w:val="16"/>
                <w:szCs w:val="16"/>
                <w:lang w:eastAsia="en-GB"/>
              </w:rPr>
              <w:t> </w:t>
            </w:r>
          </w:p>
        </w:tc>
        <w:tc>
          <w:tcPr>
            <w:tcW w:w="1134" w:type="dxa"/>
            <w:tcBorders>
              <w:top w:val="nil"/>
              <w:left w:val="nil"/>
              <w:bottom w:val="single" w:sz="8" w:space="0" w:color="auto"/>
              <w:right w:val="nil"/>
            </w:tcBorders>
            <w:shd w:val="clear" w:color="000000" w:fill="FFFFFF"/>
            <w:noWrap/>
            <w:vAlign w:val="center"/>
            <w:hideMark/>
          </w:tcPr>
          <w:p w14:paraId="6B3F83CB" w14:textId="77777777" w:rsidR="00A51DC5" w:rsidRPr="001377F8" w:rsidRDefault="00A51DC5" w:rsidP="00A51DC5">
            <w:pPr>
              <w:rPr>
                <w:rFonts w:cs="Arial"/>
                <w:color w:val="000000"/>
                <w:sz w:val="16"/>
                <w:szCs w:val="16"/>
                <w:lang w:eastAsia="en-GB"/>
              </w:rPr>
            </w:pPr>
            <w:r w:rsidRPr="001377F8">
              <w:rPr>
                <w:rFonts w:cs="Arial"/>
                <w:color w:val="000000"/>
                <w:sz w:val="16"/>
                <w:szCs w:val="16"/>
                <w:lang w:eastAsia="en-GB"/>
              </w:rPr>
              <w:t> </w:t>
            </w:r>
          </w:p>
        </w:tc>
        <w:tc>
          <w:tcPr>
            <w:tcW w:w="1097" w:type="dxa"/>
            <w:tcBorders>
              <w:top w:val="nil"/>
              <w:left w:val="nil"/>
              <w:bottom w:val="single" w:sz="8" w:space="0" w:color="auto"/>
              <w:right w:val="nil"/>
            </w:tcBorders>
            <w:shd w:val="clear" w:color="000000" w:fill="FFFFFF"/>
            <w:noWrap/>
            <w:vAlign w:val="center"/>
            <w:hideMark/>
          </w:tcPr>
          <w:p w14:paraId="7EAFE44D" w14:textId="77777777" w:rsidR="00A51DC5" w:rsidRPr="001377F8" w:rsidRDefault="00A51DC5" w:rsidP="00A51DC5">
            <w:pPr>
              <w:rPr>
                <w:rFonts w:cs="Arial"/>
                <w:color w:val="000000"/>
                <w:sz w:val="16"/>
                <w:szCs w:val="16"/>
                <w:lang w:eastAsia="en-GB"/>
              </w:rPr>
            </w:pPr>
            <w:r w:rsidRPr="001377F8">
              <w:rPr>
                <w:rFonts w:cs="Arial"/>
                <w:color w:val="000000"/>
                <w:sz w:val="16"/>
                <w:szCs w:val="16"/>
                <w:lang w:eastAsia="en-GB"/>
              </w:rPr>
              <w:t> </w:t>
            </w:r>
          </w:p>
        </w:tc>
        <w:tc>
          <w:tcPr>
            <w:tcW w:w="1328" w:type="dxa"/>
            <w:tcBorders>
              <w:top w:val="nil"/>
              <w:left w:val="nil"/>
              <w:bottom w:val="single" w:sz="8" w:space="0" w:color="auto"/>
              <w:right w:val="nil"/>
            </w:tcBorders>
            <w:shd w:val="clear" w:color="000000" w:fill="FFFFFF"/>
            <w:noWrap/>
            <w:vAlign w:val="center"/>
            <w:hideMark/>
          </w:tcPr>
          <w:p w14:paraId="3CD64AFE" w14:textId="77777777" w:rsidR="00A51DC5" w:rsidRPr="001377F8" w:rsidRDefault="00A51DC5" w:rsidP="00A51DC5">
            <w:pPr>
              <w:rPr>
                <w:rFonts w:cs="Arial"/>
                <w:color w:val="000000"/>
                <w:sz w:val="16"/>
                <w:szCs w:val="16"/>
                <w:lang w:eastAsia="en-GB"/>
              </w:rPr>
            </w:pPr>
            <w:r w:rsidRPr="001377F8">
              <w:rPr>
                <w:rFonts w:cs="Arial"/>
                <w:color w:val="000000"/>
                <w:sz w:val="16"/>
                <w:szCs w:val="16"/>
                <w:lang w:eastAsia="en-GB"/>
              </w:rPr>
              <w:t> </w:t>
            </w:r>
          </w:p>
        </w:tc>
        <w:tc>
          <w:tcPr>
            <w:tcW w:w="1265" w:type="dxa"/>
            <w:tcBorders>
              <w:top w:val="nil"/>
              <w:left w:val="nil"/>
              <w:bottom w:val="single" w:sz="8" w:space="0" w:color="auto"/>
              <w:right w:val="nil"/>
            </w:tcBorders>
            <w:shd w:val="clear" w:color="000000" w:fill="FFFFFF"/>
            <w:noWrap/>
            <w:vAlign w:val="center"/>
            <w:hideMark/>
          </w:tcPr>
          <w:p w14:paraId="0407D735" w14:textId="77777777" w:rsidR="00A51DC5" w:rsidRPr="001377F8" w:rsidRDefault="00A51DC5" w:rsidP="00A51DC5">
            <w:pPr>
              <w:rPr>
                <w:rFonts w:cs="Arial"/>
                <w:color w:val="000000"/>
                <w:sz w:val="16"/>
                <w:szCs w:val="16"/>
                <w:lang w:eastAsia="en-GB"/>
              </w:rPr>
            </w:pPr>
            <w:r w:rsidRPr="001377F8">
              <w:rPr>
                <w:rFonts w:cs="Arial"/>
                <w:color w:val="000000"/>
                <w:sz w:val="16"/>
                <w:szCs w:val="16"/>
                <w:lang w:eastAsia="en-GB"/>
              </w:rPr>
              <w:t> </w:t>
            </w:r>
          </w:p>
        </w:tc>
        <w:tc>
          <w:tcPr>
            <w:tcW w:w="988" w:type="dxa"/>
            <w:tcBorders>
              <w:top w:val="nil"/>
              <w:left w:val="nil"/>
              <w:bottom w:val="single" w:sz="8" w:space="0" w:color="auto"/>
              <w:right w:val="single" w:sz="8" w:space="0" w:color="auto"/>
            </w:tcBorders>
            <w:shd w:val="clear" w:color="000000" w:fill="FFFFFF"/>
            <w:noWrap/>
            <w:vAlign w:val="center"/>
            <w:hideMark/>
          </w:tcPr>
          <w:p w14:paraId="3BD7B311" w14:textId="77777777" w:rsidR="00A51DC5" w:rsidRPr="001377F8" w:rsidRDefault="00A51DC5" w:rsidP="00A51DC5">
            <w:pPr>
              <w:rPr>
                <w:rFonts w:cs="Arial"/>
                <w:color w:val="000000"/>
                <w:sz w:val="16"/>
                <w:szCs w:val="16"/>
                <w:lang w:eastAsia="en-GB"/>
              </w:rPr>
            </w:pPr>
            <w:r w:rsidRPr="001377F8">
              <w:rPr>
                <w:rFonts w:cs="Arial"/>
                <w:color w:val="000000"/>
                <w:sz w:val="16"/>
                <w:szCs w:val="16"/>
                <w:lang w:eastAsia="en-GB"/>
              </w:rPr>
              <w:t> </w:t>
            </w:r>
          </w:p>
        </w:tc>
      </w:tr>
    </w:tbl>
    <w:p w14:paraId="05ED6B5B" w14:textId="739CC69A" w:rsidR="00DC1950" w:rsidRDefault="001377F8" w:rsidP="00261CF6">
      <w:pPr>
        <w:pStyle w:val="BlockText"/>
        <w:tabs>
          <w:tab w:val="clear" w:pos="1843"/>
          <w:tab w:val="left" w:pos="567"/>
        </w:tabs>
        <w:ind w:left="567" w:right="0"/>
        <w:rPr>
          <w:rFonts w:cs="Arial"/>
          <w:color w:val="000000"/>
          <w:sz w:val="16"/>
          <w:szCs w:val="16"/>
        </w:rPr>
      </w:pPr>
      <w:r>
        <w:rPr>
          <w:rFonts w:cs="Arial"/>
          <w:color w:val="000000"/>
          <w:sz w:val="16"/>
          <w:szCs w:val="16"/>
        </w:rPr>
        <w:t>*</w:t>
      </w:r>
      <w:r w:rsidRPr="001377F8">
        <w:rPr>
          <w:rFonts w:cs="Arial"/>
          <w:color w:val="000000"/>
          <w:sz w:val="16"/>
          <w:szCs w:val="16"/>
        </w:rPr>
        <w:t xml:space="preserve">(S151 Officer to </w:t>
      </w:r>
      <w:r w:rsidR="000820C9">
        <w:rPr>
          <w:rFonts w:cs="Arial"/>
          <w:color w:val="000000"/>
          <w:sz w:val="16"/>
          <w:szCs w:val="16"/>
        </w:rPr>
        <w:t xml:space="preserve">30 </w:t>
      </w:r>
      <w:r w:rsidRPr="001377F8">
        <w:rPr>
          <w:rFonts w:cs="Arial"/>
          <w:color w:val="000000"/>
          <w:sz w:val="16"/>
          <w:szCs w:val="16"/>
        </w:rPr>
        <w:t>June 2022)</w:t>
      </w:r>
    </w:p>
    <w:p w14:paraId="2EC411B4" w14:textId="0CE1C638" w:rsidR="001377F8" w:rsidRDefault="001377F8" w:rsidP="00261CF6">
      <w:pPr>
        <w:pStyle w:val="BlockText"/>
        <w:tabs>
          <w:tab w:val="clear" w:pos="1843"/>
          <w:tab w:val="left" w:pos="567"/>
        </w:tabs>
        <w:ind w:left="567" w:right="0"/>
        <w:rPr>
          <w:rFonts w:cs="Arial"/>
          <w:color w:val="000000"/>
          <w:sz w:val="16"/>
          <w:szCs w:val="16"/>
        </w:rPr>
      </w:pPr>
      <w:r>
        <w:rPr>
          <w:rFonts w:cs="Arial"/>
          <w:color w:val="000000"/>
          <w:sz w:val="16"/>
          <w:szCs w:val="16"/>
        </w:rPr>
        <w:t>**</w:t>
      </w:r>
      <w:r w:rsidRPr="001377F8">
        <w:rPr>
          <w:rFonts w:cs="Arial"/>
          <w:color w:val="000000"/>
          <w:sz w:val="16"/>
          <w:szCs w:val="16"/>
        </w:rPr>
        <w:t>(new post from 1 July 2022)</w:t>
      </w:r>
    </w:p>
    <w:p w14:paraId="57391656" w14:textId="18B24679" w:rsidR="001377F8" w:rsidRPr="004D5CA8" w:rsidRDefault="001377F8" w:rsidP="00261CF6">
      <w:pPr>
        <w:pStyle w:val="BlockText"/>
        <w:tabs>
          <w:tab w:val="clear" w:pos="1843"/>
          <w:tab w:val="left" w:pos="567"/>
        </w:tabs>
        <w:ind w:left="567" w:right="0"/>
        <w:rPr>
          <w:sz w:val="23"/>
          <w:szCs w:val="23"/>
          <w:highlight w:val="yellow"/>
        </w:rPr>
      </w:pPr>
      <w:r>
        <w:rPr>
          <w:rFonts w:cs="Arial"/>
          <w:color w:val="000000"/>
          <w:sz w:val="16"/>
          <w:szCs w:val="16"/>
        </w:rPr>
        <w:t>***</w:t>
      </w:r>
      <w:r w:rsidRPr="001377F8">
        <w:rPr>
          <w:rFonts w:cs="Arial"/>
          <w:color w:val="000000"/>
          <w:sz w:val="16"/>
          <w:szCs w:val="16"/>
        </w:rPr>
        <w:t>(S151 Officer from 3 October 2022)</w:t>
      </w:r>
    </w:p>
    <w:p w14:paraId="485A464E" w14:textId="77777777" w:rsidR="0052081A" w:rsidRPr="004D5CA8" w:rsidRDefault="0052081A" w:rsidP="006D2EED">
      <w:pPr>
        <w:pStyle w:val="BlockText"/>
        <w:tabs>
          <w:tab w:val="clear" w:pos="1843"/>
          <w:tab w:val="left" w:pos="709"/>
        </w:tabs>
        <w:ind w:left="709" w:right="0"/>
        <w:rPr>
          <w:sz w:val="23"/>
          <w:szCs w:val="23"/>
          <w:highlight w:val="yellow"/>
        </w:rPr>
      </w:pPr>
    </w:p>
    <w:p w14:paraId="485A464F" w14:textId="1A982C4B" w:rsidR="0052081A" w:rsidRPr="004D5CA8" w:rsidRDefault="0052081A" w:rsidP="004D25F6">
      <w:pPr>
        <w:pStyle w:val="BlockText"/>
        <w:tabs>
          <w:tab w:val="clear" w:pos="1843"/>
          <w:tab w:val="left" w:pos="709"/>
        </w:tabs>
        <w:ind w:left="709" w:right="0" w:hanging="709"/>
        <w:jc w:val="center"/>
        <w:rPr>
          <w:sz w:val="23"/>
          <w:szCs w:val="23"/>
          <w:highlight w:val="yellow"/>
        </w:rPr>
      </w:pPr>
      <w:bookmarkStart w:id="6" w:name="_MON_1557833814"/>
      <w:bookmarkEnd w:id="6"/>
    </w:p>
    <w:p w14:paraId="485A4651" w14:textId="77777777" w:rsidR="00CC7E49" w:rsidRPr="00FA4708" w:rsidRDefault="00CC7E49" w:rsidP="004D6E4E">
      <w:pPr>
        <w:pStyle w:val="BlockText"/>
        <w:tabs>
          <w:tab w:val="clear" w:pos="1843"/>
          <w:tab w:val="left" w:pos="709"/>
        </w:tabs>
        <w:ind w:left="0" w:right="0"/>
        <w:rPr>
          <w:sz w:val="23"/>
          <w:szCs w:val="23"/>
        </w:rPr>
      </w:pPr>
      <w:r w:rsidRPr="00FA4708">
        <w:rPr>
          <w:sz w:val="23"/>
          <w:szCs w:val="23"/>
        </w:rPr>
        <w:t xml:space="preserve">The Accounts and Audit Regulations 2015 </w:t>
      </w:r>
      <w:r w:rsidR="003A2C62" w:rsidRPr="00FA4708">
        <w:rPr>
          <w:sz w:val="23"/>
          <w:szCs w:val="23"/>
        </w:rPr>
        <w:t xml:space="preserve">also </w:t>
      </w:r>
      <w:r w:rsidRPr="00FA4708">
        <w:rPr>
          <w:sz w:val="23"/>
          <w:szCs w:val="23"/>
        </w:rPr>
        <w:t xml:space="preserve">require that local authorities disclose details of the number of other employees whose remuneration, excluding pension contributions, exceeds £50,000 in bands of £5,000. </w:t>
      </w:r>
    </w:p>
    <w:p w14:paraId="56C218AC" w14:textId="77777777" w:rsidR="00FA4708" w:rsidRDefault="00FA4708" w:rsidP="004D6E4E">
      <w:pPr>
        <w:pStyle w:val="BlockText"/>
        <w:tabs>
          <w:tab w:val="clear" w:pos="1843"/>
          <w:tab w:val="left" w:pos="709"/>
        </w:tabs>
        <w:ind w:left="0" w:right="0"/>
        <w:rPr>
          <w:sz w:val="23"/>
          <w:szCs w:val="23"/>
          <w:highlight w:val="yellow"/>
        </w:rPr>
      </w:pPr>
    </w:p>
    <w:p w14:paraId="057FBF85" w14:textId="77777777" w:rsidR="00FA4708" w:rsidRDefault="00FA4708" w:rsidP="004D6E4E">
      <w:pPr>
        <w:pStyle w:val="BlockText"/>
        <w:tabs>
          <w:tab w:val="clear" w:pos="1843"/>
          <w:tab w:val="left" w:pos="709"/>
        </w:tabs>
        <w:ind w:left="0" w:right="0"/>
        <w:rPr>
          <w:sz w:val="23"/>
          <w:szCs w:val="23"/>
          <w:highlight w:val="yellow"/>
        </w:rPr>
      </w:pPr>
    </w:p>
    <w:tbl>
      <w:tblPr>
        <w:tblW w:w="5803" w:type="dxa"/>
        <w:jc w:val="center"/>
        <w:tblLook w:val="04A0" w:firstRow="1" w:lastRow="0" w:firstColumn="1" w:lastColumn="0" w:noHBand="0" w:noVBand="1"/>
      </w:tblPr>
      <w:tblGrid>
        <w:gridCol w:w="1550"/>
        <w:gridCol w:w="2977"/>
        <w:gridCol w:w="1276"/>
      </w:tblGrid>
      <w:tr w:rsidR="00FA4708" w:rsidRPr="00FA4708" w14:paraId="61C628EC" w14:textId="77777777" w:rsidTr="00FA4708">
        <w:trPr>
          <w:trHeight w:val="460"/>
          <w:jc w:val="center"/>
        </w:trPr>
        <w:tc>
          <w:tcPr>
            <w:tcW w:w="1550" w:type="dxa"/>
            <w:tcBorders>
              <w:top w:val="single" w:sz="8" w:space="0" w:color="auto"/>
              <w:left w:val="single" w:sz="8" w:space="0" w:color="auto"/>
              <w:bottom w:val="nil"/>
              <w:right w:val="single" w:sz="8" w:space="0" w:color="auto"/>
            </w:tcBorders>
            <w:shd w:val="clear" w:color="000000" w:fill="000000"/>
            <w:vAlign w:val="center"/>
            <w:hideMark/>
          </w:tcPr>
          <w:p w14:paraId="7384A18C" w14:textId="77777777" w:rsidR="00FA4708" w:rsidRPr="00FA4708" w:rsidRDefault="00FA4708" w:rsidP="00FA4708">
            <w:pPr>
              <w:jc w:val="center"/>
              <w:rPr>
                <w:rFonts w:cs="Arial"/>
                <w:color w:val="FFFFFF"/>
                <w:sz w:val="18"/>
                <w:szCs w:val="18"/>
                <w:lang w:eastAsia="en-GB"/>
              </w:rPr>
            </w:pPr>
            <w:r w:rsidRPr="00FA4708">
              <w:rPr>
                <w:rFonts w:cs="Arial"/>
                <w:color w:val="FFFFFF"/>
                <w:sz w:val="18"/>
                <w:szCs w:val="18"/>
                <w:lang w:eastAsia="en-GB"/>
              </w:rPr>
              <w:t>No of Employees</w:t>
            </w:r>
          </w:p>
        </w:tc>
        <w:tc>
          <w:tcPr>
            <w:tcW w:w="2977" w:type="dxa"/>
            <w:tcBorders>
              <w:top w:val="single" w:sz="8" w:space="0" w:color="auto"/>
              <w:left w:val="nil"/>
              <w:bottom w:val="nil"/>
              <w:right w:val="nil"/>
            </w:tcBorders>
            <w:shd w:val="clear" w:color="000000" w:fill="000000"/>
            <w:vAlign w:val="center"/>
            <w:hideMark/>
          </w:tcPr>
          <w:p w14:paraId="423667E1" w14:textId="77777777" w:rsidR="00FA4708" w:rsidRPr="00FA4708" w:rsidRDefault="00FA4708" w:rsidP="00FA4708">
            <w:pPr>
              <w:jc w:val="center"/>
              <w:rPr>
                <w:rFonts w:cs="Arial"/>
                <w:color w:val="FFFFFF"/>
                <w:sz w:val="18"/>
                <w:szCs w:val="18"/>
                <w:lang w:eastAsia="en-GB"/>
              </w:rPr>
            </w:pPr>
            <w:r w:rsidRPr="00FA4708">
              <w:rPr>
                <w:rFonts w:cs="Arial"/>
                <w:color w:val="FFFFFF"/>
                <w:sz w:val="18"/>
                <w:szCs w:val="18"/>
                <w:lang w:eastAsia="en-GB"/>
              </w:rPr>
              <w:t>Remuneration Band</w:t>
            </w:r>
          </w:p>
        </w:tc>
        <w:tc>
          <w:tcPr>
            <w:tcW w:w="1276" w:type="dxa"/>
            <w:tcBorders>
              <w:top w:val="single" w:sz="8" w:space="0" w:color="auto"/>
              <w:left w:val="single" w:sz="8" w:space="0" w:color="auto"/>
              <w:bottom w:val="nil"/>
              <w:right w:val="single" w:sz="8" w:space="0" w:color="auto"/>
            </w:tcBorders>
            <w:shd w:val="clear" w:color="000000" w:fill="000000"/>
            <w:vAlign w:val="center"/>
            <w:hideMark/>
          </w:tcPr>
          <w:p w14:paraId="3C3BEB7F" w14:textId="77777777" w:rsidR="00FA4708" w:rsidRPr="00FA4708" w:rsidRDefault="00FA4708" w:rsidP="00FA4708">
            <w:pPr>
              <w:jc w:val="center"/>
              <w:rPr>
                <w:rFonts w:cs="Arial"/>
                <w:color w:val="FFFFFF"/>
                <w:sz w:val="18"/>
                <w:szCs w:val="18"/>
                <w:lang w:eastAsia="en-GB"/>
              </w:rPr>
            </w:pPr>
            <w:r w:rsidRPr="00FA4708">
              <w:rPr>
                <w:rFonts w:cs="Arial"/>
                <w:color w:val="FFFFFF"/>
                <w:sz w:val="18"/>
                <w:szCs w:val="18"/>
                <w:lang w:eastAsia="en-GB"/>
              </w:rPr>
              <w:t>No of Employees</w:t>
            </w:r>
          </w:p>
        </w:tc>
      </w:tr>
      <w:tr w:rsidR="00FA4708" w:rsidRPr="00FA4708" w14:paraId="73E5E359" w14:textId="77777777" w:rsidTr="00FA4708">
        <w:trPr>
          <w:trHeight w:val="300"/>
          <w:jc w:val="center"/>
        </w:trPr>
        <w:tc>
          <w:tcPr>
            <w:tcW w:w="1550" w:type="dxa"/>
            <w:tcBorders>
              <w:top w:val="nil"/>
              <w:left w:val="single" w:sz="8" w:space="0" w:color="auto"/>
              <w:bottom w:val="single" w:sz="8" w:space="0" w:color="auto"/>
              <w:right w:val="single" w:sz="8" w:space="0" w:color="auto"/>
            </w:tcBorders>
            <w:shd w:val="clear" w:color="000000" w:fill="000000"/>
            <w:noWrap/>
            <w:vAlign w:val="center"/>
            <w:hideMark/>
          </w:tcPr>
          <w:p w14:paraId="0A1CD202" w14:textId="77777777" w:rsidR="00FA4708" w:rsidRPr="00FA4708" w:rsidRDefault="00FA4708" w:rsidP="00FA4708">
            <w:pPr>
              <w:jc w:val="center"/>
              <w:rPr>
                <w:rFonts w:cs="Arial"/>
                <w:color w:val="FFFFFF"/>
                <w:sz w:val="18"/>
                <w:szCs w:val="18"/>
                <w:lang w:eastAsia="en-GB"/>
              </w:rPr>
            </w:pPr>
            <w:r w:rsidRPr="00FA4708">
              <w:rPr>
                <w:rFonts w:cs="Arial"/>
                <w:color w:val="FFFFFF"/>
                <w:sz w:val="18"/>
                <w:szCs w:val="18"/>
                <w:lang w:eastAsia="en-GB"/>
              </w:rPr>
              <w:t>2021/22</w:t>
            </w:r>
          </w:p>
        </w:tc>
        <w:tc>
          <w:tcPr>
            <w:tcW w:w="2977" w:type="dxa"/>
            <w:tcBorders>
              <w:top w:val="nil"/>
              <w:left w:val="nil"/>
              <w:bottom w:val="single" w:sz="8" w:space="0" w:color="auto"/>
              <w:right w:val="nil"/>
            </w:tcBorders>
            <w:shd w:val="clear" w:color="000000" w:fill="000000"/>
            <w:noWrap/>
            <w:vAlign w:val="center"/>
            <w:hideMark/>
          </w:tcPr>
          <w:p w14:paraId="0EB15C43" w14:textId="77777777" w:rsidR="00FA4708" w:rsidRPr="00FA4708" w:rsidRDefault="00FA4708" w:rsidP="00FA4708">
            <w:pPr>
              <w:jc w:val="center"/>
              <w:rPr>
                <w:rFonts w:cs="Arial"/>
                <w:color w:val="FFFFFF"/>
                <w:sz w:val="18"/>
                <w:szCs w:val="18"/>
                <w:lang w:eastAsia="en-GB"/>
              </w:rPr>
            </w:pPr>
            <w:r w:rsidRPr="00FA4708">
              <w:rPr>
                <w:rFonts w:cs="Arial"/>
                <w:color w:val="FFFFFF"/>
                <w:sz w:val="18"/>
                <w:szCs w:val="18"/>
                <w:lang w:eastAsia="en-GB"/>
              </w:rPr>
              <w:t> </w:t>
            </w:r>
          </w:p>
        </w:tc>
        <w:tc>
          <w:tcPr>
            <w:tcW w:w="1276" w:type="dxa"/>
            <w:tcBorders>
              <w:top w:val="nil"/>
              <w:left w:val="single" w:sz="8" w:space="0" w:color="auto"/>
              <w:bottom w:val="single" w:sz="8" w:space="0" w:color="auto"/>
              <w:right w:val="single" w:sz="8" w:space="0" w:color="auto"/>
            </w:tcBorders>
            <w:shd w:val="clear" w:color="000000" w:fill="000000"/>
            <w:noWrap/>
            <w:vAlign w:val="center"/>
            <w:hideMark/>
          </w:tcPr>
          <w:p w14:paraId="452D3F65" w14:textId="77777777" w:rsidR="00FA4708" w:rsidRPr="00FA4708" w:rsidRDefault="00FA4708" w:rsidP="00FA4708">
            <w:pPr>
              <w:jc w:val="center"/>
              <w:rPr>
                <w:rFonts w:cs="Arial"/>
                <w:color w:val="FFFFFF"/>
                <w:sz w:val="18"/>
                <w:szCs w:val="18"/>
                <w:lang w:eastAsia="en-GB"/>
              </w:rPr>
            </w:pPr>
            <w:r w:rsidRPr="00FA4708">
              <w:rPr>
                <w:rFonts w:cs="Arial"/>
                <w:color w:val="FFFFFF"/>
                <w:sz w:val="18"/>
                <w:szCs w:val="18"/>
                <w:lang w:eastAsia="en-GB"/>
              </w:rPr>
              <w:t>2022/23</w:t>
            </w:r>
          </w:p>
        </w:tc>
      </w:tr>
      <w:tr w:rsidR="00FA4708" w:rsidRPr="00FA4708" w14:paraId="7140D670" w14:textId="77777777" w:rsidTr="00FA4708">
        <w:trPr>
          <w:trHeight w:val="290"/>
          <w:jc w:val="center"/>
        </w:trPr>
        <w:tc>
          <w:tcPr>
            <w:tcW w:w="1550" w:type="dxa"/>
            <w:tcBorders>
              <w:top w:val="nil"/>
              <w:left w:val="single" w:sz="8" w:space="0" w:color="auto"/>
              <w:bottom w:val="nil"/>
              <w:right w:val="single" w:sz="8" w:space="0" w:color="auto"/>
            </w:tcBorders>
            <w:shd w:val="clear" w:color="000000" w:fill="FFFFFF"/>
            <w:noWrap/>
            <w:vAlign w:val="center"/>
            <w:hideMark/>
          </w:tcPr>
          <w:p w14:paraId="554FCF7B" w14:textId="77777777" w:rsidR="00FA4708" w:rsidRPr="00FA4708" w:rsidRDefault="00FA4708" w:rsidP="00FA4708">
            <w:pPr>
              <w:jc w:val="center"/>
              <w:rPr>
                <w:rFonts w:cs="Arial"/>
                <w:color w:val="FFFFFF"/>
                <w:sz w:val="20"/>
                <w:szCs w:val="20"/>
                <w:lang w:eastAsia="en-GB"/>
              </w:rPr>
            </w:pPr>
            <w:r w:rsidRPr="00FA4708">
              <w:rPr>
                <w:rFonts w:cs="Arial"/>
                <w:color w:val="FFFFFF"/>
                <w:sz w:val="20"/>
                <w:szCs w:val="20"/>
                <w:lang w:eastAsia="en-GB"/>
              </w:rPr>
              <w:t> </w:t>
            </w:r>
          </w:p>
        </w:tc>
        <w:tc>
          <w:tcPr>
            <w:tcW w:w="2977" w:type="dxa"/>
            <w:tcBorders>
              <w:top w:val="nil"/>
              <w:left w:val="nil"/>
              <w:bottom w:val="nil"/>
              <w:right w:val="nil"/>
            </w:tcBorders>
            <w:shd w:val="clear" w:color="000000" w:fill="FFFFFF"/>
            <w:noWrap/>
            <w:vAlign w:val="center"/>
            <w:hideMark/>
          </w:tcPr>
          <w:p w14:paraId="71D78F27" w14:textId="77777777" w:rsidR="00FA4708" w:rsidRPr="00FA4708" w:rsidRDefault="00FA4708" w:rsidP="00FA4708">
            <w:pPr>
              <w:jc w:val="center"/>
              <w:rPr>
                <w:rFonts w:cs="Arial"/>
                <w:color w:val="FFFFFF"/>
                <w:sz w:val="20"/>
                <w:szCs w:val="20"/>
                <w:lang w:eastAsia="en-GB"/>
              </w:rPr>
            </w:pPr>
            <w:r w:rsidRPr="00FA4708">
              <w:rPr>
                <w:rFonts w:cs="Arial"/>
                <w:color w:val="FFFFFF"/>
                <w:sz w:val="20"/>
                <w:szCs w:val="20"/>
                <w:lang w:eastAsia="en-GB"/>
              </w:rPr>
              <w:t> </w:t>
            </w:r>
          </w:p>
        </w:tc>
        <w:tc>
          <w:tcPr>
            <w:tcW w:w="1276" w:type="dxa"/>
            <w:tcBorders>
              <w:top w:val="nil"/>
              <w:left w:val="single" w:sz="8" w:space="0" w:color="auto"/>
              <w:bottom w:val="nil"/>
              <w:right w:val="single" w:sz="8" w:space="0" w:color="auto"/>
            </w:tcBorders>
            <w:shd w:val="clear" w:color="auto" w:fill="auto"/>
            <w:noWrap/>
            <w:vAlign w:val="bottom"/>
            <w:hideMark/>
          </w:tcPr>
          <w:p w14:paraId="759BB377" w14:textId="6D010273" w:rsidR="00FA4708" w:rsidRPr="00FA4708" w:rsidRDefault="00FA4708" w:rsidP="00FA4708">
            <w:pPr>
              <w:jc w:val="center"/>
              <w:rPr>
                <w:rFonts w:ascii="Calibri" w:hAnsi="Calibri" w:cs="Calibri"/>
                <w:color w:val="000000"/>
                <w:sz w:val="22"/>
                <w:szCs w:val="22"/>
                <w:lang w:eastAsia="en-GB"/>
              </w:rPr>
            </w:pPr>
          </w:p>
        </w:tc>
      </w:tr>
      <w:tr w:rsidR="00FA4708" w:rsidRPr="00FA4708" w14:paraId="3BA85AE5" w14:textId="77777777" w:rsidTr="00FA4708">
        <w:trPr>
          <w:trHeight w:val="290"/>
          <w:jc w:val="center"/>
        </w:trPr>
        <w:tc>
          <w:tcPr>
            <w:tcW w:w="1550" w:type="dxa"/>
            <w:tcBorders>
              <w:top w:val="nil"/>
              <w:left w:val="single" w:sz="8" w:space="0" w:color="auto"/>
              <w:bottom w:val="nil"/>
              <w:right w:val="single" w:sz="8" w:space="0" w:color="auto"/>
            </w:tcBorders>
            <w:shd w:val="clear" w:color="000000" w:fill="FFFFFF"/>
            <w:noWrap/>
            <w:vAlign w:val="center"/>
            <w:hideMark/>
          </w:tcPr>
          <w:p w14:paraId="5F6F6A6A" w14:textId="77777777" w:rsidR="00FA4708" w:rsidRPr="00FA4708" w:rsidRDefault="00FA4708" w:rsidP="00FA4708">
            <w:pPr>
              <w:jc w:val="center"/>
              <w:rPr>
                <w:rFonts w:cs="Arial"/>
                <w:color w:val="000000"/>
                <w:sz w:val="20"/>
                <w:szCs w:val="20"/>
                <w:lang w:eastAsia="en-GB"/>
              </w:rPr>
            </w:pPr>
            <w:r w:rsidRPr="00FA4708">
              <w:rPr>
                <w:rFonts w:cs="Arial"/>
                <w:color w:val="000000"/>
                <w:sz w:val="20"/>
                <w:szCs w:val="20"/>
                <w:lang w:eastAsia="en-GB"/>
              </w:rPr>
              <w:t>4</w:t>
            </w:r>
          </w:p>
        </w:tc>
        <w:tc>
          <w:tcPr>
            <w:tcW w:w="2977" w:type="dxa"/>
            <w:tcBorders>
              <w:top w:val="nil"/>
              <w:left w:val="nil"/>
              <w:bottom w:val="nil"/>
              <w:right w:val="nil"/>
            </w:tcBorders>
            <w:shd w:val="clear" w:color="000000" w:fill="FFFFFF"/>
            <w:noWrap/>
            <w:vAlign w:val="center"/>
            <w:hideMark/>
          </w:tcPr>
          <w:p w14:paraId="50525BB8" w14:textId="77777777" w:rsidR="00FA4708" w:rsidRPr="00FA4708" w:rsidRDefault="00FA4708" w:rsidP="00FA4708">
            <w:pPr>
              <w:jc w:val="center"/>
              <w:rPr>
                <w:rFonts w:cs="Arial"/>
                <w:color w:val="000000"/>
                <w:sz w:val="20"/>
                <w:szCs w:val="20"/>
                <w:lang w:eastAsia="en-GB"/>
              </w:rPr>
            </w:pPr>
            <w:r w:rsidRPr="00FA4708">
              <w:rPr>
                <w:rFonts w:cs="Arial"/>
                <w:color w:val="000000"/>
                <w:sz w:val="20"/>
                <w:szCs w:val="20"/>
                <w:lang w:eastAsia="en-GB"/>
              </w:rPr>
              <w:t>£50,000 - £54,999</w:t>
            </w:r>
          </w:p>
        </w:tc>
        <w:tc>
          <w:tcPr>
            <w:tcW w:w="1276" w:type="dxa"/>
            <w:tcBorders>
              <w:top w:val="nil"/>
              <w:left w:val="single" w:sz="8" w:space="0" w:color="auto"/>
              <w:bottom w:val="nil"/>
              <w:right w:val="single" w:sz="8" w:space="0" w:color="auto"/>
            </w:tcBorders>
            <w:shd w:val="clear" w:color="auto" w:fill="auto"/>
            <w:noWrap/>
            <w:vAlign w:val="bottom"/>
            <w:hideMark/>
          </w:tcPr>
          <w:p w14:paraId="02957B50" w14:textId="77777777" w:rsidR="00FA4708" w:rsidRPr="00FA4708" w:rsidRDefault="00FA4708" w:rsidP="00FA4708">
            <w:pPr>
              <w:jc w:val="center"/>
              <w:rPr>
                <w:rFonts w:ascii="Calibri" w:hAnsi="Calibri" w:cs="Calibri"/>
                <w:color w:val="000000"/>
                <w:sz w:val="22"/>
                <w:szCs w:val="22"/>
                <w:lang w:eastAsia="en-GB"/>
              </w:rPr>
            </w:pPr>
            <w:r w:rsidRPr="00FA4708">
              <w:rPr>
                <w:rFonts w:ascii="Calibri" w:hAnsi="Calibri" w:cs="Calibri"/>
                <w:color w:val="000000"/>
                <w:sz w:val="22"/>
                <w:szCs w:val="22"/>
                <w:lang w:eastAsia="en-GB"/>
              </w:rPr>
              <w:t>3</w:t>
            </w:r>
          </w:p>
        </w:tc>
      </w:tr>
      <w:tr w:rsidR="00FA4708" w:rsidRPr="00FA4708" w14:paraId="5CF7A7EB" w14:textId="77777777" w:rsidTr="00FA4708">
        <w:trPr>
          <w:trHeight w:val="290"/>
          <w:jc w:val="center"/>
        </w:trPr>
        <w:tc>
          <w:tcPr>
            <w:tcW w:w="1550" w:type="dxa"/>
            <w:tcBorders>
              <w:top w:val="nil"/>
              <w:left w:val="single" w:sz="8" w:space="0" w:color="auto"/>
              <w:bottom w:val="nil"/>
              <w:right w:val="single" w:sz="8" w:space="0" w:color="auto"/>
            </w:tcBorders>
            <w:shd w:val="clear" w:color="000000" w:fill="FFFFFF"/>
            <w:noWrap/>
            <w:vAlign w:val="center"/>
            <w:hideMark/>
          </w:tcPr>
          <w:p w14:paraId="44B3CAD3" w14:textId="77777777" w:rsidR="00FA4708" w:rsidRPr="00FA4708" w:rsidRDefault="00FA4708" w:rsidP="00FA4708">
            <w:pPr>
              <w:jc w:val="center"/>
              <w:rPr>
                <w:rFonts w:cs="Arial"/>
                <w:color w:val="000000"/>
                <w:sz w:val="20"/>
                <w:szCs w:val="20"/>
                <w:lang w:eastAsia="en-GB"/>
              </w:rPr>
            </w:pPr>
            <w:r w:rsidRPr="00FA4708">
              <w:rPr>
                <w:rFonts w:cs="Arial"/>
                <w:color w:val="000000"/>
                <w:sz w:val="20"/>
                <w:szCs w:val="20"/>
                <w:lang w:eastAsia="en-GB"/>
              </w:rPr>
              <w:t>2</w:t>
            </w:r>
          </w:p>
        </w:tc>
        <w:tc>
          <w:tcPr>
            <w:tcW w:w="2977" w:type="dxa"/>
            <w:tcBorders>
              <w:top w:val="nil"/>
              <w:left w:val="nil"/>
              <w:bottom w:val="nil"/>
              <w:right w:val="nil"/>
            </w:tcBorders>
            <w:shd w:val="clear" w:color="000000" w:fill="FFFFFF"/>
            <w:noWrap/>
            <w:vAlign w:val="center"/>
            <w:hideMark/>
          </w:tcPr>
          <w:p w14:paraId="4078E402" w14:textId="77777777" w:rsidR="00FA4708" w:rsidRPr="00FA4708" w:rsidRDefault="00FA4708" w:rsidP="00FA4708">
            <w:pPr>
              <w:jc w:val="center"/>
              <w:rPr>
                <w:rFonts w:cs="Arial"/>
                <w:color w:val="000000"/>
                <w:sz w:val="20"/>
                <w:szCs w:val="20"/>
                <w:lang w:eastAsia="en-GB"/>
              </w:rPr>
            </w:pPr>
            <w:r w:rsidRPr="00FA4708">
              <w:rPr>
                <w:rFonts w:cs="Arial"/>
                <w:color w:val="000000"/>
                <w:sz w:val="20"/>
                <w:szCs w:val="20"/>
                <w:lang w:eastAsia="en-GB"/>
              </w:rPr>
              <w:t>£55,000 - £59,999</w:t>
            </w:r>
          </w:p>
        </w:tc>
        <w:tc>
          <w:tcPr>
            <w:tcW w:w="1276" w:type="dxa"/>
            <w:tcBorders>
              <w:top w:val="nil"/>
              <w:left w:val="single" w:sz="8" w:space="0" w:color="auto"/>
              <w:bottom w:val="nil"/>
              <w:right w:val="single" w:sz="8" w:space="0" w:color="auto"/>
            </w:tcBorders>
            <w:shd w:val="clear" w:color="auto" w:fill="auto"/>
            <w:noWrap/>
            <w:vAlign w:val="bottom"/>
            <w:hideMark/>
          </w:tcPr>
          <w:p w14:paraId="78CFF505" w14:textId="77777777" w:rsidR="00FA4708" w:rsidRPr="00FA4708" w:rsidRDefault="00FA4708" w:rsidP="00FA4708">
            <w:pPr>
              <w:jc w:val="center"/>
              <w:rPr>
                <w:rFonts w:ascii="Calibri" w:hAnsi="Calibri" w:cs="Calibri"/>
                <w:color w:val="000000"/>
                <w:sz w:val="22"/>
                <w:szCs w:val="22"/>
                <w:lang w:eastAsia="en-GB"/>
              </w:rPr>
            </w:pPr>
            <w:r w:rsidRPr="00FA4708">
              <w:rPr>
                <w:rFonts w:ascii="Calibri" w:hAnsi="Calibri" w:cs="Calibri"/>
                <w:color w:val="000000"/>
                <w:sz w:val="22"/>
                <w:szCs w:val="22"/>
                <w:lang w:eastAsia="en-GB"/>
              </w:rPr>
              <w:t>3</w:t>
            </w:r>
          </w:p>
        </w:tc>
      </w:tr>
      <w:tr w:rsidR="00FA4708" w:rsidRPr="00FA4708" w14:paraId="23E8122B" w14:textId="77777777" w:rsidTr="00FA4708">
        <w:trPr>
          <w:trHeight w:val="290"/>
          <w:jc w:val="center"/>
        </w:trPr>
        <w:tc>
          <w:tcPr>
            <w:tcW w:w="1550" w:type="dxa"/>
            <w:tcBorders>
              <w:top w:val="nil"/>
              <w:left w:val="single" w:sz="8" w:space="0" w:color="auto"/>
              <w:bottom w:val="nil"/>
              <w:right w:val="single" w:sz="8" w:space="0" w:color="auto"/>
            </w:tcBorders>
            <w:shd w:val="clear" w:color="000000" w:fill="FFFFFF"/>
            <w:noWrap/>
            <w:vAlign w:val="center"/>
            <w:hideMark/>
          </w:tcPr>
          <w:p w14:paraId="23F1B9D0" w14:textId="77777777" w:rsidR="00FA4708" w:rsidRPr="00FA4708" w:rsidRDefault="00FA4708" w:rsidP="00FA4708">
            <w:pPr>
              <w:jc w:val="center"/>
              <w:rPr>
                <w:rFonts w:cs="Arial"/>
                <w:color w:val="000000"/>
                <w:sz w:val="20"/>
                <w:szCs w:val="20"/>
                <w:lang w:eastAsia="en-GB"/>
              </w:rPr>
            </w:pPr>
            <w:r w:rsidRPr="00FA4708">
              <w:rPr>
                <w:rFonts w:cs="Arial"/>
                <w:color w:val="000000"/>
                <w:sz w:val="20"/>
                <w:szCs w:val="20"/>
                <w:lang w:eastAsia="en-GB"/>
              </w:rPr>
              <w:t>0</w:t>
            </w:r>
          </w:p>
        </w:tc>
        <w:tc>
          <w:tcPr>
            <w:tcW w:w="2977" w:type="dxa"/>
            <w:tcBorders>
              <w:top w:val="nil"/>
              <w:left w:val="nil"/>
              <w:bottom w:val="nil"/>
              <w:right w:val="nil"/>
            </w:tcBorders>
            <w:shd w:val="clear" w:color="000000" w:fill="FFFFFF"/>
            <w:noWrap/>
            <w:vAlign w:val="center"/>
            <w:hideMark/>
          </w:tcPr>
          <w:p w14:paraId="0B72396E" w14:textId="77777777" w:rsidR="00FA4708" w:rsidRPr="00FA4708" w:rsidRDefault="00FA4708" w:rsidP="00FA4708">
            <w:pPr>
              <w:jc w:val="center"/>
              <w:rPr>
                <w:rFonts w:cs="Arial"/>
                <w:color w:val="000000"/>
                <w:sz w:val="20"/>
                <w:szCs w:val="20"/>
                <w:lang w:eastAsia="en-GB"/>
              </w:rPr>
            </w:pPr>
            <w:r w:rsidRPr="00FA4708">
              <w:rPr>
                <w:rFonts w:cs="Arial"/>
                <w:color w:val="000000"/>
                <w:sz w:val="20"/>
                <w:szCs w:val="20"/>
                <w:lang w:eastAsia="en-GB"/>
              </w:rPr>
              <w:t>£60,000 - £64,999</w:t>
            </w:r>
          </w:p>
        </w:tc>
        <w:tc>
          <w:tcPr>
            <w:tcW w:w="1276" w:type="dxa"/>
            <w:tcBorders>
              <w:top w:val="nil"/>
              <w:left w:val="single" w:sz="8" w:space="0" w:color="auto"/>
              <w:bottom w:val="nil"/>
              <w:right w:val="single" w:sz="8" w:space="0" w:color="auto"/>
            </w:tcBorders>
            <w:shd w:val="clear" w:color="auto" w:fill="auto"/>
            <w:noWrap/>
            <w:vAlign w:val="bottom"/>
            <w:hideMark/>
          </w:tcPr>
          <w:p w14:paraId="3811F4C6" w14:textId="77777777" w:rsidR="00FA4708" w:rsidRPr="00FA4708" w:rsidRDefault="00FA4708" w:rsidP="00FA4708">
            <w:pPr>
              <w:jc w:val="center"/>
              <w:rPr>
                <w:rFonts w:ascii="Calibri" w:hAnsi="Calibri" w:cs="Calibri"/>
                <w:color w:val="000000"/>
                <w:sz w:val="22"/>
                <w:szCs w:val="22"/>
                <w:lang w:eastAsia="en-GB"/>
              </w:rPr>
            </w:pPr>
            <w:r w:rsidRPr="00FA4708">
              <w:rPr>
                <w:rFonts w:ascii="Calibri" w:hAnsi="Calibri" w:cs="Calibri"/>
                <w:color w:val="000000"/>
                <w:sz w:val="22"/>
                <w:szCs w:val="22"/>
                <w:lang w:eastAsia="en-GB"/>
              </w:rPr>
              <w:t>1</w:t>
            </w:r>
          </w:p>
        </w:tc>
      </w:tr>
      <w:tr w:rsidR="00FA4708" w:rsidRPr="00FA4708" w14:paraId="44E3AA4C" w14:textId="77777777" w:rsidTr="00FA4708">
        <w:trPr>
          <w:trHeight w:val="290"/>
          <w:jc w:val="center"/>
        </w:trPr>
        <w:tc>
          <w:tcPr>
            <w:tcW w:w="1550" w:type="dxa"/>
            <w:tcBorders>
              <w:top w:val="nil"/>
              <w:left w:val="single" w:sz="8" w:space="0" w:color="auto"/>
              <w:bottom w:val="nil"/>
              <w:right w:val="single" w:sz="8" w:space="0" w:color="auto"/>
            </w:tcBorders>
            <w:shd w:val="clear" w:color="000000" w:fill="FFFFFF"/>
            <w:noWrap/>
            <w:vAlign w:val="center"/>
            <w:hideMark/>
          </w:tcPr>
          <w:p w14:paraId="190DC4FB" w14:textId="77777777" w:rsidR="00FA4708" w:rsidRPr="00FA4708" w:rsidRDefault="00FA4708" w:rsidP="00FA4708">
            <w:pPr>
              <w:jc w:val="center"/>
              <w:rPr>
                <w:rFonts w:cs="Arial"/>
                <w:color w:val="000000"/>
                <w:sz w:val="20"/>
                <w:szCs w:val="20"/>
                <w:lang w:eastAsia="en-GB"/>
              </w:rPr>
            </w:pPr>
            <w:r w:rsidRPr="00FA4708">
              <w:rPr>
                <w:rFonts w:cs="Arial"/>
                <w:color w:val="000000"/>
                <w:sz w:val="20"/>
                <w:szCs w:val="20"/>
                <w:lang w:eastAsia="en-GB"/>
              </w:rPr>
              <w:t>2</w:t>
            </w:r>
          </w:p>
        </w:tc>
        <w:tc>
          <w:tcPr>
            <w:tcW w:w="2977" w:type="dxa"/>
            <w:tcBorders>
              <w:top w:val="nil"/>
              <w:left w:val="nil"/>
              <w:bottom w:val="nil"/>
              <w:right w:val="nil"/>
            </w:tcBorders>
            <w:shd w:val="clear" w:color="000000" w:fill="FFFFFF"/>
            <w:noWrap/>
            <w:vAlign w:val="center"/>
            <w:hideMark/>
          </w:tcPr>
          <w:p w14:paraId="404A7DFE" w14:textId="77777777" w:rsidR="00FA4708" w:rsidRPr="00FA4708" w:rsidRDefault="00FA4708" w:rsidP="00FA4708">
            <w:pPr>
              <w:jc w:val="center"/>
              <w:rPr>
                <w:rFonts w:cs="Arial"/>
                <w:color w:val="000000"/>
                <w:sz w:val="20"/>
                <w:szCs w:val="20"/>
                <w:lang w:eastAsia="en-GB"/>
              </w:rPr>
            </w:pPr>
            <w:r w:rsidRPr="00FA4708">
              <w:rPr>
                <w:rFonts w:cs="Arial"/>
                <w:color w:val="000000"/>
                <w:sz w:val="20"/>
                <w:szCs w:val="20"/>
                <w:lang w:eastAsia="en-GB"/>
              </w:rPr>
              <w:t>£65,000 - £69,999</w:t>
            </w:r>
          </w:p>
        </w:tc>
        <w:tc>
          <w:tcPr>
            <w:tcW w:w="1276" w:type="dxa"/>
            <w:tcBorders>
              <w:top w:val="nil"/>
              <w:left w:val="single" w:sz="8" w:space="0" w:color="auto"/>
              <w:bottom w:val="nil"/>
              <w:right w:val="single" w:sz="8" w:space="0" w:color="auto"/>
            </w:tcBorders>
            <w:shd w:val="clear" w:color="auto" w:fill="auto"/>
            <w:noWrap/>
            <w:vAlign w:val="bottom"/>
            <w:hideMark/>
          </w:tcPr>
          <w:p w14:paraId="04D04495" w14:textId="77777777" w:rsidR="00FA4708" w:rsidRPr="00FA4708" w:rsidRDefault="00FA4708" w:rsidP="00FA4708">
            <w:pPr>
              <w:jc w:val="center"/>
              <w:rPr>
                <w:rFonts w:ascii="Calibri" w:hAnsi="Calibri" w:cs="Calibri"/>
                <w:color w:val="000000"/>
                <w:sz w:val="22"/>
                <w:szCs w:val="22"/>
                <w:lang w:eastAsia="en-GB"/>
              </w:rPr>
            </w:pPr>
            <w:r w:rsidRPr="00FA4708">
              <w:rPr>
                <w:rFonts w:ascii="Calibri" w:hAnsi="Calibri" w:cs="Calibri"/>
                <w:color w:val="000000"/>
                <w:sz w:val="22"/>
                <w:szCs w:val="22"/>
                <w:lang w:eastAsia="en-GB"/>
              </w:rPr>
              <w:t>1</w:t>
            </w:r>
          </w:p>
        </w:tc>
      </w:tr>
      <w:tr w:rsidR="00FA4708" w:rsidRPr="00FA4708" w14:paraId="4C7F3EBE" w14:textId="77777777" w:rsidTr="00FA4708">
        <w:trPr>
          <w:trHeight w:val="300"/>
          <w:jc w:val="center"/>
        </w:trPr>
        <w:tc>
          <w:tcPr>
            <w:tcW w:w="1550" w:type="dxa"/>
            <w:tcBorders>
              <w:top w:val="nil"/>
              <w:left w:val="single" w:sz="8" w:space="0" w:color="auto"/>
              <w:bottom w:val="single" w:sz="8" w:space="0" w:color="auto"/>
              <w:right w:val="single" w:sz="8" w:space="0" w:color="auto"/>
            </w:tcBorders>
            <w:shd w:val="clear" w:color="000000" w:fill="FFFFFF"/>
            <w:noWrap/>
            <w:vAlign w:val="center"/>
            <w:hideMark/>
          </w:tcPr>
          <w:p w14:paraId="6D08F8DA" w14:textId="77777777" w:rsidR="00FA4708" w:rsidRPr="00FA4708" w:rsidRDefault="00FA4708" w:rsidP="00FA4708">
            <w:pPr>
              <w:jc w:val="center"/>
              <w:rPr>
                <w:rFonts w:cs="Arial"/>
                <w:color w:val="FFFFFF"/>
                <w:sz w:val="20"/>
                <w:szCs w:val="20"/>
                <w:lang w:eastAsia="en-GB"/>
              </w:rPr>
            </w:pPr>
            <w:r w:rsidRPr="00FA4708">
              <w:rPr>
                <w:rFonts w:cs="Arial"/>
                <w:color w:val="FFFFFF"/>
                <w:sz w:val="20"/>
                <w:szCs w:val="20"/>
                <w:lang w:eastAsia="en-GB"/>
              </w:rPr>
              <w:t> </w:t>
            </w:r>
          </w:p>
        </w:tc>
        <w:tc>
          <w:tcPr>
            <w:tcW w:w="2977" w:type="dxa"/>
            <w:tcBorders>
              <w:top w:val="nil"/>
              <w:left w:val="nil"/>
              <w:bottom w:val="single" w:sz="8" w:space="0" w:color="auto"/>
              <w:right w:val="nil"/>
            </w:tcBorders>
            <w:shd w:val="clear" w:color="000000" w:fill="FFFFFF"/>
            <w:noWrap/>
            <w:vAlign w:val="center"/>
            <w:hideMark/>
          </w:tcPr>
          <w:p w14:paraId="0C3FBBD5" w14:textId="77777777" w:rsidR="00FA4708" w:rsidRPr="00FA4708" w:rsidRDefault="00FA4708" w:rsidP="00FA4708">
            <w:pPr>
              <w:jc w:val="center"/>
              <w:rPr>
                <w:rFonts w:cs="Arial"/>
                <w:color w:val="FFFFFF"/>
                <w:sz w:val="20"/>
                <w:szCs w:val="20"/>
                <w:lang w:eastAsia="en-GB"/>
              </w:rPr>
            </w:pPr>
            <w:r w:rsidRPr="00FA4708">
              <w:rPr>
                <w:rFonts w:cs="Arial"/>
                <w:color w:val="FFFFFF"/>
                <w:sz w:val="20"/>
                <w:szCs w:val="20"/>
                <w:lang w:eastAsia="en-GB"/>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04159EF1" w14:textId="5AC7E292" w:rsidR="00FA4708" w:rsidRPr="00FA4708" w:rsidRDefault="00FA4708" w:rsidP="00FA4708">
            <w:pPr>
              <w:jc w:val="center"/>
              <w:rPr>
                <w:rFonts w:ascii="Calibri" w:hAnsi="Calibri" w:cs="Calibri"/>
                <w:color w:val="000000"/>
                <w:sz w:val="22"/>
                <w:szCs w:val="22"/>
                <w:lang w:eastAsia="en-GB"/>
              </w:rPr>
            </w:pPr>
          </w:p>
        </w:tc>
      </w:tr>
    </w:tbl>
    <w:p w14:paraId="6E9DC40A" w14:textId="77777777" w:rsidR="00FA4708" w:rsidRPr="004D5CA8" w:rsidRDefault="00FA4708" w:rsidP="004D6E4E">
      <w:pPr>
        <w:pStyle w:val="BlockText"/>
        <w:tabs>
          <w:tab w:val="clear" w:pos="1843"/>
          <w:tab w:val="left" w:pos="709"/>
        </w:tabs>
        <w:ind w:left="0" w:right="0"/>
        <w:rPr>
          <w:highlight w:val="yellow"/>
        </w:rPr>
      </w:pPr>
    </w:p>
    <w:p w14:paraId="485A4656" w14:textId="77777777" w:rsidR="003B58E0" w:rsidRPr="004D5CA8" w:rsidRDefault="003B58E0" w:rsidP="003B58E0">
      <w:pPr>
        <w:rPr>
          <w:highlight w:val="yellow"/>
          <w:lang w:eastAsia="en-GB"/>
        </w:rPr>
      </w:pPr>
      <w:bookmarkStart w:id="7" w:name="_MON_1429554262"/>
      <w:bookmarkStart w:id="8" w:name="_MON_1361867940"/>
      <w:bookmarkStart w:id="9" w:name="_MON_1361868003"/>
      <w:bookmarkStart w:id="10" w:name="_MON_1361868019"/>
      <w:bookmarkStart w:id="11" w:name="_MON_1366115557"/>
      <w:bookmarkStart w:id="12" w:name="_MON_1369553011"/>
      <w:bookmarkStart w:id="13" w:name="_MON_1395561547"/>
      <w:bookmarkStart w:id="14" w:name="_MON_1395561564"/>
      <w:bookmarkStart w:id="15" w:name="_MON_1395662749"/>
      <w:bookmarkStart w:id="16" w:name="_MON_1395662934"/>
      <w:bookmarkStart w:id="17" w:name="_MON_1401171493"/>
      <w:bookmarkStart w:id="18" w:name="_MON_1402319446"/>
      <w:bookmarkStart w:id="19" w:name="_MON_1402319536"/>
      <w:bookmarkStart w:id="20" w:name="_MON_1402319876"/>
      <w:bookmarkStart w:id="21" w:name="_MON_140231989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85A4657" w14:textId="5B09C1FA" w:rsidR="004050EA" w:rsidRPr="00FA4708" w:rsidRDefault="004D6E4E" w:rsidP="004D6E4E">
      <w:pPr>
        <w:rPr>
          <w:lang w:eastAsia="en-GB"/>
        </w:rPr>
      </w:pPr>
      <w:r w:rsidRPr="00FA4708">
        <w:rPr>
          <w:lang w:eastAsia="en-GB"/>
        </w:rPr>
        <w:t>There w</w:t>
      </w:r>
      <w:r w:rsidR="00FA4708" w:rsidRPr="00FA4708">
        <w:rPr>
          <w:lang w:eastAsia="en-GB"/>
        </w:rPr>
        <w:t>ere two voluntary termination agreements and one redundancy due to the end of a fixed term contract. All packages were in the range £0-£19,999.</w:t>
      </w:r>
    </w:p>
    <w:p w14:paraId="485A4658" w14:textId="20128AB5" w:rsidR="0095291D" w:rsidRPr="004D5CA8" w:rsidRDefault="0095291D">
      <w:pPr>
        <w:rPr>
          <w:highlight w:val="yellow"/>
          <w:lang w:eastAsia="en-GB"/>
        </w:rPr>
      </w:pPr>
    </w:p>
    <w:p w14:paraId="026014EE" w14:textId="3B0F9367" w:rsidR="00D1443A" w:rsidRPr="004D5CA8" w:rsidRDefault="00D1443A">
      <w:pPr>
        <w:rPr>
          <w:highlight w:val="yellow"/>
          <w:lang w:eastAsia="en-GB"/>
        </w:rPr>
      </w:pPr>
    </w:p>
    <w:p w14:paraId="3EE76536" w14:textId="77777777" w:rsidR="000D7C2D" w:rsidRDefault="000D7C2D" w:rsidP="00261CF6">
      <w:pPr>
        <w:pStyle w:val="Subtitle"/>
        <w:numPr>
          <w:ilvl w:val="0"/>
          <w:numId w:val="0"/>
        </w:numPr>
        <w:tabs>
          <w:tab w:val="left" w:pos="-709"/>
          <w:tab w:val="left" w:pos="-284"/>
          <w:tab w:val="left" w:pos="-142"/>
          <w:tab w:val="left" w:pos="180"/>
          <w:tab w:val="left" w:pos="567"/>
        </w:tabs>
        <w:spacing w:line="240" w:lineRule="atLeast"/>
        <w:ind w:right="680"/>
        <w:rPr>
          <w:rFonts w:ascii="Arial" w:hAnsi="Arial" w:cs="Arial"/>
          <w:b/>
          <w:i w:val="0"/>
          <w:sz w:val="23"/>
          <w:szCs w:val="23"/>
          <w:u w:val="none"/>
        </w:rPr>
      </w:pPr>
    </w:p>
    <w:p w14:paraId="485A4659" w14:textId="4E229126" w:rsidR="00E00863" w:rsidRPr="005F6EE1" w:rsidRDefault="004D6A42" w:rsidP="00261CF6">
      <w:pPr>
        <w:pStyle w:val="Subtitle"/>
        <w:numPr>
          <w:ilvl w:val="0"/>
          <w:numId w:val="0"/>
        </w:numPr>
        <w:tabs>
          <w:tab w:val="left" w:pos="-709"/>
          <w:tab w:val="left" w:pos="-284"/>
          <w:tab w:val="left" w:pos="-142"/>
          <w:tab w:val="left" w:pos="180"/>
          <w:tab w:val="left" w:pos="567"/>
        </w:tabs>
        <w:spacing w:line="240" w:lineRule="atLeast"/>
        <w:ind w:right="680"/>
        <w:rPr>
          <w:rFonts w:ascii="Arial" w:hAnsi="Arial" w:cs="Arial"/>
          <w:b/>
          <w:i w:val="0"/>
          <w:sz w:val="23"/>
          <w:szCs w:val="23"/>
          <w:u w:val="none"/>
        </w:rPr>
      </w:pPr>
      <w:r w:rsidRPr="005F6EE1">
        <w:rPr>
          <w:rFonts w:ascii="Arial" w:hAnsi="Arial" w:cs="Arial"/>
          <w:b/>
          <w:i w:val="0"/>
          <w:sz w:val="23"/>
          <w:szCs w:val="23"/>
          <w:u w:val="none"/>
        </w:rPr>
        <w:lastRenderedPageBreak/>
        <w:t>1</w:t>
      </w:r>
      <w:r w:rsidR="00261CF6" w:rsidRPr="005F6EE1">
        <w:rPr>
          <w:rFonts w:ascii="Arial" w:hAnsi="Arial" w:cs="Arial"/>
          <w:b/>
          <w:i w:val="0"/>
          <w:sz w:val="23"/>
          <w:szCs w:val="23"/>
          <w:u w:val="none"/>
        </w:rPr>
        <w:t>1</w:t>
      </w:r>
      <w:r w:rsidR="009948E8" w:rsidRPr="005F6EE1">
        <w:rPr>
          <w:rFonts w:ascii="Arial" w:hAnsi="Arial" w:cs="Arial"/>
          <w:b/>
          <w:i w:val="0"/>
          <w:sz w:val="23"/>
          <w:szCs w:val="23"/>
          <w:u w:val="none"/>
        </w:rPr>
        <w:t>.</w:t>
      </w:r>
      <w:r w:rsidR="009948E8" w:rsidRPr="005F6EE1">
        <w:rPr>
          <w:rFonts w:ascii="Arial" w:hAnsi="Arial" w:cs="Arial"/>
          <w:b/>
          <w:i w:val="0"/>
          <w:sz w:val="23"/>
          <w:szCs w:val="23"/>
          <w:u w:val="none"/>
        </w:rPr>
        <w:tab/>
      </w:r>
      <w:r w:rsidR="00E00863" w:rsidRPr="005F6EE1">
        <w:rPr>
          <w:rFonts w:ascii="Arial" w:eastAsia="Times New Roman" w:hAnsi="Arial"/>
          <w:b/>
          <w:i w:val="0"/>
          <w:iCs w:val="0"/>
          <w:spacing w:val="0"/>
          <w:sz w:val="23"/>
          <w:szCs w:val="23"/>
          <w:u w:val="none"/>
          <w:lang w:eastAsia="en-US"/>
        </w:rPr>
        <w:t>Members’ Allowances</w:t>
      </w:r>
    </w:p>
    <w:p w14:paraId="485A465A" w14:textId="77777777" w:rsidR="004D6A42" w:rsidRPr="005F6EE1" w:rsidRDefault="004D6A42" w:rsidP="00040C1A">
      <w:pPr>
        <w:pStyle w:val="BlockText"/>
        <w:ind w:left="0"/>
      </w:pPr>
    </w:p>
    <w:p w14:paraId="4FBD51A4" w14:textId="77777777" w:rsidR="00DC1950" w:rsidRPr="005F6EE1" w:rsidRDefault="00E00863" w:rsidP="00040C1A">
      <w:pPr>
        <w:pStyle w:val="BlockText"/>
        <w:ind w:left="0"/>
        <w:rPr>
          <w:rFonts w:eastAsia="Times New Roman"/>
          <w:sz w:val="23"/>
          <w:szCs w:val="23"/>
          <w:lang w:eastAsia="en-US"/>
        </w:rPr>
      </w:pPr>
      <w:r w:rsidRPr="005F6EE1">
        <w:rPr>
          <w:rFonts w:eastAsia="Times New Roman"/>
          <w:sz w:val="23"/>
          <w:szCs w:val="23"/>
          <w:lang w:eastAsia="en-US"/>
        </w:rPr>
        <w:t xml:space="preserve">The Code of Practice on Local Authority Accounting requires that Local Authorities disclose details of allowances paid to elected members during the year. </w:t>
      </w:r>
    </w:p>
    <w:p w14:paraId="58548A03" w14:textId="77777777" w:rsidR="00DC1950" w:rsidRPr="005F6EE1" w:rsidRDefault="00DC1950" w:rsidP="00040C1A">
      <w:pPr>
        <w:pStyle w:val="BlockText"/>
        <w:ind w:left="0"/>
        <w:rPr>
          <w:rFonts w:eastAsia="Times New Roman"/>
          <w:sz w:val="23"/>
          <w:szCs w:val="23"/>
          <w:lang w:eastAsia="en-US"/>
        </w:rPr>
      </w:pPr>
    </w:p>
    <w:p w14:paraId="485A465C" w14:textId="18F0BBF5" w:rsidR="00BC15E3" w:rsidRPr="005F6EE1" w:rsidRDefault="00E00863" w:rsidP="00040C1A">
      <w:pPr>
        <w:pStyle w:val="BlockText"/>
        <w:ind w:left="0"/>
        <w:rPr>
          <w:sz w:val="23"/>
          <w:szCs w:val="23"/>
        </w:rPr>
      </w:pPr>
      <w:r w:rsidRPr="005F6EE1">
        <w:rPr>
          <w:rFonts w:eastAsia="Times New Roman"/>
          <w:sz w:val="23"/>
          <w:szCs w:val="23"/>
          <w:lang w:eastAsia="en-US"/>
        </w:rPr>
        <w:t>Details of allowances paid in 20</w:t>
      </w:r>
      <w:r w:rsidR="0018764B" w:rsidRPr="005F6EE1">
        <w:rPr>
          <w:rFonts w:eastAsia="Times New Roman"/>
          <w:sz w:val="23"/>
          <w:szCs w:val="23"/>
          <w:lang w:eastAsia="en-US"/>
        </w:rPr>
        <w:t>2</w:t>
      </w:r>
      <w:r w:rsidR="00FA4708" w:rsidRPr="005F6EE1">
        <w:rPr>
          <w:rFonts w:eastAsia="Times New Roman"/>
          <w:sz w:val="23"/>
          <w:szCs w:val="23"/>
          <w:lang w:eastAsia="en-US"/>
        </w:rPr>
        <w:t>2</w:t>
      </w:r>
      <w:r w:rsidR="004E110A" w:rsidRPr="005F6EE1">
        <w:rPr>
          <w:rFonts w:eastAsia="Times New Roman"/>
          <w:sz w:val="23"/>
          <w:szCs w:val="23"/>
          <w:lang w:eastAsia="en-US"/>
        </w:rPr>
        <w:t>/</w:t>
      </w:r>
      <w:r w:rsidR="00DE1CFA" w:rsidRPr="005F6EE1">
        <w:rPr>
          <w:rFonts w:eastAsia="Times New Roman"/>
          <w:sz w:val="23"/>
          <w:szCs w:val="23"/>
          <w:lang w:eastAsia="en-US"/>
        </w:rPr>
        <w:t>2</w:t>
      </w:r>
      <w:r w:rsidR="00FA4708" w:rsidRPr="005F6EE1">
        <w:rPr>
          <w:rFonts w:eastAsia="Times New Roman"/>
          <w:sz w:val="23"/>
          <w:szCs w:val="23"/>
          <w:lang w:eastAsia="en-US"/>
        </w:rPr>
        <w:t>3</w:t>
      </w:r>
      <w:r w:rsidR="00A90E02" w:rsidRPr="005F6EE1">
        <w:rPr>
          <w:rFonts w:eastAsia="Times New Roman"/>
          <w:sz w:val="23"/>
          <w:szCs w:val="23"/>
          <w:lang w:eastAsia="en-US"/>
        </w:rPr>
        <w:t xml:space="preserve"> </w:t>
      </w:r>
      <w:r w:rsidR="00ED0F63" w:rsidRPr="005F6EE1">
        <w:rPr>
          <w:rFonts w:eastAsia="Times New Roman"/>
          <w:sz w:val="23"/>
          <w:szCs w:val="23"/>
          <w:lang w:eastAsia="en-US"/>
        </w:rPr>
        <w:t xml:space="preserve">to members and independent persons appointed by the Authority to comply with its obligations under </w:t>
      </w:r>
      <w:r w:rsidR="004D6A42" w:rsidRPr="005F6EE1">
        <w:rPr>
          <w:rFonts w:eastAsia="Times New Roman"/>
          <w:sz w:val="23"/>
          <w:szCs w:val="23"/>
          <w:lang w:eastAsia="en-US"/>
        </w:rPr>
        <w:t>t</w:t>
      </w:r>
      <w:r w:rsidR="00ED0F63" w:rsidRPr="005F6EE1">
        <w:t>he Localism Act</w:t>
      </w:r>
      <w:r w:rsidR="00ED0F63" w:rsidRPr="005F6EE1">
        <w:rPr>
          <w:sz w:val="23"/>
          <w:szCs w:val="23"/>
        </w:rPr>
        <w:t xml:space="preserve"> 2011 </w:t>
      </w:r>
      <w:r w:rsidRPr="005F6EE1">
        <w:rPr>
          <w:sz w:val="23"/>
          <w:szCs w:val="23"/>
        </w:rPr>
        <w:t>are as follows:</w:t>
      </w:r>
    </w:p>
    <w:p w14:paraId="7FFED975" w14:textId="77777777" w:rsidR="005F6EE1" w:rsidRDefault="005F6EE1" w:rsidP="00040C1A">
      <w:pPr>
        <w:pStyle w:val="BlockText"/>
        <w:ind w:left="0"/>
        <w:rPr>
          <w:sz w:val="23"/>
          <w:szCs w:val="23"/>
          <w:highlight w:val="yellow"/>
        </w:rPr>
      </w:pPr>
    </w:p>
    <w:tbl>
      <w:tblPr>
        <w:tblW w:w="864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2"/>
        <w:gridCol w:w="1172"/>
        <w:gridCol w:w="1172"/>
        <w:gridCol w:w="302"/>
        <w:gridCol w:w="157"/>
        <w:gridCol w:w="302"/>
        <w:gridCol w:w="706"/>
        <w:gridCol w:w="302"/>
        <w:gridCol w:w="1008"/>
        <w:gridCol w:w="302"/>
        <w:gridCol w:w="857"/>
        <w:gridCol w:w="302"/>
        <w:gridCol w:w="888"/>
      </w:tblGrid>
      <w:tr w:rsidR="005F6EE1" w:rsidRPr="005F6EE1" w14:paraId="7A8C3570" w14:textId="77777777" w:rsidTr="007D2E50">
        <w:trPr>
          <w:trHeight w:val="534"/>
          <w:jc w:val="center"/>
        </w:trPr>
        <w:tc>
          <w:tcPr>
            <w:tcW w:w="1172" w:type="dxa"/>
            <w:shd w:val="clear" w:color="000000" w:fill="000000"/>
            <w:noWrap/>
            <w:vAlign w:val="center"/>
            <w:hideMark/>
          </w:tcPr>
          <w:p w14:paraId="28E359B8" w14:textId="77777777" w:rsidR="005F6EE1" w:rsidRPr="005F6EE1" w:rsidRDefault="005F6EE1" w:rsidP="005F6EE1">
            <w:pPr>
              <w:rPr>
                <w:rFonts w:cs="Arial"/>
                <w:b/>
                <w:bCs/>
                <w:color w:val="FFFFFF"/>
                <w:sz w:val="16"/>
                <w:szCs w:val="16"/>
                <w:lang w:eastAsia="en-GB"/>
              </w:rPr>
            </w:pPr>
            <w:r w:rsidRPr="005F6EE1">
              <w:rPr>
                <w:rFonts w:cs="Arial"/>
                <w:b/>
                <w:bCs/>
                <w:color w:val="FFFFFF"/>
                <w:sz w:val="16"/>
                <w:szCs w:val="16"/>
                <w:lang w:eastAsia="en-GB"/>
              </w:rPr>
              <w:t> </w:t>
            </w:r>
          </w:p>
        </w:tc>
        <w:tc>
          <w:tcPr>
            <w:tcW w:w="1172" w:type="dxa"/>
            <w:shd w:val="clear" w:color="000000" w:fill="000000"/>
            <w:noWrap/>
            <w:vAlign w:val="center"/>
            <w:hideMark/>
          </w:tcPr>
          <w:p w14:paraId="34F5A0DD" w14:textId="77777777" w:rsidR="005F6EE1" w:rsidRPr="005F6EE1" w:rsidRDefault="005F6EE1" w:rsidP="005F6EE1">
            <w:pPr>
              <w:rPr>
                <w:rFonts w:cs="Arial"/>
                <w:b/>
                <w:bCs/>
                <w:color w:val="FFFFFF"/>
                <w:sz w:val="16"/>
                <w:szCs w:val="16"/>
                <w:lang w:eastAsia="en-GB"/>
              </w:rPr>
            </w:pPr>
            <w:r w:rsidRPr="005F6EE1">
              <w:rPr>
                <w:rFonts w:cs="Arial"/>
                <w:b/>
                <w:bCs/>
                <w:color w:val="FFFFFF"/>
                <w:sz w:val="16"/>
                <w:szCs w:val="16"/>
                <w:lang w:eastAsia="en-GB"/>
              </w:rPr>
              <w:t> </w:t>
            </w:r>
          </w:p>
        </w:tc>
        <w:tc>
          <w:tcPr>
            <w:tcW w:w="1172" w:type="dxa"/>
            <w:shd w:val="clear" w:color="000000" w:fill="000000"/>
            <w:noWrap/>
            <w:vAlign w:val="center"/>
            <w:hideMark/>
          </w:tcPr>
          <w:p w14:paraId="4E2920E4" w14:textId="77777777" w:rsidR="005F6EE1" w:rsidRPr="005F6EE1" w:rsidRDefault="005F6EE1" w:rsidP="005F6EE1">
            <w:pPr>
              <w:rPr>
                <w:rFonts w:cs="Arial"/>
                <w:b/>
                <w:bCs/>
                <w:color w:val="FFFFFF"/>
                <w:sz w:val="16"/>
                <w:szCs w:val="16"/>
                <w:lang w:eastAsia="en-GB"/>
              </w:rPr>
            </w:pPr>
            <w:r w:rsidRPr="005F6EE1">
              <w:rPr>
                <w:rFonts w:cs="Arial"/>
                <w:b/>
                <w:bCs/>
                <w:color w:val="FFFFFF"/>
                <w:sz w:val="16"/>
                <w:szCs w:val="16"/>
                <w:lang w:eastAsia="en-GB"/>
              </w:rPr>
              <w:t> </w:t>
            </w:r>
          </w:p>
        </w:tc>
        <w:tc>
          <w:tcPr>
            <w:tcW w:w="459" w:type="dxa"/>
            <w:gridSpan w:val="2"/>
            <w:shd w:val="clear" w:color="000000" w:fill="000000"/>
            <w:noWrap/>
            <w:textDirection w:val="btLr"/>
            <w:vAlign w:val="center"/>
            <w:hideMark/>
          </w:tcPr>
          <w:p w14:paraId="1ADFA62B" w14:textId="6ED0431F" w:rsidR="005F6EE1" w:rsidRPr="005F6EE1" w:rsidRDefault="005F6EE1" w:rsidP="005F6EE1">
            <w:pPr>
              <w:jc w:val="both"/>
              <w:rPr>
                <w:rFonts w:cs="Arial"/>
                <w:b/>
                <w:bCs/>
                <w:color w:val="FFFFFF"/>
                <w:sz w:val="16"/>
                <w:szCs w:val="16"/>
                <w:lang w:eastAsia="en-GB"/>
              </w:rPr>
            </w:pPr>
            <w:r w:rsidRPr="005F6EE1">
              <w:rPr>
                <w:rFonts w:cs="Arial"/>
                <w:b/>
                <w:bCs/>
                <w:color w:val="FFFFFF"/>
                <w:sz w:val="16"/>
                <w:szCs w:val="16"/>
                <w:lang w:eastAsia="en-GB"/>
              </w:rPr>
              <w:t>Notes</w:t>
            </w:r>
          </w:p>
        </w:tc>
        <w:tc>
          <w:tcPr>
            <w:tcW w:w="1008" w:type="dxa"/>
            <w:gridSpan w:val="2"/>
            <w:shd w:val="clear" w:color="000000" w:fill="000000"/>
            <w:noWrap/>
            <w:vAlign w:val="center"/>
            <w:hideMark/>
          </w:tcPr>
          <w:p w14:paraId="10F68336" w14:textId="77777777" w:rsidR="005F6EE1" w:rsidRPr="005F6EE1" w:rsidRDefault="005F6EE1" w:rsidP="005F6EE1">
            <w:pPr>
              <w:jc w:val="center"/>
              <w:rPr>
                <w:rFonts w:cs="Arial"/>
                <w:b/>
                <w:bCs/>
                <w:color w:val="FFFFFF"/>
                <w:sz w:val="16"/>
                <w:szCs w:val="16"/>
                <w:lang w:eastAsia="en-GB"/>
              </w:rPr>
            </w:pPr>
            <w:r w:rsidRPr="005F6EE1">
              <w:rPr>
                <w:rFonts w:cs="Arial"/>
                <w:b/>
                <w:bCs/>
                <w:color w:val="FFFFFF"/>
                <w:sz w:val="16"/>
                <w:szCs w:val="16"/>
                <w:lang w:eastAsia="en-GB"/>
              </w:rPr>
              <w:t>Basic Allowance</w:t>
            </w:r>
          </w:p>
        </w:tc>
        <w:tc>
          <w:tcPr>
            <w:tcW w:w="1310" w:type="dxa"/>
            <w:gridSpan w:val="2"/>
            <w:shd w:val="clear" w:color="000000" w:fill="000000"/>
            <w:noWrap/>
            <w:vAlign w:val="center"/>
            <w:hideMark/>
          </w:tcPr>
          <w:p w14:paraId="5C145BF3" w14:textId="77777777" w:rsidR="005F6EE1" w:rsidRPr="005F6EE1" w:rsidRDefault="005F6EE1" w:rsidP="005F6EE1">
            <w:pPr>
              <w:jc w:val="center"/>
              <w:rPr>
                <w:rFonts w:cs="Arial"/>
                <w:b/>
                <w:bCs/>
                <w:color w:val="FFFFFF"/>
                <w:sz w:val="16"/>
                <w:szCs w:val="16"/>
                <w:lang w:eastAsia="en-GB"/>
              </w:rPr>
            </w:pPr>
            <w:r w:rsidRPr="005F6EE1">
              <w:rPr>
                <w:rFonts w:cs="Arial"/>
                <w:b/>
                <w:bCs/>
                <w:color w:val="FFFFFF"/>
                <w:sz w:val="16"/>
                <w:szCs w:val="16"/>
                <w:lang w:eastAsia="en-GB"/>
              </w:rPr>
              <w:t>Special Responsibility</w:t>
            </w:r>
          </w:p>
        </w:tc>
        <w:tc>
          <w:tcPr>
            <w:tcW w:w="1159" w:type="dxa"/>
            <w:gridSpan w:val="2"/>
            <w:shd w:val="clear" w:color="000000" w:fill="000000"/>
            <w:noWrap/>
            <w:vAlign w:val="center"/>
            <w:hideMark/>
          </w:tcPr>
          <w:p w14:paraId="14184F00" w14:textId="77777777" w:rsidR="005F6EE1" w:rsidRPr="005F6EE1" w:rsidRDefault="005F6EE1" w:rsidP="005F6EE1">
            <w:pPr>
              <w:jc w:val="center"/>
              <w:rPr>
                <w:rFonts w:cs="Arial"/>
                <w:b/>
                <w:bCs/>
                <w:color w:val="FFFFFF"/>
                <w:sz w:val="16"/>
                <w:szCs w:val="16"/>
                <w:lang w:eastAsia="en-GB"/>
              </w:rPr>
            </w:pPr>
            <w:r w:rsidRPr="005F6EE1">
              <w:rPr>
                <w:rFonts w:cs="Arial"/>
                <w:b/>
                <w:bCs/>
                <w:color w:val="FFFFFF"/>
                <w:sz w:val="16"/>
                <w:szCs w:val="16"/>
                <w:lang w:eastAsia="en-GB"/>
              </w:rPr>
              <w:t>Travel and Subsistence</w:t>
            </w:r>
          </w:p>
        </w:tc>
        <w:tc>
          <w:tcPr>
            <w:tcW w:w="1185" w:type="dxa"/>
            <w:gridSpan w:val="2"/>
            <w:shd w:val="clear" w:color="000000" w:fill="000000"/>
            <w:noWrap/>
            <w:vAlign w:val="center"/>
            <w:hideMark/>
          </w:tcPr>
          <w:p w14:paraId="039B5EB0" w14:textId="77777777" w:rsidR="005F6EE1" w:rsidRPr="005F6EE1" w:rsidRDefault="005F6EE1" w:rsidP="005F6EE1">
            <w:pPr>
              <w:jc w:val="center"/>
              <w:rPr>
                <w:rFonts w:cs="Arial"/>
                <w:b/>
                <w:bCs/>
                <w:color w:val="FFFFFF"/>
                <w:sz w:val="16"/>
                <w:szCs w:val="16"/>
                <w:lang w:eastAsia="en-GB"/>
              </w:rPr>
            </w:pPr>
            <w:r w:rsidRPr="005F6EE1">
              <w:rPr>
                <w:rFonts w:cs="Arial"/>
                <w:b/>
                <w:bCs/>
                <w:color w:val="FFFFFF"/>
                <w:sz w:val="16"/>
                <w:szCs w:val="16"/>
                <w:lang w:eastAsia="en-GB"/>
              </w:rPr>
              <w:t>Total</w:t>
            </w:r>
          </w:p>
        </w:tc>
      </w:tr>
      <w:tr w:rsidR="005F6EE1" w:rsidRPr="005F6EE1" w14:paraId="44B07542" w14:textId="77777777" w:rsidTr="007D2E50">
        <w:trPr>
          <w:trHeight w:val="290"/>
          <w:jc w:val="center"/>
        </w:trPr>
        <w:tc>
          <w:tcPr>
            <w:tcW w:w="1172" w:type="dxa"/>
            <w:shd w:val="clear" w:color="000000" w:fill="000000"/>
            <w:noWrap/>
            <w:vAlign w:val="center"/>
            <w:hideMark/>
          </w:tcPr>
          <w:p w14:paraId="6FEB1008" w14:textId="77777777" w:rsidR="005F6EE1" w:rsidRPr="005F6EE1" w:rsidRDefault="005F6EE1" w:rsidP="005F6EE1">
            <w:pPr>
              <w:rPr>
                <w:rFonts w:cs="Arial"/>
                <w:b/>
                <w:bCs/>
                <w:color w:val="FFFFFF"/>
                <w:sz w:val="16"/>
                <w:szCs w:val="16"/>
                <w:lang w:eastAsia="en-GB"/>
              </w:rPr>
            </w:pPr>
            <w:r w:rsidRPr="005F6EE1">
              <w:rPr>
                <w:rFonts w:cs="Arial"/>
                <w:b/>
                <w:bCs/>
                <w:color w:val="FFFFFF"/>
                <w:sz w:val="16"/>
                <w:szCs w:val="16"/>
                <w:lang w:eastAsia="en-GB"/>
              </w:rPr>
              <w:t> </w:t>
            </w:r>
          </w:p>
        </w:tc>
        <w:tc>
          <w:tcPr>
            <w:tcW w:w="1172" w:type="dxa"/>
            <w:shd w:val="clear" w:color="000000" w:fill="000000"/>
            <w:noWrap/>
            <w:vAlign w:val="center"/>
            <w:hideMark/>
          </w:tcPr>
          <w:p w14:paraId="27D2F6F9" w14:textId="77777777" w:rsidR="005F6EE1" w:rsidRPr="005F6EE1" w:rsidRDefault="005F6EE1" w:rsidP="005F6EE1">
            <w:pPr>
              <w:rPr>
                <w:rFonts w:cs="Arial"/>
                <w:b/>
                <w:bCs/>
                <w:color w:val="FFFFFF"/>
                <w:sz w:val="16"/>
                <w:szCs w:val="16"/>
                <w:lang w:eastAsia="en-GB"/>
              </w:rPr>
            </w:pPr>
            <w:r w:rsidRPr="005F6EE1">
              <w:rPr>
                <w:rFonts w:cs="Arial"/>
                <w:b/>
                <w:bCs/>
                <w:color w:val="FFFFFF"/>
                <w:sz w:val="16"/>
                <w:szCs w:val="16"/>
                <w:lang w:eastAsia="en-GB"/>
              </w:rPr>
              <w:t> </w:t>
            </w:r>
          </w:p>
        </w:tc>
        <w:tc>
          <w:tcPr>
            <w:tcW w:w="1172" w:type="dxa"/>
            <w:shd w:val="clear" w:color="000000" w:fill="000000"/>
            <w:noWrap/>
            <w:vAlign w:val="center"/>
            <w:hideMark/>
          </w:tcPr>
          <w:p w14:paraId="63596FDE" w14:textId="77777777" w:rsidR="005F6EE1" w:rsidRPr="005F6EE1" w:rsidRDefault="005F6EE1" w:rsidP="005F6EE1">
            <w:pPr>
              <w:rPr>
                <w:rFonts w:cs="Arial"/>
                <w:b/>
                <w:bCs/>
                <w:color w:val="FFFFFF"/>
                <w:sz w:val="16"/>
                <w:szCs w:val="16"/>
                <w:lang w:eastAsia="en-GB"/>
              </w:rPr>
            </w:pPr>
            <w:r w:rsidRPr="005F6EE1">
              <w:rPr>
                <w:rFonts w:cs="Arial"/>
                <w:b/>
                <w:bCs/>
                <w:color w:val="FFFFFF"/>
                <w:sz w:val="16"/>
                <w:szCs w:val="16"/>
                <w:lang w:eastAsia="en-GB"/>
              </w:rPr>
              <w:t> </w:t>
            </w:r>
          </w:p>
        </w:tc>
        <w:tc>
          <w:tcPr>
            <w:tcW w:w="459" w:type="dxa"/>
            <w:gridSpan w:val="2"/>
            <w:shd w:val="clear" w:color="000000" w:fill="000000"/>
            <w:noWrap/>
            <w:textDirection w:val="btLr"/>
            <w:vAlign w:val="center"/>
            <w:hideMark/>
          </w:tcPr>
          <w:p w14:paraId="79258770" w14:textId="77777777" w:rsidR="005F6EE1" w:rsidRPr="005F6EE1" w:rsidRDefault="005F6EE1" w:rsidP="005F6EE1">
            <w:pPr>
              <w:jc w:val="both"/>
              <w:rPr>
                <w:rFonts w:ascii="Times New Roman" w:hAnsi="Times New Roman"/>
                <w:color w:val="000000"/>
                <w:sz w:val="20"/>
                <w:szCs w:val="20"/>
                <w:lang w:eastAsia="en-GB"/>
              </w:rPr>
            </w:pPr>
            <w:r w:rsidRPr="005F6EE1">
              <w:rPr>
                <w:rFonts w:ascii="Times New Roman" w:hAnsi="Times New Roman"/>
                <w:color w:val="000000"/>
                <w:sz w:val="20"/>
                <w:szCs w:val="20"/>
                <w:lang w:eastAsia="en-GB"/>
              </w:rPr>
              <w:t> </w:t>
            </w:r>
          </w:p>
        </w:tc>
        <w:tc>
          <w:tcPr>
            <w:tcW w:w="1008" w:type="dxa"/>
            <w:gridSpan w:val="2"/>
            <w:shd w:val="clear" w:color="000000" w:fill="000000"/>
            <w:noWrap/>
            <w:vAlign w:val="center"/>
            <w:hideMark/>
          </w:tcPr>
          <w:p w14:paraId="2FC9D431" w14:textId="77777777" w:rsidR="005F6EE1" w:rsidRPr="005F6EE1" w:rsidRDefault="005F6EE1" w:rsidP="005F6EE1">
            <w:pPr>
              <w:jc w:val="center"/>
              <w:rPr>
                <w:rFonts w:cs="Arial"/>
                <w:b/>
                <w:bCs/>
                <w:color w:val="FFFFFF"/>
                <w:sz w:val="16"/>
                <w:szCs w:val="16"/>
                <w:lang w:eastAsia="en-GB"/>
              </w:rPr>
            </w:pPr>
            <w:r w:rsidRPr="005F6EE1">
              <w:rPr>
                <w:rFonts w:cs="Arial"/>
                <w:b/>
                <w:bCs/>
                <w:color w:val="FFFFFF"/>
                <w:sz w:val="16"/>
                <w:szCs w:val="16"/>
                <w:lang w:eastAsia="en-GB"/>
              </w:rPr>
              <w:t>£</w:t>
            </w:r>
          </w:p>
        </w:tc>
        <w:tc>
          <w:tcPr>
            <w:tcW w:w="1310" w:type="dxa"/>
            <w:gridSpan w:val="2"/>
            <w:shd w:val="clear" w:color="000000" w:fill="000000"/>
            <w:noWrap/>
            <w:vAlign w:val="center"/>
            <w:hideMark/>
          </w:tcPr>
          <w:p w14:paraId="6CDE230E" w14:textId="77777777" w:rsidR="005F6EE1" w:rsidRPr="005F6EE1" w:rsidRDefault="005F6EE1" w:rsidP="005F6EE1">
            <w:pPr>
              <w:jc w:val="center"/>
              <w:rPr>
                <w:rFonts w:cs="Arial"/>
                <w:b/>
                <w:bCs/>
                <w:color w:val="FFFFFF"/>
                <w:sz w:val="16"/>
                <w:szCs w:val="16"/>
                <w:lang w:eastAsia="en-GB"/>
              </w:rPr>
            </w:pPr>
            <w:r w:rsidRPr="005F6EE1">
              <w:rPr>
                <w:rFonts w:cs="Arial"/>
                <w:b/>
                <w:bCs/>
                <w:color w:val="FFFFFF"/>
                <w:sz w:val="16"/>
                <w:szCs w:val="16"/>
                <w:lang w:eastAsia="en-GB"/>
              </w:rPr>
              <w:t>£</w:t>
            </w:r>
          </w:p>
        </w:tc>
        <w:tc>
          <w:tcPr>
            <w:tcW w:w="1159" w:type="dxa"/>
            <w:gridSpan w:val="2"/>
            <w:shd w:val="clear" w:color="000000" w:fill="000000"/>
            <w:noWrap/>
            <w:vAlign w:val="center"/>
            <w:hideMark/>
          </w:tcPr>
          <w:p w14:paraId="20F3C653" w14:textId="77777777" w:rsidR="005F6EE1" w:rsidRPr="005F6EE1" w:rsidRDefault="005F6EE1" w:rsidP="005F6EE1">
            <w:pPr>
              <w:jc w:val="center"/>
              <w:rPr>
                <w:rFonts w:cs="Arial"/>
                <w:b/>
                <w:bCs/>
                <w:color w:val="FFFFFF"/>
                <w:sz w:val="16"/>
                <w:szCs w:val="16"/>
                <w:lang w:eastAsia="en-GB"/>
              </w:rPr>
            </w:pPr>
            <w:r w:rsidRPr="005F6EE1">
              <w:rPr>
                <w:rFonts w:cs="Arial"/>
                <w:b/>
                <w:bCs/>
                <w:color w:val="FFFFFF"/>
                <w:sz w:val="16"/>
                <w:szCs w:val="16"/>
                <w:lang w:eastAsia="en-GB"/>
              </w:rPr>
              <w:t>£</w:t>
            </w:r>
          </w:p>
        </w:tc>
        <w:tc>
          <w:tcPr>
            <w:tcW w:w="1185" w:type="dxa"/>
            <w:gridSpan w:val="2"/>
            <w:shd w:val="clear" w:color="000000" w:fill="000000"/>
            <w:noWrap/>
            <w:vAlign w:val="center"/>
            <w:hideMark/>
          </w:tcPr>
          <w:p w14:paraId="430C29E8" w14:textId="77777777" w:rsidR="005F6EE1" w:rsidRPr="005F6EE1" w:rsidRDefault="005F6EE1" w:rsidP="005F6EE1">
            <w:pPr>
              <w:jc w:val="center"/>
              <w:rPr>
                <w:rFonts w:cs="Arial"/>
                <w:b/>
                <w:bCs/>
                <w:color w:val="FFFFFF"/>
                <w:sz w:val="16"/>
                <w:szCs w:val="16"/>
                <w:lang w:eastAsia="en-GB"/>
              </w:rPr>
            </w:pPr>
            <w:r w:rsidRPr="005F6EE1">
              <w:rPr>
                <w:rFonts w:cs="Arial"/>
                <w:b/>
                <w:bCs/>
                <w:color w:val="FFFFFF"/>
                <w:sz w:val="16"/>
                <w:szCs w:val="16"/>
                <w:lang w:eastAsia="en-GB"/>
              </w:rPr>
              <w:t>£</w:t>
            </w:r>
          </w:p>
        </w:tc>
      </w:tr>
      <w:tr w:rsidR="005F6EE1" w:rsidRPr="005F6EE1" w14:paraId="7CE6FEDC" w14:textId="77777777" w:rsidTr="007D2E50">
        <w:trPr>
          <w:trHeight w:val="290"/>
          <w:jc w:val="center"/>
        </w:trPr>
        <w:tc>
          <w:tcPr>
            <w:tcW w:w="1172" w:type="dxa"/>
            <w:shd w:val="clear" w:color="000000" w:fill="FFFFFF"/>
            <w:noWrap/>
            <w:vAlign w:val="center"/>
            <w:hideMark/>
          </w:tcPr>
          <w:p w14:paraId="408F45DC"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 </w:t>
            </w:r>
          </w:p>
        </w:tc>
        <w:tc>
          <w:tcPr>
            <w:tcW w:w="1172" w:type="dxa"/>
            <w:shd w:val="clear" w:color="000000" w:fill="FFFFFF"/>
            <w:noWrap/>
            <w:vAlign w:val="center"/>
            <w:hideMark/>
          </w:tcPr>
          <w:p w14:paraId="5377DD71"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 </w:t>
            </w:r>
          </w:p>
        </w:tc>
        <w:tc>
          <w:tcPr>
            <w:tcW w:w="1474" w:type="dxa"/>
            <w:gridSpan w:val="2"/>
            <w:shd w:val="clear" w:color="000000" w:fill="FFFFFF"/>
            <w:noWrap/>
            <w:vAlign w:val="center"/>
            <w:hideMark/>
          </w:tcPr>
          <w:p w14:paraId="38770DB2" w14:textId="0DEFED19" w:rsidR="005F6EE1" w:rsidRPr="005F6EE1" w:rsidRDefault="005F6EE1" w:rsidP="005F6EE1">
            <w:pPr>
              <w:jc w:val="center"/>
              <w:rPr>
                <w:rFonts w:ascii="Times New Roman" w:hAnsi="Times New Roman"/>
                <w:color w:val="000000"/>
                <w:sz w:val="20"/>
                <w:szCs w:val="20"/>
                <w:lang w:eastAsia="en-GB"/>
              </w:rPr>
            </w:pPr>
          </w:p>
        </w:tc>
        <w:tc>
          <w:tcPr>
            <w:tcW w:w="459" w:type="dxa"/>
            <w:gridSpan w:val="2"/>
            <w:shd w:val="clear" w:color="000000" w:fill="FFFFFF"/>
            <w:noWrap/>
            <w:vAlign w:val="center"/>
            <w:hideMark/>
          </w:tcPr>
          <w:p w14:paraId="4A5530BE" w14:textId="77777777" w:rsidR="005F6EE1" w:rsidRPr="005F6EE1" w:rsidRDefault="005F6EE1" w:rsidP="005F6EE1">
            <w:pPr>
              <w:rPr>
                <w:rFonts w:ascii="Times New Roman" w:hAnsi="Times New Roman"/>
                <w:color w:val="000000"/>
                <w:sz w:val="20"/>
                <w:szCs w:val="20"/>
                <w:lang w:eastAsia="en-GB"/>
              </w:rPr>
            </w:pPr>
            <w:r w:rsidRPr="005F6EE1">
              <w:rPr>
                <w:rFonts w:ascii="Times New Roman" w:hAnsi="Times New Roman"/>
                <w:color w:val="000000"/>
                <w:sz w:val="20"/>
                <w:szCs w:val="20"/>
                <w:lang w:eastAsia="en-GB"/>
              </w:rPr>
              <w:t> </w:t>
            </w:r>
          </w:p>
        </w:tc>
        <w:tc>
          <w:tcPr>
            <w:tcW w:w="1008" w:type="dxa"/>
            <w:gridSpan w:val="2"/>
            <w:shd w:val="clear" w:color="000000" w:fill="FFFFFF"/>
            <w:noWrap/>
            <w:vAlign w:val="center"/>
            <w:hideMark/>
          </w:tcPr>
          <w:p w14:paraId="413BC303"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 </w:t>
            </w:r>
          </w:p>
        </w:tc>
        <w:tc>
          <w:tcPr>
            <w:tcW w:w="1310" w:type="dxa"/>
            <w:gridSpan w:val="2"/>
            <w:shd w:val="clear" w:color="000000" w:fill="FFFFFF"/>
            <w:noWrap/>
            <w:vAlign w:val="center"/>
            <w:hideMark/>
          </w:tcPr>
          <w:p w14:paraId="2CB529B3"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 </w:t>
            </w:r>
          </w:p>
        </w:tc>
        <w:tc>
          <w:tcPr>
            <w:tcW w:w="1159" w:type="dxa"/>
            <w:gridSpan w:val="2"/>
            <w:shd w:val="clear" w:color="000000" w:fill="FFFFFF"/>
            <w:noWrap/>
            <w:vAlign w:val="center"/>
            <w:hideMark/>
          </w:tcPr>
          <w:p w14:paraId="3D0D892D"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 </w:t>
            </w:r>
          </w:p>
        </w:tc>
        <w:tc>
          <w:tcPr>
            <w:tcW w:w="888" w:type="dxa"/>
            <w:shd w:val="clear" w:color="000000" w:fill="FFFFFF"/>
            <w:noWrap/>
            <w:vAlign w:val="center"/>
            <w:hideMark/>
          </w:tcPr>
          <w:p w14:paraId="4B545252"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 </w:t>
            </w:r>
          </w:p>
        </w:tc>
      </w:tr>
      <w:tr w:rsidR="005F6EE1" w:rsidRPr="005F6EE1" w14:paraId="65CBB6ED" w14:textId="77777777" w:rsidTr="007D2E50">
        <w:trPr>
          <w:trHeight w:val="300"/>
          <w:jc w:val="center"/>
        </w:trPr>
        <w:tc>
          <w:tcPr>
            <w:tcW w:w="3818" w:type="dxa"/>
            <w:gridSpan w:val="4"/>
            <w:shd w:val="clear" w:color="000000" w:fill="FFFFFF"/>
            <w:noWrap/>
            <w:vAlign w:val="center"/>
            <w:hideMark/>
          </w:tcPr>
          <w:p w14:paraId="44CC2D6A"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Appointed by Cumbria County Council</w:t>
            </w:r>
          </w:p>
        </w:tc>
        <w:tc>
          <w:tcPr>
            <w:tcW w:w="459" w:type="dxa"/>
            <w:gridSpan w:val="2"/>
            <w:shd w:val="clear" w:color="000000" w:fill="FFFFFF"/>
            <w:noWrap/>
            <w:vAlign w:val="center"/>
            <w:hideMark/>
          </w:tcPr>
          <w:p w14:paraId="67F72022"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 </w:t>
            </w:r>
          </w:p>
        </w:tc>
        <w:tc>
          <w:tcPr>
            <w:tcW w:w="1008" w:type="dxa"/>
            <w:gridSpan w:val="2"/>
            <w:shd w:val="clear" w:color="000000" w:fill="FFFFFF"/>
            <w:noWrap/>
            <w:vAlign w:val="center"/>
            <w:hideMark/>
          </w:tcPr>
          <w:p w14:paraId="0E98B662"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 </w:t>
            </w:r>
          </w:p>
        </w:tc>
        <w:tc>
          <w:tcPr>
            <w:tcW w:w="1310" w:type="dxa"/>
            <w:gridSpan w:val="2"/>
            <w:shd w:val="clear" w:color="000000" w:fill="FFFFFF"/>
            <w:noWrap/>
            <w:vAlign w:val="center"/>
            <w:hideMark/>
          </w:tcPr>
          <w:p w14:paraId="13999503"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 </w:t>
            </w:r>
          </w:p>
        </w:tc>
        <w:tc>
          <w:tcPr>
            <w:tcW w:w="1159" w:type="dxa"/>
            <w:gridSpan w:val="2"/>
            <w:shd w:val="clear" w:color="000000" w:fill="FFFFFF"/>
            <w:noWrap/>
            <w:vAlign w:val="center"/>
            <w:hideMark/>
          </w:tcPr>
          <w:p w14:paraId="05F64B8A"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 </w:t>
            </w:r>
          </w:p>
        </w:tc>
        <w:tc>
          <w:tcPr>
            <w:tcW w:w="888" w:type="dxa"/>
            <w:shd w:val="clear" w:color="000000" w:fill="FFFFFF"/>
            <w:noWrap/>
            <w:vAlign w:val="center"/>
            <w:hideMark/>
          </w:tcPr>
          <w:p w14:paraId="54BCB07E"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 </w:t>
            </w:r>
          </w:p>
        </w:tc>
      </w:tr>
      <w:tr w:rsidR="005F6EE1" w:rsidRPr="005F6EE1" w14:paraId="019DD3FF" w14:textId="77777777" w:rsidTr="007D2E50">
        <w:trPr>
          <w:trHeight w:val="290"/>
          <w:jc w:val="center"/>
        </w:trPr>
        <w:tc>
          <w:tcPr>
            <w:tcW w:w="1172" w:type="dxa"/>
            <w:shd w:val="clear" w:color="000000" w:fill="FFFFFF"/>
            <w:noWrap/>
            <w:vAlign w:val="center"/>
            <w:hideMark/>
          </w:tcPr>
          <w:p w14:paraId="5335842E"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Barry</w:t>
            </w:r>
          </w:p>
        </w:tc>
        <w:tc>
          <w:tcPr>
            <w:tcW w:w="1172" w:type="dxa"/>
            <w:shd w:val="clear" w:color="000000" w:fill="FFFFFF"/>
            <w:noWrap/>
            <w:vAlign w:val="center"/>
            <w:hideMark/>
          </w:tcPr>
          <w:p w14:paraId="471CA9A2"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474" w:type="dxa"/>
            <w:gridSpan w:val="2"/>
            <w:shd w:val="clear" w:color="000000" w:fill="FFFFFF"/>
            <w:noWrap/>
            <w:vAlign w:val="center"/>
            <w:hideMark/>
          </w:tcPr>
          <w:p w14:paraId="31A48C49"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A</w:t>
            </w:r>
          </w:p>
        </w:tc>
        <w:tc>
          <w:tcPr>
            <w:tcW w:w="459" w:type="dxa"/>
            <w:gridSpan w:val="2"/>
            <w:shd w:val="clear" w:color="000000" w:fill="FFFFFF"/>
            <w:noWrap/>
            <w:vAlign w:val="center"/>
            <w:hideMark/>
          </w:tcPr>
          <w:p w14:paraId="10A69D98"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2</w:t>
            </w:r>
          </w:p>
        </w:tc>
        <w:tc>
          <w:tcPr>
            <w:tcW w:w="1008" w:type="dxa"/>
            <w:gridSpan w:val="2"/>
            <w:shd w:val="clear" w:color="000000" w:fill="FFFFFF"/>
            <w:noWrap/>
            <w:vAlign w:val="center"/>
            <w:hideMark/>
          </w:tcPr>
          <w:p w14:paraId="62F89839"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3,000</w:t>
            </w:r>
          </w:p>
        </w:tc>
        <w:tc>
          <w:tcPr>
            <w:tcW w:w="1310" w:type="dxa"/>
            <w:gridSpan w:val="2"/>
            <w:shd w:val="clear" w:color="000000" w:fill="FFFFFF"/>
            <w:noWrap/>
            <w:vAlign w:val="center"/>
            <w:hideMark/>
          </w:tcPr>
          <w:p w14:paraId="75F4B1E6"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1159" w:type="dxa"/>
            <w:gridSpan w:val="2"/>
            <w:shd w:val="clear" w:color="000000" w:fill="FFFFFF"/>
            <w:noWrap/>
            <w:vAlign w:val="center"/>
            <w:hideMark/>
          </w:tcPr>
          <w:p w14:paraId="4759B3AC"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15</w:t>
            </w:r>
          </w:p>
        </w:tc>
        <w:tc>
          <w:tcPr>
            <w:tcW w:w="888" w:type="dxa"/>
            <w:shd w:val="clear" w:color="000000" w:fill="FFFFFF"/>
            <w:noWrap/>
            <w:vAlign w:val="center"/>
            <w:hideMark/>
          </w:tcPr>
          <w:p w14:paraId="574EB5B5"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3,015</w:t>
            </w:r>
          </w:p>
        </w:tc>
      </w:tr>
      <w:tr w:rsidR="005F6EE1" w:rsidRPr="005F6EE1" w14:paraId="5AABAF2A" w14:textId="77777777" w:rsidTr="007D2E50">
        <w:trPr>
          <w:trHeight w:val="290"/>
          <w:jc w:val="center"/>
        </w:trPr>
        <w:tc>
          <w:tcPr>
            <w:tcW w:w="1172" w:type="dxa"/>
            <w:shd w:val="clear" w:color="000000" w:fill="FFFFFF"/>
            <w:noWrap/>
            <w:vAlign w:val="center"/>
            <w:hideMark/>
          </w:tcPr>
          <w:p w14:paraId="1EDA9F0D"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Bland</w:t>
            </w:r>
          </w:p>
        </w:tc>
        <w:tc>
          <w:tcPr>
            <w:tcW w:w="1172" w:type="dxa"/>
            <w:shd w:val="clear" w:color="000000" w:fill="FFFFFF"/>
            <w:noWrap/>
            <w:vAlign w:val="center"/>
            <w:hideMark/>
          </w:tcPr>
          <w:p w14:paraId="44147F27"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474" w:type="dxa"/>
            <w:gridSpan w:val="2"/>
            <w:shd w:val="clear" w:color="000000" w:fill="FFFFFF"/>
            <w:noWrap/>
            <w:vAlign w:val="center"/>
            <w:hideMark/>
          </w:tcPr>
          <w:p w14:paraId="615EE0CE"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J</w:t>
            </w:r>
          </w:p>
        </w:tc>
        <w:tc>
          <w:tcPr>
            <w:tcW w:w="459" w:type="dxa"/>
            <w:gridSpan w:val="2"/>
            <w:shd w:val="clear" w:color="000000" w:fill="FFFFFF"/>
            <w:noWrap/>
            <w:vAlign w:val="center"/>
            <w:hideMark/>
          </w:tcPr>
          <w:p w14:paraId="0FE33B12"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2</w:t>
            </w:r>
          </w:p>
        </w:tc>
        <w:tc>
          <w:tcPr>
            <w:tcW w:w="1008" w:type="dxa"/>
            <w:gridSpan w:val="2"/>
            <w:shd w:val="clear" w:color="000000" w:fill="FFFFFF"/>
            <w:noWrap/>
            <w:vAlign w:val="center"/>
            <w:hideMark/>
          </w:tcPr>
          <w:p w14:paraId="1B5DDB29"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3,000</w:t>
            </w:r>
          </w:p>
        </w:tc>
        <w:tc>
          <w:tcPr>
            <w:tcW w:w="1310" w:type="dxa"/>
            <w:gridSpan w:val="2"/>
            <w:shd w:val="clear" w:color="000000" w:fill="FFFFFF"/>
            <w:noWrap/>
            <w:vAlign w:val="center"/>
            <w:hideMark/>
          </w:tcPr>
          <w:p w14:paraId="7AAD8184"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1159" w:type="dxa"/>
            <w:gridSpan w:val="2"/>
            <w:shd w:val="clear" w:color="000000" w:fill="FFFFFF"/>
            <w:noWrap/>
            <w:vAlign w:val="center"/>
            <w:hideMark/>
          </w:tcPr>
          <w:p w14:paraId="6D4EAC0C"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888" w:type="dxa"/>
            <w:shd w:val="clear" w:color="000000" w:fill="FFFFFF"/>
            <w:noWrap/>
            <w:vAlign w:val="center"/>
            <w:hideMark/>
          </w:tcPr>
          <w:p w14:paraId="7E2B3560"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3,000</w:t>
            </w:r>
          </w:p>
        </w:tc>
      </w:tr>
      <w:tr w:rsidR="005F6EE1" w:rsidRPr="005F6EE1" w14:paraId="43F0BECE" w14:textId="77777777" w:rsidTr="007D2E50">
        <w:trPr>
          <w:trHeight w:val="290"/>
          <w:jc w:val="center"/>
        </w:trPr>
        <w:tc>
          <w:tcPr>
            <w:tcW w:w="1172" w:type="dxa"/>
            <w:shd w:val="clear" w:color="000000" w:fill="FFFFFF"/>
            <w:noWrap/>
            <w:vAlign w:val="center"/>
            <w:hideMark/>
          </w:tcPr>
          <w:p w14:paraId="076BD1E0"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xml:space="preserve">Clark </w:t>
            </w:r>
          </w:p>
        </w:tc>
        <w:tc>
          <w:tcPr>
            <w:tcW w:w="1172" w:type="dxa"/>
            <w:shd w:val="clear" w:color="000000" w:fill="FFFFFF"/>
            <w:noWrap/>
            <w:vAlign w:val="center"/>
            <w:hideMark/>
          </w:tcPr>
          <w:p w14:paraId="4E5F3C44"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474" w:type="dxa"/>
            <w:gridSpan w:val="2"/>
            <w:shd w:val="clear" w:color="000000" w:fill="FFFFFF"/>
            <w:noWrap/>
            <w:vAlign w:val="center"/>
            <w:hideMark/>
          </w:tcPr>
          <w:p w14:paraId="3697D7E4"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W</w:t>
            </w:r>
          </w:p>
        </w:tc>
        <w:tc>
          <w:tcPr>
            <w:tcW w:w="459" w:type="dxa"/>
            <w:gridSpan w:val="2"/>
            <w:shd w:val="clear" w:color="000000" w:fill="FFFFFF"/>
            <w:noWrap/>
            <w:vAlign w:val="center"/>
            <w:hideMark/>
          </w:tcPr>
          <w:p w14:paraId="7A4221D6"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2</w:t>
            </w:r>
          </w:p>
        </w:tc>
        <w:tc>
          <w:tcPr>
            <w:tcW w:w="1008" w:type="dxa"/>
            <w:gridSpan w:val="2"/>
            <w:shd w:val="clear" w:color="000000" w:fill="FFFFFF"/>
            <w:noWrap/>
            <w:vAlign w:val="center"/>
            <w:hideMark/>
          </w:tcPr>
          <w:p w14:paraId="5619110B"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3,000</w:t>
            </w:r>
          </w:p>
        </w:tc>
        <w:tc>
          <w:tcPr>
            <w:tcW w:w="1310" w:type="dxa"/>
            <w:gridSpan w:val="2"/>
            <w:shd w:val="clear" w:color="000000" w:fill="FFFFFF"/>
            <w:noWrap/>
            <w:vAlign w:val="center"/>
            <w:hideMark/>
          </w:tcPr>
          <w:p w14:paraId="1AAFA80B"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1159" w:type="dxa"/>
            <w:gridSpan w:val="2"/>
            <w:shd w:val="clear" w:color="000000" w:fill="FFFFFF"/>
            <w:noWrap/>
            <w:vAlign w:val="center"/>
            <w:hideMark/>
          </w:tcPr>
          <w:p w14:paraId="5FCE67B0"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453</w:t>
            </w:r>
          </w:p>
        </w:tc>
        <w:tc>
          <w:tcPr>
            <w:tcW w:w="888" w:type="dxa"/>
            <w:shd w:val="clear" w:color="000000" w:fill="FFFFFF"/>
            <w:noWrap/>
            <w:vAlign w:val="center"/>
            <w:hideMark/>
          </w:tcPr>
          <w:p w14:paraId="0C6CC5E6"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3,453</w:t>
            </w:r>
          </w:p>
        </w:tc>
      </w:tr>
      <w:tr w:rsidR="005F6EE1" w:rsidRPr="005F6EE1" w14:paraId="5B6B722C" w14:textId="77777777" w:rsidTr="007D2E50">
        <w:trPr>
          <w:trHeight w:val="290"/>
          <w:jc w:val="center"/>
        </w:trPr>
        <w:tc>
          <w:tcPr>
            <w:tcW w:w="1172" w:type="dxa"/>
            <w:shd w:val="clear" w:color="000000" w:fill="FFFFFF"/>
            <w:noWrap/>
            <w:vAlign w:val="center"/>
            <w:hideMark/>
          </w:tcPr>
          <w:p w14:paraId="05D4ABCC" w14:textId="77777777" w:rsidR="005F6EE1" w:rsidRPr="005F6EE1" w:rsidRDefault="005F6EE1" w:rsidP="005F6EE1">
            <w:pPr>
              <w:rPr>
                <w:rFonts w:cs="Arial"/>
                <w:color w:val="000000"/>
                <w:sz w:val="16"/>
                <w:szCs w:val="16"/>
                <w:lang w:eastAsia="en-GB"/>
              </w:rPr>
            </w:pPr>
            <w:proofErr w:type="spellStart"/>
            <w:r w:rsidRPr="005F6EE1">
              <w:rPr>
                <w:rFonts w:cs="Arial"/>
                <w:color w:val="000000"/>
                <w:sz w:val="16"/>
                <w:szCs w:val="16"/>
                <w:lang w:eastAsia="en-GB"/>
              </w:rPr>
              <w:t>Lywood</w:t>
            </w:r>
            <w:proofErr w:type="spellEnd"/>
          </w:p>
        </w:tc>
        <w:tc>
          <w:tcPr>
            <w:tcW w:w="1172" w:type="dxa"/>
            <w:shd w:val="clear" w:color="000000" w:fill="FFFFFF"/>
            <w:noWrap/>
            <w:vAlign w:val="center"/>
            <w:hideMark/>
          </w:tcPr>
          <w:p w14:paraId="4ACF651C"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474" w:type="dxa"/>
            <w:gridSpan w:val="2"/>
            <w:shd w:val="clear" w:color="000000" w:fill="FFFFFF"/>
            <w:noWrap/>
            <w:vAlign w:val="center"/>
            <w:hideMark/>
          </w:tcPr>
          <w:p w14:paraId="1166BF43"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T</w:t>
            </w:r>
          </w:p>
        </w:tc>
        <w:tc>
          <w:tcPr>
            <w:tcW w:w="459" w:type="dxa"/>
            <w:gridSpan w:val="2"/>
            <w:shd w:val="clear" w:color="000000" w:fill="FFFFFF"/>
            <w:noWrap/>
            <w:vAlign w:val="center"/>
            <w:hideMark/>
          </w:tcPr>
          <w:p w14:paraId="2DC429E2"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2</w:t>
            </w:r>
          </w:p>
        </w:tc>
        <w:tc>
          <w:tcPr>
            <w:tcW w:w="1008" w:type="dxa"/>
            <w:gridSpan w:val="2"/>
            <w:shd w:val="clear" w:color="000000" w:fill="FFFFFF"/>
            <w:noWrap/>
            <w:vAlign w:val="center"/>
            <w:hideMark/>
          </w:tcPr>
          <w:p w14:paraId="598793F3"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3,000</w:t>
            </w:r>
          </w:p>
        </w:tc>
        <w:tc>
          <w:tcPr>
            <w:tcW w:w="1310" w:type="dxa"/>
            <w:gridSpan w:val="2"/>
            <w:shd w:val="clear" w:color="000000" w:fill="FFFFFF"/>
            <w:noWrap/>
            <w:vAlign w:val="center"/>
            <w:hideMark/>
          </w:tcPr>
          <w:p w14:paraId="4143AABE"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1159" w:type="dxa"/>
            <w:gridSpan w:val="2"/>
            <w:shd w:val="clear" w:color="000000" w:fill="FFFFFF"/>
            <w:noWrap/>
            <w:vAlign w:val="center"/>
            <w:hideMark/>
          </w:tcPr>
          <w:p w14:paraId="5BFA1037"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888" w:type="dxa"/>
            <w:shd w:val="clear" w:color="000000" w:fill="FFFFFF"/>
            <w:noWrap/>
            <w:vAlign w:val="center"/>
            <w:hideMark/>
          </w:tcPr>
          <w:p w14:paraId="234CFBFA"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3,000</w:t>
            </w:r>
          </w:p>
        </w:tc>
      </w:tr>
      <w:tr w:rsidR="005F6EE1" w:rsidRPr="005F6EE1" w14:paraId="54CC6431" w14:textId="77777777" w:rsidTr="007D2E50">
        <w:trPr>
          <w:trHeight w:val="300"/>
          <w:jc w:val="center"/>
        </w:trPr>
        <w:tc>
          <w:tcPr>
            <w:tcW w:w="1172" w:type="dxa"/>
            <w:shd w:val="clear" w:color="000000" w:fill="FFFFFF"/>
            <w:noWrap/>
            <w:vAlign w:val="center"/>
            <w:hideMark/>
          </w:tcPr>
          <w:p w14:paraId="4407DF58"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Turner</w:t>
            </w:r>
          </w:p>
        </w:tc>
        <w:tc>
          <w:tcPr>
            <w:tcW w:w="1172" w:type="dxa"/>
            <w:shd w:val="clear" w:color="000000" w:fill="FFFFFF"/>
            <w:noWrap/>
            <w:vAlign w:val="center"/>
            <w:hideMark/>
          </w:tcPr>
          <w:p w14:paraId="7D10193E"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474" w:type="dxa"/>
            <w:gridSpan w:val="2"/>
            <w:shd w:val="clear" w:color="000000" w:fill="FFFFFF"/>
            <w:noWrap/>
            <w:vAlign w:val="center"/>
            <w:hideMark/>
          </w:tcPr>
          <w:p w14:paraId="6DA55D67"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P</w:t>
            </w:r>
          </w:p>
        </w:tc>
        <w:tc>
          <w:tcPr>
            <w:tcW w:w="459" w:type="dxa"/>
            <w:gridSpan w:val="2"/>
            <w:shd w:val="clear" w:color="000000" w:fill="FFFFFF"/>
            <w:noWrap/>
            <w:vAlign w:val="center"/>
            <w:hideMark/>
          </w:tcPr>
          <w:p w14:paraId="7BFD183F"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2</w:t>
            </w:r>
          </w:p>
        </w:tc>
        <w:tc>
          <w:tcPr>
            <w:tcW w:w="1008" w:type="dxa"/>
            <w:gridSpan w:val="2"/>
            <w:shd w:val="clear" w:color="000000" w:fill="FFFFFF"/>
            <w:noWrap/>
            <w:vAlign w:val="center"/>
            <w:hideMark/>
          </w:tcPr>
          <w:p w14:paraId="37983561"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3,000</w:t>
            </w:r>
          </w:p>
        </w:tc>
        <w:tc>
          <w:tcPr>
            <w:tcW w:w="1310" w:type="dxa"/>
            <w:gridSpan w:val="2"/>
            <w:shd w:val="clear" w:color="000000" w:fill="FFFFFF"/>
            <w:noWrap/>
            <w:vAlign w:val="center"/>
            <w:hideMark/>
          </w:tcPr>
          <w:p w14:paraId="654493E4"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1159" w:type="dxa"/>
            <w:gridSpan w:val="2"/>
            <w:shd w:val="clear" w:color="000000" w:fill="FFFFFF"/>
            <w:noWrap/>
            <w:vAlign w:val="center"/>
            <w:hideMark/>
          </w:tcPr>
          <w:p w14:paraId="12EA80E0"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249</w:t>
            </w:r>
          </w:p>
        </w:tc>
        <w:tc>
          <w:tcPr>
            <w:tcW w:w="888" w:type="dxa"/>
            <w:shd w:val="clear" w:color="000000" w:fill="FFFFFF"/>
            <w:noWrap/>
            <w:vAlign w:val="center"/>
            <w:hideMark/>
          </w:tcPr>
          <w:p w14:paraId="495ECC32"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3,249</w:t>
            </w:r>
          </w:p>
        </w:tc>
      </w:tr>
      <w:tr w:rsidR="005F6EE1" w:rsidRPr="005F6EE1" w14:paraId="321679DD" w14:textId="77777777" w:rsidTr="007D2E50">
        <w:trPr>
          <w:trHeight w:val="300"/>
          <w:jc w:val="center"/>
        </w:trPr>
        <w:tc>
          <w:tcPr>
            <w:tcW w:w="3818" w:type="dxa"/>
            <w:gridSpan w:val="4"/>
            <w:shd w:val="clear" w:color="000000" w:fill="FFFFFF"/>
            <w:noWrap/>
            <w:vAlign w:val="center"/>
            <w:hideMark/>
          </w:tcPr>
          <w:p w14:paraId="402C9753"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Appointed by South Lakeland District Council</w:t>
            </w:r>
          </w:p>
        </w:tc>
        <w:tc>
          <w:tcPr>
            <w:tcW w:w="459" w:type="dxa"/>
            <w:gridSpan w:val="2"/>
            <w:shd w:val="clear" w:color="000000" w:fill="FFFFFF"/>
            <w:noWrap/>
            <w:vAlign w:val="center"/>
            <w:hideMark/>
          </w:tcPr>
          <w:p w14:paraId="09B617BC"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 </w:t>
            </w:r>
          </w:p>
        </w:tc>
        <w:tc>
          <w:tcPr>
            <w:tcW w:w="1008" w:type="dxa"/>
            <w:gridSpan w:val="2"/>
            <w:shd w:val="clear" w:color="000000" w:fill="FFFFFF"/>
            <w:noWrap/>
            <w:vAlign w:val="center"/>
            <w:hideMark/>
          </w:tcPr>
          <w:p w14:paraId="29B92CD6"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310" w:type="dxa"/>
            <w:gridSpan w:val="2"/>
            <w:shd w:val="clear" w:color="000000" w:fill="FFFFFF"/>
            <w:noWrap/>
            <w:vAlign w:val="center"/>
            <w:hideMark/>
          </w:tcPr>
          <w:p w14:paraId="3FF9E7A8"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159" w:type="dxa"/>
            <w:gridSpan w:val="2"/>
            <w:shd w:val="clear" w:color="000000" w:fill="FFFFFF"/>
            <w:noWrap/>
            <w:vAlign w:val="center"/>
            <w:hideMark/>
          </w:tcPr>
          <w:p w14:paraId="7138F0AB"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888" w:type="dxa"/>
            <w:shd w:val="clear" w:color="000000" w:fill="FFFFFF"/>
            <w:noWrap/>
            <w:vAlign w:val="center"/>
            <w:hideMark/>
          </w:tcPr>
          <w:p w14:paraId="3075CBC1"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 </w:t>
            </w:r>
          </w:p>
        </w:tc>
      </w:tr>
      <w:tr w:rsidR="005F6EE1" w:rsidRPr="005F6EE1" w14:paraId="0877E976" w14:textId="77777777" w:rsidTr="007D2E50">
        <w:trPr>
          <w:trHeight w:val="290"/>
          <w:jc w:val="center"/>
        </w:trPr>
        <w:tc>
          <w:tcPr>
            <w:tcW w:w="1172" w:type="dxa"/>
            <w:shd w:val="clear" w:color="000000" w:fill="FFFFFF"/>
            <w:noWrap/>
            <w:vAlign w:val="center"/>
            <w:hideMark/>
          </w:tcPr>
          <w:p w14:paraId="234DE974"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Hughes</w:t>
            </w:r>
          </w:p>
        </w:tc>
        <w:tc>
          <w:tcPr>
            <w:tcW w:w="1172" w:type="dxa"/>
            <w:shd w:val="clear" w:color="000000" w:fill="FFFFFF"/>
            <w:noWrap/>
            <w:vAlign w:val="center"/>
            <w:hideMark/>
          </w:tcPr>
          <w:p w14:paraId="7F01DCA1"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474" w:type="dxa"/>
            <w:gridSpan w:val="2"/>
            <w:shd w:val="clear" w:color="000000" w:fill="FFFFFF"/>
            <w:noWrap/>
            <w:vAlign w:val="center"/>
            <w:hideMark/>
          </w:tcPr>
          <w:p w14:paraId="057A165C"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V</w:t>
            </w:r>
          </w:p>
        </w:tc>
        <w:tc>
          <w:tcPr>
            <w:tcW w:w="459" w:type="dxa"/>
            <w:gridSpan w:val="2"/>
            <w:shd w:val="clear" w:color="000000" w:fill="FFFFFF"/>
            <w:noWrap/>
            <w:vAlign w:val="center"/>
            <w:hideMark/>
          </w:tcPr>
          <w:p w14:paraId="37B8834A"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2</w:t>
            </w:r>
          </w:p>
        </w:tc>
        <w:tc>
          <w:tcPr>
            <w:tcW w:w="1008" w:type="dxa"/>
            <w:gridSpan w:val="2"/>
            <w:shd w:val="clear" w:color="000000" w:fill="FFFFFF"/>
            <w:noWrap/>
            <w:vAlign w:val="center"/>
            <w:hideMark/>
          </w:tcPr>
          <w:p w14:paraId="3C918CBE"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3,000</w:t>
            </w:r>
          </w:p>
        </w:tc>
        <w:tc>
          <w:tcPr>
            <w:tcW w:w="1310" w:type="dxa"/>
            <w:gridSpan w:val="2"/>
            <w:shd w:val="clear" w:color="000000" w:fill="FFFFFF"/>
            <w:noWrap/>
            <w:vAlign w:val="center"/>
            <w:hideMark/>
          </w:tcPr>
          <w:p w14:paraId="36D12D37"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1159" w:type="dxa"/>
            <w:gridSpan w:val="2"/>
            <w:shd w:val="clear" w:color="000000" w:fill="FFFFFF"/>
            <w:noWrap/>
            <w:vAlign w:val="center"/>
            <w:hideMark/>
          </w:tcPr>
          <w:p w14:paraId="11C068CE"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82</w:t>
            </w:r>
          </w:p>
        </w:tc>
        <w:tc>
          <w:tcPr>
            <w:tcW w:w="888" w:type="dxa"/>
            <w:shd w:val="clear" w:color="000000" w:fill="FFFFFF"/>
            <w:noWrap/>
            <w:vAlign w:val="center"/>
            <w:hideMark/>
          </w:tcPr>
          <w:p w14:paraId="1D8167CD"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3,082</w:t>
            </w:r>
          </w:p>
        </w:tc>
      </w:tr>
      <w:tr w:rsidR="005F6EE1" w:rsidRPr="005F6EE1" w14:paraId="676C1DA9" w14:textId="77777777" w:rsidTr="007D2E50">
        <w:trPr>
          <w:trHeight w:val="290"/>
          <w:jc w:val="center"/>
        </w:trPr>
        <w:tc>
          <w:tcPr>
            <w:tcW w:w="1172" w:type="dxa"/>
            <w:shd w:val="clear" w:color="000000" w:fill="FFFFFF"/>
            <w:noWrap/>
            <w:vAlign w:val="center"/>
            <w:hideMark/>
          </w:tcPr>
          <w:p w14:paraId="7B43FA01"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Wharton</w:t>
            </w:r>
          </w:p>
        </w:tc>
        <w:tc>
          <w:tcPr>
            <w:tcW w:w="1172" w:type="dxa"/>
            <w:shd w:val="clear" w:color="000000" w:fill="FFFFFF"/>
            <w:noWrap/>
            <w:vAlign w:val="center"/>
            <w:hideMark/>
          </w:tcPr>
          <w:p w14:paraId="79DAE3A8"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474" w:type="dxa"/>
            <w:gridSpan w:val="2"/>
            <w:shd w:val="clear" w:color="000000" w:fill="FFFFFF"/>
            <w:noWrap/>
            <w:vAlign w:val="center"/>
            <w:hideMark/>
          </w:tcPr>
          <w:p w14:paraId="5D5CA86E" w14:textId="48679945"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I</w:t>
            </w:r>
          </w:p>
        </w:tc>
        <w:tc>
          <w:tcPr>
            <w:tcW w:w="459" w:type="dxa"/>
            <w:gridSpan w:val="2"/>
            <w:shd w:val="clear" w:color="000000" w:fill="FFFFFF"/>
            <w:noWrap/>
            <w:vAlign w:val="center"/>
            <w:hideMark/>
          </w:tcPr>
          <w:p w14:paraId="46B65C4D"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2</w:t>
            </w:r>
          </w:p>
        </w:tc>
        <w:tc>
          <w:tcPr>
            <w:tcW w:w="1008" w:type="dxa"/>
            <w:gridSpan w:val="2"/>
            <w:shd w:val="clear" w:color="000000" w:fill="FFFFFF"/>
            <w:noWrap/>
            <w:vAlign w:val="center"/>
            <w:hideMark/>
          </w:tcPr>
          <w:p w14:paraId="5CFFD5BB"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3,000</w:t>
            </w:r>
          </w:p>
        </w:tc>
        <w:tc>
          <w:tcPr>
            <w:tcW w:w="1310" w:type="dxa"/>
            <w:gridSpan w:val="2"/>
            <w:shd w:val="clear" w:color="000000" w:fill="FFFFFF"/>
            <w:noWrap/>
            <w:vAlign w:val="center"/>
            <w:hideMark/>
          </w:tcPr>
          <w:p w14:paraId="5DB74604"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1,328</w:t>
            </w:r>
          </w:p>
        </w:tc>
        <w:tc>
          <w:tcPr>
            <w:tcW w:w="1159" w:type="dxa"/>
            <w:gridSpan w:val="2"/>
            <w:shd w:val="clear" w:color="000000" w:fill="FFFFFF"/>
            <w:noWrap/>
            <w:vAlign w:val="center"/>
            <w:hideMark/>
          </w:tcPr>
          <w:p w14:paraId="5B05F48C"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86</w:t>
            </w:r>
          </w:p>
        </w:tc>
        <w:tc>
          <w:tcPr>
            <w:tcW w:w="888" w:type="dxa"/>
            <w:shd w:val="clear" w:color="000000" w:fill="FFFFFF"/>
            <w:noWrap/>
            <w:vAlign w:val="center"/>
            <w:hideMark/>
          </w:tcPr>
          <w:p w14:paraId="0E838AAF"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4,414</w:t>
            </w:r>
          </w:p>
        </w:tc>
      </w:tr>
      <w:tr w:rsidR="005F6EE1" w:rsidRPr="005F6EE1" w14:paraId="76E32479" w14:textId="77777777" w:rsidTr="007D2E50">
        <w:trPr>
          <w:trHeight w:val="290"/>
          <w:jc w:val="center"/>
        </w:trPr>
        <w:tc>
          <w:tcPr>
            <w:tcW w:w="3818" w:type="dxa"/>
            <w:gridSpan w:val="4"/>
            <w:shd w:val="clear" w:color="000000" w:fill="FFFFFF"/>
            <w:noWrap/>
            <w:vAlign w:val="center"/>
            <w:hideMark/>
          </w:tcPr>
          <w:p w14:paraId="39BABE2D"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 xml:space="preserve">Appointed by </w:t>
            </w:r>
            <w:proofErr w:type="spellStart"/>
            <w:r w:rsidRPr="005F6EE1">
              <w:rPr>
                <w:rFonts w:cs="Arial"/>
                <w:b/>
                <w:bCs/>
                <w:color w:val="000000"/>
                <w:sz w:val="16"/>
                <w:szCs w:val="16"/>
                <w:lang w:eastAsia="en-GB"/>
              </w:rPr>
              <w:t>Allerdale</w:t>
            </w:r>
            <w:proofErr w:type="spellEnd"/>
            <w:r w:rsidRPr="005F6EE1">
              <w:rPr>
                <w:rFonts w:cs="Arial"/>
                <w:b/>
                <w:bCs/>
                <w:color w:val="000000"/>
                <w:sz w:val="16"/>
                <w:szCs w:val="16"/>
                <w:lang w:eastAsia="en-GB"/>
              </w:rPr>
              <w:t xml:space="preserve"> Borough Council</w:t>
            </w:r>
          </w:p>
        </w:tc>
        <w:tc>
          <w:tcPr>
            <w:tcW w:w="459" w:type="dxa"/>
            <w:gridSpan w:val="2"/>
            <w:shd w:val="clear" w:color="000000" w:fill="FFFFFF"/>
            <w:noWrap/>
            <w:vAlign w:val="center"/>
            <w:hideMark/>
          </w:tcPr>
          <w:p w14:paraId="4C1E9FC2"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 </w:t>
            </w:r>
          </w:p>
        </w:tc>
        <w:tc>
          <w:tcPr>
            <w:tcW w:w="1008" w:type="dxa"/>
            <w:gridSpan w:val="2"/>
            <w:shd w:val="clear" w:color="000000" w:fill="FFFFFF"/>
            <w:noWrap/>
            <w:vAlign w:val="center"/>
            <w:hideMark/>
          </w:tcPr>
          <w:p w14:paraId="4DE3C665"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310" w:type="dxa"/>
            <w:gridSpan w:val="2"/>
            <w:shd w:val="clear" w:color="000000" w:fill="FFFFFF"/>
            <w:noWrap/>
            <w:vAlign w:val="center"/>
            <w:hideMark/>
          </w:tcPr>
          <w:p w14:paraId="363EE044"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159" w:type="dxa"/>
            <w:gridSpan w:val="2"/>
            <w:shd w:val="clear" w:color="000000" w:fill="FFFFFF"/>
            <w:noWrap/>
            <w:vAlign w:val="center"/>
            <w:hideMark/>
          </w:tcPr>
          <w:p w14:paraId="252E66CC"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888" w:type="dxa"/>
            <w:shd w:val="clear" w:color="000000" w:fill="FFFFFF"/>
            <w:noWrap/>
            <w:vAlign w:val="center"/>
            <w:hideMark/>
          </w:tcPr>
          <w:p w14:paraId="002A6EA3"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 </w:t>
            </w:r>
          </w:p>
        </w:tc>
      </w:tr>
      <w:tr w:rsidR="005F6EE1" w:rsidRPr="005F6EE1" w14:paraId="2B3A805E" w14:textId="77777777" w:rsidTr="007D2E50">
        <w:trPr>
          <w:trHeight w:val="290"/>
          <w:jc w:val="center"/>
        </w:trPr>
        <w:tc>
          <w:tcPr>
            <w:tcW w:w="1172" w:type="dxa"/>
            <w:shd w:val="clear" w:color="000000" w:fill="FFFFFF"/>
            <w:noWrap/>
            <w:vAlign w:val="center"/>
            <w:hideMark/>
          </w:tcPr>
          <w:p w14:paraId="02FB3E2F"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Cockburn</w:t>
            </w:r>
          </w:p>
        </w:tc>
        <w:tc>
          <w:tcPr>
            <w:tcW w:w="1172" w:type="dxa"/>
            <w:shd w:val="clear" w:color="000000" w:fill="FFFFFF"/>
            <w:noWrap/>
            <w:vAlign w:val="center"/>
            <w:hideMark/>
          </w:tcPr>
          <w:p w14:paraId="7B8D351D"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474" w:type="dxa"/>
            <w:gridSpan w:val="2"/>
            <w:shd w:val="clear" w:color="000000" w:fill="FFFFFF"/>
            <w:noWrap/>
            <w:vAlign w:val="center"/>
            <w:hideMark/>
          </w:tcPr>
          <w:p w14:paraId="733B8189" w14:textId="496FC6F4"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N</w:t>
            </w:r>
          </w:p>
        </w:tc>
        <w:tc>
          <w:tcPr>
            <w:tcW w:w="459" w:type="dxa"/>
            <w:gridSpan w:val="2"/>
            <w:shd w:val="clear" w:color="000000" w:fill="FFFFFF"/>
            <w:noWrap/>
            <w:vAlign w:val="center"/>
            <w:hideMark/>
          </w:tcPr>
          <w:p w14:paraId="4CE55A2F"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2</w:t>
            </w:r>
          </w:p>
        </w:tc>
        <w:tc>
          <w:tcPr>
            <w:tcW w:w="1008" w:type="dxa"/>
            <w:gridSpan w:val="2"/>
            <w:shd w:val="clear" w:color="000000" w:fill="FFFFFF"/>
            <w:noWrap/>
            <w:vAlign w:val="center"/>
            <w:hideMark/>
          </w:tcPr>
          <w:p w14:paraId="15C188D4"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3,000</w:t>
            </w:r>
          </w:p>
        </w:tc>
        <w:tc>
          <w:tcPr>
            <w:tcW w:w="1310" w:type="dxa"/>
            <w:gridSpan w:val="2"/>
            <w:shd w:val="clear" w:color="000000" w:fill="FFFFFF"/>
            <w:noWrap/>
            <w:vAlign w:val="center"/>
            <w:hideMark/>
          </w:tcPr>
          <w:p w14:paraId="3CAAF8FE"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1159" w:type="dxa"/>
            <w:gridSpan w:val="2"/>
            <w:shd w:val="clear" w:color="000000" w:fill="FFFFFF"/>
            <w:noWrap/>
            <w:vAlign w:val="center"/>
            <w:hideMark/>
          </w:tcPr>
          <w:p w14:paraId="061F0929"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888" w:type="dxa"/>
            <w:shd w:val="clear" w:color="000000" w:fill="FFFFFF"/>
            <w:noWrap/>
            <w:vAlign w:val="center"/>
            <w:hideMark/>
          </w:tcPr>
          <w:p w14:paraId="6FAF180C"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3,000</w:t>
            </w:r>
          </w:p>
        </w:tc>
      </w:tr>
      <w:tr w:rsidR="005F6EE1" w:rsidRPr="005F6EE1" w14:paraId="698E186A" w14:textId="77777777" w:rsidTr="007D2E50">
        <w:trPr>
          <w:trHeight w:val="290"/>
          <w:jc w:val="center"/>
        </w:trPr>
        <w:tc>
          <w:tcPr>
            <w:tcW w:w="3818" w:type="dxa"/>
            <w:gridSpan w:val="4"/>
            <w:shd w:val="clear" w:color="000000" w:fill="FFFFFF"/>
            <w:noWrap/>
            <w:vAlign w:val="center"/>
            <w:hideMark/>
          </w:tcPr>
          <w:p w14:paraId="7E5B614C"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Appointed by Eden District Council</w:t>
            </w:r>
          </w:p>
        </w:tc>
        <w:tc>
          <w:tcPr>
            <w:tcW w:w="459" w:type="dxa"/>
            <w:gridSpan w:val="2"/>
            <w:shd w:val="clear" w:color="000000" w:fill="FFFFFF"/>
            <w:noWrap/>
            <w:vAlign w:val="center"/>
            <w:hideMark/>
          </w:tcPr>
          <w:p w14:paraId="12B0A7EF"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 </w:t>
            </w:r>
          </w:p>
        </w:tc>
        <w:tc>
          <w:tcPr>
            <w:tcW w:w="1008" w:type="dxa"/>
            <w:gridSpan w:val="2"/>
            <w:shd w:val="clear" w:color="000000" w:fill="FFFFFF"/>
            <w:noWrap/>
            <w:vAlign w:val="center"/>
            <w:hideMark/>
          </w:tcPr>
          <w:p w14:paraId="1E27311A"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310" w:type="dxa"/>
            <w:gridSpan w:val="2"/>
            <w:shd w:val="clear" w:color="000000" w:fill="FFFFFF"/>
            <w:noWrap/>
            <w:vAlign w:val="center"/>
            <w:hideMark/>
          </w:tcPr>
          <w:p w14:paraId="60936B8A"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159" w:type="dxa"/>
            <w:gridSpan w:val="2"/>
            <w:shd w:val="clear" w:color="000000" w:fill="FFFFFF"/>
            <w:noWrap/>
            <w:vAlign w:val="center"/>
            <w:hideMark/>
          </w:tcPr>
          <w:p w14:paraId="129176B6"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888" w:type="dxa"/>
            <w:shd w:val="clear" w:color="000000" w:fill="FFFFFF"/>
            <w:noWrap/>
            <w:vAlign w:val="center"/>
            <w:hideMark/>
          </w:tcPr>
          <w:p w14:paraId="7183D4F8"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 </w:t>
            </w:r>
          </w:p>
        </w:tc>
      </w:tr>
      <w:tr w:rsidR="005F6EE1" w:rsidRPr="005F6EE1" w14:paraId="405FBD69" w14:textId="77777777" w:rsidTr="007D2E50">
        <w:trPr>
          <w:trHeight w:val="290"/>
          <w:jc w:val="center"/>
        </w:trPr>
        <w:tc>
          <w:tcPr>
            <w:tcW w:w="1172" w:type="dxa"/>
            <w:shd w:val="clear" w:color="000000" w:fill="FFFFFF"/>
            <w:noWrap/>
            <w:vAlign w:val="center"/>
            <w:hideMark/>
          </w:tcPr>
          <w:p w14:paraId="0B4B911F"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Derbyshire</w:t>
            </w:r>
          </w:p>
        </w:tc>
        <w:tc>
          <w:tcPr>
            <w:tcW w:w="1172" w:type="dxa"/>
            <w:shd w:val="clear" w:color="000000" w:fill="FFFFFF"/>
            <w:noWrap/>
            <w:vAlign w:val="center"/>
            <w:hideMark/>
          </w:tcPr>
          <w:p w14:paraId="6D0B1A57"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474" w:type="dxa"/>
            <w:gridSpan w:val="2"/>
            <w:shd w:val="clear" w:color="000000" w:fill="FFFFFF"/>
            <w:noWrap/>
            <w:vAlign w:val="center"/>
            <w:hideMark/>
          </w:tcPr>
          <w:p w14:paraId="5DFE71C4" w14:textId="60306524"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J</w:t>
            </w:r>
          </w:p>
        </w:tc>
        <w:tc>
          <w:tcPr>
            <w:tcW w:w="459" w:type="dxa"/>
            <w:gridSpan w:val="2"/>
            <w:shd w:val="clear" w:color="000000" w:fill="FFFFFF"/>
            <w:noWrap/>
            <w:vAlign w:val="center"/>
            <w:hideMark/>
          </w:tcPr>
          <w:p w14:paraId="055F5748"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2</w:t>
            </w:r>
          </w:p>
        </w:tc>
        <w:tc>
          <w:tcPr>
            <w:tcW w:w="1008" w:type="dxa"/>
            <w:gridSpan w:val="2"/>
            <w:shd w:val="clear" w:color="000000" w:fill="FFFFFF"/>
            <w:noWrap/>
            <w:vAlign w:val="center"/>
            <w:hideMark/>
          </w:tcPr>
          <w:p w14:paraId="35A407ED"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3,000</w:t>
            </w:r>
          </w:p>
        </w:tc>
        <w:tc>
          <w:tcPr>
            <w:tcW w:w="1310" w:type="dxa"/>
            <w:gridSpan w:val="2"/>
            <w:shd w:val="clear" w:color="000000" w:fill="FFFFFF"/>
            <w:noWrap/>
            <w:vAlign w:val="center"/>
            <w:hideMark/>
          </w:tcPr>
          <w:p w14:paraId="70D0CD5C"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1159" w:type="dxa"/>
            <w:gridSpan w:val="2"/>
            <w:shd w:val="clear" w:color="000000" w:fill="FFFFFF"/>
            <w:noWrap/>
            <w:vAlign w:val="center"/>
            <w:hideMark/>
          </w:tcPr>
          <w:p w14:paraId="15634074"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116</w:t>
            </w:r>
          </w:p>
        </w:tc>
        <w:tc>
          <w:tcPr>
            <w:tcW w:w="888" w:type="dxa"/>
            <w:shd w:val="clear" w:color="000000" w:fill="FFFFFF"/>
            <w:noWrap/>
            <w:vAlign w:val="center"/>
            <w:hideMark/>
          </w:tcPr>
          <w:p w14:paraId="1BAC69B3"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3,116</w:t>
            </w:r>
          </w:p>
        </w:tc>
      </w:tr>
      <w:tr w:rsidR="005F6EE1" w:rsidRPr="005F6EE1" w14:paraId="2824CED0" w14:textId="77777777" w:rsidTr="007D2E50">
        <w:trPr>
          <w:trHeight w:val="290"/>
          <w:jc w:val="center"/>
        </w:trPr>
        <w:tc>
          <w:tcPr>
            <w:tcW w:w="3818" w:type="dxa"/>
            <w:gridSpan w:val="4"/>
            <w:shd w:val="clear" w:color="000000" w:fill="FFFFFF"/>
            <w:noWrap/>
            <w:vAlign w:val="center"/>
            <w:hideMark/>
          </w:tcPr>
          <w:p w14:paraId="33F246A1"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Appointed by Copeland Borough Council</w:t>
            </w:r>
          </w:p>
        </w:tc>
        <w:tc>
          <w:tcPr>
            <w:tcW w:w="459" w:type="dxa"/>
            <w:gridSpan w:val="2"/>
            <w:shd w:val="clear" w:color="000000" w:fill="FFFFFF"/>
            <w:noWrap/>
            <w:vAlign w:val="center"/>
            <w:hideMark/>
          </w:tcPr>
          <w:p w14:paraId="708C4E06"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 </w:t>
            </w:r>
          </w:p>
        </w:tc>
        <w:tc>
          <w:tcPr>
            <w:tcW w:w="1008" w:type="dxa"/>
            <w:gridSpan w:val="2"/>
            <w:shd w:val="clear" w:color="000000" w:fill="FFFFFF"/>
            <w:noWrap/>
            <w:vAlign w:val="center"/>
            <w:hideMark/>
          </w:tcPr>
          <w:p w14:paraId="519A3D95"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310" w:type="dxa"/>
            <w:gridSpan w:val="2"/>
            <w:shd w:val="clear" w:color="000000" w:fill="FFFFFF"/>
            <w:noWrap/>
            <w:vAlign w:val="center"/>
            <w:hideMark/>
          </w:tcPr>
          <w:p w14:paraId="25394B48"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159" w:type="dxa"/>
            <w:gridSpan w:val="2"/>
            <w:shd w:val="clear" w:color="000000" w:fill="FFFFFF"/>
            <w:noWrap/>
            <w:vAlign w:val="center"/>
            <w:hideMark/>
          </w:tcPr>
          <w:p w14:paraId="2209CDF1"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888" w:type="dxa"/>
            <w:shd w:val="clear" w:color="000000" w:fill="FFFFFF"/>
            <w:noWrap/>
            <w:vAlign w:val="center"/>
            <w:hideMark/>
          </w:tcPr>
          <w:p w14:paraId="6D2E66A6"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 </w:t>
            </w:r>
          </w:p>
        </w:tc>
      </w:tr>
      <w:tr w:rsidR="005F6EE1" w:rsidRPr="005F6EE1" w14:paraId="08AB1D0F" w14:textId="77777777" w:rsidTr="007D2E50">
        <w:trPr>
          <w:trHeight w:val="290"/>
          <w:jc w:val="center"/>
        </w:trPr>
        <w:tc>
          <w:tcPr>
            <w:tcW w:w="1172" w:type="dxa"/>
            <w:shd w:val="clear" w:color="000000" w:fill="FFFFFF"/>
            <w:noWrap/>
            <w:vAlign w:val="center"/>
            <w:hideMark/>
          </w:tcPr>
          <w:p w14:paraId="271ED99B"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Branney</w:t>
            </w:r>
          </w:p>
        </w:tc>
        <w:tc>
          <w:tcPr>
            <w:tcW w:w="1172" w:type="dxa"/>
            <w:shd w:val="clear" w:color="000000" w:fill="FFFFFF"/>
            <w:noWrap/>
            <w:vAlign w:val="center"/>
            <w:hideMark/>
          </w:tcPr>
          <w:p w14:paraId="658ED331"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474" w:type="dxa"/>
            <w:gridSpan w:val="2"/>
            <w:shd w:val="clear" w:color="000000" w:fill="FFFFFF"/>
            <w:noWrap/>
            <w:vAlign w:val="center"/>
            <w:hideMark/>
          </w:tcPr>
          <w:p w14:paraId="3348EE5F"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H</w:t>
            </w:r>
          </w:p>
        </w:tc>
        <w:tc>
          <w:tcPr>
            <w:tcW w:w="459" w:type="dxa"/>
            <w:gridSpan w:val="2"/>
            <w:shd w:val="clear" w:color="000000" w:fill="FFFFFF"/>
            <w:noWrap/>
            <w:vAlign w:val="center"/>
            <w:hideMark/>
          </w:tcPr>
          <w:p w14:paraId="0FED77C0"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2</w:t>
            </w:r>
          </w:p>
        </w:tc>
        <w:tc>
          <w:tcPr>
            <w:tcW w:w="1008" w:type="dxa"/>
            <w:gridSpan w:val="2"/>
            <w:shd w:val="clear" w:color="000000" w:fill="FFFFFF"/>
            <w:noWrap/>
            <w:vAlign w:val="center"/>
            <w:hideMark/>
          </w:tcPr>
          <w:p w14:paraId="2417ADEF"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3,000</w:t>
            </w:r>
          </w:p>
        </w:tc>
        <w:tc>
          <w:tcPr>
            <w:tcW w:w="1310" w:type="dxa"/>
            <w:gridSpan w:val="2"/>
            <w:shd w:val="clear" w:color="000000" w:fill="FFFFFF"/>
            <w:noWrap/>
            <w:vAlign w:val="center"/>
            <w:hideMark/>
          </w:tcPr>
          <w:p w14:paraId="3B78719B"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1159" w:type="dxa"/>
            <w:gridSpan w:val="2"/>
            <w:shd w:val="clear" w:color="000000" w:fill="FFFFFF"/>
            <w:noWrap/>
            <w:vAlign w:val="center"/>
            <w:hideMark/>
          </w:tcPr>
          <w:p w14:paraId="16AB219A"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352</w:t>
            </w:r>
          </w:p>
        </w:tc>
        <w:tc>
          <w:tcPr>
            <w:tcW w:w="888" w:type="dxa"/>
            <w:shd w:val="clear" w:color="000000" w:fill="FFFFFF"/>
            <w:noWrap/>
            <w:vAlign w:val="center"/>
            <w:hideMark/>
          </w:tcPr>
          <w:p w14:paraId="3E34BFB3"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3,352</w:t>
            </w:r>
          </w:p>
        </w:tc>
      </w:tr>
      <w:tr w:rsidR="005F6EE1" w:rsidRPr="005F6EE1" w14:paraId="71A4DF28" w14:textId="77777777" w:rsidTr="007D2E50">
        <w:trPr>
          <w:trHeight w:val="290"/>
          <w:jc w:val="center"/>
        </w:trPr>
        <w:tc>
          <w:tcPr>
            <w:tcW w:w="3818" w:type="dxa"/>
            <w:gridSpan w:val="4"/>
            <w:shd w:val="clear" w:color="000000" w:fill="FFFFFF"/>
            <w:noWrap/>
            <w:vAlign w:val="center"/>
            <w:hideMark/>
          </w:tcPr>
          <w:p w14:paraId="27867290"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Appointed by the Secretary of State</w:t>
            </w:r>
          </w:p>
        </w:tc>
        <w:tc>
          <w:tcPr>
            <w:tcW w:w="459" w:type="dxa"/>
            <w:gridSpan w:val="2"/>
            <w:shd w:val="clear" w:color="000000" w:fill="FFFFFF"/>
            <w:noWrap/>
            <w:vAlign w:val="center"/>
            <w:hideMark/>
          </w:tcPr>
          <w:p w14:paraId="6BE5B4EF"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 </w:t>
            </w:r>
          </w:p>
        </w:tc>
        <w:tc>
          <w:tcPr>
            <w:tcW w:w="1008" w:type="dxa"/>
            <w:gridSpan w:val="2"/>
            <w:shd w:val="clear" w:color="000000" w:fill="FFFFFF"/>
            <w:noWrap/>
            <w:vAlign w:val="center"/>
            <w:hideMark/>
          </w:tcPr>
          <w:p w14:paraId="665B1E9F"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310" w:type="dxa"/>
            <w:gridSpan w:val="2"/>
            <w:shd w:val="clear" w:color="000000" w:fill="FFFFFF"/>
            <w:noWrap/>
            <w:vAlign w:val="center"/>
            <w:hideMark/>
          </w:tcPr>
          <w:p w14:paraId="50B2A5E2"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159" w:type="dxa"/>
            <w:gridSpan w:val="2"/>
            <w:shd w:val="clear" w:color="000000" w:fill="FFFFFF"/>
            <w:noWrap/>
            <w:vAlign w:val="center"/>
            <w:hideMark/>
          </w:tcPr>
          <w:p w14:paraId="7092AD0F"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888" w:type="dxa"/>
            <w:shd w:val="clear" w:color="000000" w:fill="FFFFFF"/>
            <w:noWrap/>
            <w:vAlign w:val="center"/>
            <w:hideMark/>
          </w:tcPr>
          <w:p w14:paraId="4606101C"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 </w:t>
            </w:r>
          </w:p>
        </w:tc>
      </w:tr>
      <w:tr w:rsidR="005F6EE1" w:rsidRPr="005F6EE1" w14:paraId="11B0161C" w14:textId="77777777" w:rsidTr="007D2E50">
        <w:trPr>
          <w:trHeight w:val="290"/>
          <w:jc w:val="center"/>
        </w:trPr>
        <w:tc>
          <w:tcPr>
            <w:tcW w:w="1172" w:type="dxa"/>
            <w:shd w:val="clear" w:color="000000" w:fill="FFFFFF"/>
            <w:noWrap/>
            <w:vAlign w:val="center"/>
            <w:hideMark/>
          </w:tcPr>
          <w:p w14:paraId="5D11EB54"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Allen</w:t>
            </w:r>
          </w:p>
        </w:tc>
        <w:tc>
          <w:tcPr>
            <w:tcW w:w="1172" w:type="dxa"/>
            <w:shd w:val="clear" w:color="000000" w:fill="FFFFFF"/>
            <w:noWrap/>
            <w:vAlign w:val="center"/>
            <w:hideMark/>
          </w:tcPr>
          <w:p w14:paraId="137DE1A4"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474" w:type="dxa"/>
            <w:gridSpan w:val="2"/>
            <w:shd w:val="clear" w:color="000000" w:fill="FFFFFF"/>
            <w:noWrap/>
            <w:vAlign w:val="center"/>
            <w:hideMark/>
          </w:tcPr>
          <w:p w14:paraId="5F46082C" w14:textId="15E85ACB" w:rsidR="005F6EE1" w:rsidRPr="005F6EE1" w:rsidRDefault="005F6EE1" w:rsidP="005F6EE1">
            <w:pPr>
              <w:rPr>
                <w:rFonts w:cs="Arial"/>
                <w:color w:val="000000"/>
                <w:sz w:val="16"/>
                <w:szCs w:val="16"/>
                <w:lang w:eastAsia="en-GB"/>
              </w:rPr>
            </w:pPr>
            <w:r>
              <w:rPr>
                <w:rFonts w:cs="Arial"/>
                <w:color w:val="000000"/>
                <w:sz w:val="16"/>
                <w:szCs w:val="16"/>
                <w:lang w:eastAsia="en-GB"/>
              </w:rPr>
              <w:t>J</w:t>
            </w:r>
          </w:p>
        </w:tc>
        <w:tc>
          <w:tcPr>
            <w:tcW w:w="459" w:type="dxa"/>
            <w:gridSpan w:val="2"/>
            <w:shd w:val="clear" w:color="000000" w:fill="FFFFFF"/>
            <w:noWrap/>
            <w:vAlign w:val="center"/>
            <w:hideMark/>
          </w:tcPr>
          <w:p w14:paraId="1CB477A6"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2</w:t>
            </w:r>
          </w:p>
        </w:tc>
        <w:tc>
          <w:tcPr>
            <w:tcW w:w="1008" w:type="dxa"/>
            <w:gridSpan w:val="2"/>
            <w:shd w:val="clear" w:color="000000" w:fill="FFFFFF"/>
            <w:noWrap/>
            <w:vAlign w:val="center"/>
            <w:hideMark/>
          </w:tcPr>
          <w:p w14:paraId="525ED1DA"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750</w:t>
            </w:r>
          </w:p>
        </w:tc>
        <w:tc>
          <w:tcPr>
            <w:tcW w:w="1310" w:type="dxa"/>
            <w:gridSpan w:val="2"/>
            <w:shd w:val="clear" w:color="000000" w:fill="FFFFFF"/>
            <w:noWrap/>
            <w:vAlign w:val="center"/>
            <w:hideMark/>
          </w:tcPr>
          <w:p w14:paraId="1AA57B07"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1159" w:type="dxa"/>
            <w:gridSpan w:val="2"/>
            <w:shd w:val="clear" w:color="000000" w:fill="FFFFFF"/>
            <w:noWrap/>
            <w:vAlign w:val="center"/>
            <w:hideMark/>
          </w:tcPr>
          <w:p w14:paraId="596D856C"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888" w:type="dxa"/>
            <w:shd w:val="clear" w:color="000000" w:fill="FFFFFF"/>
            <w:noWrap/>
            <w:vAlign w:val="center"/>
            <w:hideMark/>
          </w:tcPr>
          <w:p w14:paraId="59A45DD2"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750</w:t>
            </w:r>
          </w:p>
        </w:tc>
      </w:tr>
      <w:tr w:rsidR="005F6EE1" w:rsidRPr="005F6EE1" w14:paraId="31DE4777" w14:textId="77777777" w:rsidTr="007D2E50">
        <w:trPr>
          <w:trHeight w:val="290"/>
          <w:jc w:val="center"/>
        </w:trPr>
        <w:tc>
          <w:tcPr>
            <w:tcW w:w="2344" w:type="dxa"/>
            <w:gridSpan w:val="2"/>
            <w:shd w:val="clear" w:color="000000" w:fill="FFFFFF"/>
            <w:noWrap/>
            <w:vAlign w:val="center"/>
            <w:hideMark/>
          </w:tcPr>
          <w:p w14:paraId="2B4CFB54"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xml:space="preserve">Kidd                                   </w:t>
            </w:r>
          </w:p>
        </w:tc>
        <w:tc>
          <w:tcPr>
            <w:tcW w:w="1474" w:type="dxa"/>
            <w:gridSpan w:val="2"/>
            <w:shd w:val="clear" w:color="000000" w:fill="FFFFFF"/>
            <w:noWrap/>
            <w:vAlign w:val="center"/>
            <w:hideMark/>
          </w:tcPr>
          <w:p w14:paraId="4352801C"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M</w:t>
            </w:r>
          </w:p>
        </w:tc>
        <w:tc>
          <w:tcPr>
            <w:tcW w:w="459" w:type="dxa"/>
            <w:gridSpan w:val="2"/>
            <w:shd w:val="clear" w:color="000000" w:fill="FFFFFF"/>
            <w:noWrap/>
            <w:vAlign w:val="center"/>
            <w:hideMark/>
          </w:tcPr>
          <w:p w14:paraId="4F098DA9"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008" w:type="dxa"/>
            <w:gridSpan w:val="2"/>
            <w:shd w:val="clear" w:color="000000" w:fill="FFFFFF"/>
            <w:noWrap/>
            <w:vAlign w:val="center"/>
            <w:hideMark/>
          </w:tcPr>
          <w:p w14:paraId="3C8C5DEB"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3,000</w:t>
            </w:r>
          </w:p>
        </w:tc>
        <w:tc>
          <w:tcPr>
            <w:tcW w:w="1310" w:type="dxa"/>
            <w:gridSpan w:val="2"/>
            <w:shd w:val="clear" w:color="000000" w:fill="FFFFFF"/>
            <w:noWrap/>
            <w:vAlign w:val="center"/>
            <w:hideMark/>
          </w:tcPr>
          <w:p w14:paraId="6FFBCBD2"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2,000</w:t>
            </w:r>
          </w:p>
        </w:tc>
        <w:tc>
          <w:tcPr>
            <w:tcW w:w="1159" w:type="dxa"/>
            <w:gridSpan w:val="2"/>
            <w:shd w:val="clear" w:color="000000" w:fill="FFFFFF"/>
            <w:noWrap/>
            <w:vAlign w:val="center"/>
            <w:hideMark/>
          </w:tcPr>
          <w:p w14:paraId="29C7341F"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136</w:t>
            </w:r>
          </w:p>
        </w:tc>
        <w:tc>
          <w:tcPr>
            <w:tcW w:w="888" w:type="dxa"/>
            <w:shd w:val="clear" w:color="000000" w:fill="FFFFFF"/>
            <w:noWrap/>
            <w:vAlign w:val="center"/>
            <w:hideMark/>
          </w:tcPr>
          <w:p w14:paraId="5A27546A"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5,136</w:t>
            </w:r>
          </w:p>
        </w:tc>
      </w:tr>
      <w:tr w:rsidR="005F6EE1" w:rsidRPr="005F6EE1" w14:paraId="23FC794D" w14:textId="77777777" w:rsidTr="007D2E50">
        <w:trPr>
          <w:trHeight w:val="290"/>
          <w:jc w:val="center"/>
        </w:trPr>
        <w:tc>
          <w:tcPr>
            <w:tcW w:w="1172" w:type="dxa"/>
            <w:shd w:val="clear" w:color="000000" w:fill="FFFFFF"/>
            <w:noWrap/>
            <w:vAlign w:val="center"/>
            <w:hideMark/>
          </w:tcPr>
          <w:p w14:paraId="37687BB8"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Carter</w:t>
            </w:r>
          </w:p>
        </w:tc>
        <w:tc>
          <w:tcPr>
            <w:tcW w:w="1172" w:type="dxa"/>
            <w:shd w:val="clear" w:color="000000" w:fill="FFFFFF"/>
            <w:noWrap/>
            <w:vAlign w:val="center"/>
            <w:hideMark/>
          </w:tcPr>
          <w:p w14:paraId="3E5F135E"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474" w:type="dxa"/>
            <w:gridSpan w:val="2"/>
            <w:shd w:val="clear" w:color="000000" w:fill="FFFFFF"/>
            <w:noWrap/>
            <w:vAlign w:val="center"/>
            <w:hideMark/>
          </w:tcPr>
          <w:p w14:paraId="6076C899"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M</w:t>
            </w:r>
          </w:p>
        </w:tc>
        <w:tc>
          <w:tcPr>
            <w:tcW w:w="459" w:type="dxa"/>
            <w:gridSpan w:val="2"/>
            <w:shd w:val="clear" w:color="000000" w:fill="FFFFFF"/>
            <w:noWrap/>
            <w:vAlign w:val="center"/>
            <w:hideMark/>
          </w:tcPr>
          <w:p w14:paraId="47FA926A"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008" w:type="dxa"/>
            <w:gridSpan w:val="2"/>
            <w:shd w:val="clear" w:color="000000" w:fill="FFFFFF"/>
            <w:noWrap/>
            <w:vAlign w:val="center"/>
            <w:hideMark/>
          </w:tcPr>
          <w:p w14:paraId="72CFB782"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3,000</w:t>
            </w:r>
          </w:p>
        </w:tc>
        <w:tc>
          <w:tcPr>
            <w:tcW w:w="1310" w:type="dxa"/>
            <w:gridSpan w:val="2"/>
            <w:shd w:val="clear" w:color="000000" w:fill="FFFFFF"/>
            <w:noWrap/>
            <w:vAlign w:val="center"/>
            <w:hideMark/>
          </w:tcPr>
          <w:p w14:paraId="25BFEF9D"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3,938</w:t>
            </w:r>
          </w:p>
        </w:tc>
        <w:tc>
          <w:tcPr>
            <w:tcW w:w="1159" w:type="dxa"/>
            <w:gridSpan w:val="2"/>
            <w:shd w:val="clear" w:color="000000" w:fill="FFFFFF"/>
            <w:noWrap/>
            <w:vAlign w:val="center"/>
            <w:hideMark/>
          </w:tcPr>
          <w:p w14:paraId="4F581767"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37</w:t>
            </w:r>
          </w:p>
        </w:tc>
        <w:tc>
          <w:tcPr>
            <w:tcW w:w="888" w:type="dxa"/>
            <w:shd w:val="clear" w:color="000000" w:fill="FFFFFF"/>
            <w:noWrap/>
            <w:vAlign w:val="center"/>
            <w:hideMark/>
          </w:tcPr>
          <w:p w14:paraId="01869B32"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6,974</w:t>
            </w:r>
          </w:p>
        </w:tc>
      </w:tr>
      <w:tr w:rsidR="005F6EE1" w:rsidRPr="005F6EE1" w14:paraId="6569EF75" w14:textId="77777777" w:rsidTr="007D2E50">
        <w:trPr>
          <w:trHeight w:val="290"/>
          <w:jc w:val="center"/>
        </w:trPr>
        <w:tc>
          <w:tcPr>
            <w:tcW w:w="1172" w:type="dxa"/>
            <w:shd w:val="clear" w:color="000000" w:fill="FFFFFF"/>
            <w:noWrap/>
            <w:vAlign w:val="center"/>
            <w:hideMark/>
          </w:tcPr>
          <w:p w14:paraId="27C631ED"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Davies</w:t>
            </w:r>
          </w:p>
        </w:tc>
        <w:tc>
          <w:tcPr>
            <w:tcW w:w="1172" w:type="dxa"/>
            <w:shd w:val="clear" w:color="000000" w:fill="FFFFFF"/>
            <w:noWrap/>
            <w:vAlign w:val="center"/>
            <w:hideMark/>
          </w:tcPr>
          <w:p w14:paraId="797623DA"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474" w:type="dxa"/>
            <w:gridSpan w:val="2"/>
            <w:shd w:val="clear" w:color="000000" w:fill="FFFFFF"/>
            <w:noWrap/>
            <w:vAlign w:val="center"/>
            <w:hideMark/>
          </w:tcPr>
          <w:p w14:paraId="444A6715"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G</w:t>
            </w:r>
          </w:p>
        </w:tc>
        <w:tc>
          <w:tcPr>
            <w:tcW w:w="459" w:type="dxa"/>
            <w:gridSpan w:val="2"/>
            <w:shd w:val="clear" w:color="000000" w:fill="FFFFFF"/>
            <w:noWrap/>
            <w:vAlign w:val="center"/>
            <w:hideMark/>
          </w:tcPr>
          <w:p w14:paraId="75615CAE"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008" w:type="dxa"/>
            <w:gridSpan w:val="2"/>
            <w:shd w:val="clear" w:color="000000" w:fill="FFFFFF"/>
            <w:noWrap/>
            <w:vAlign w:val="center"/>
            <w:hideMark/>
          </w:tcPr>
          <w:p w14:paraId="332D6710"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3,000</w:t>
            </w:r>
          </w:p>
        </w:tc>
        <w:tc>
          <w:tcPr>
            <w:tcW w:w="1310" w:type="dxa"/>
            <w:gridSpan w:val="2"/>
            <w:shd w:val="clear" w:color="000000" w:fill="FFFFFF"/>
            <w:noWrap/>
            <w:vAlign w:val="center"/>
            <w:hideMark/>
          </w:tcPr>
          <w:p w14:paraId="6FD7A15C"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2,000</w:t>
            </w:r>
          </w:p>
        </w:tc>
        <w:tc>
          <w:tcPr>
            <w:tcW w:w="1159" w:type="dxa"/>
            <w:gridSpan w:val="2"/>
            <w:shd w:val="clear" w:color="000000" w:fill="FFFFFF"/>
            <w:noWrap/>
            <w:vAlign w:val="center"/>
            <w:hideMark/>
          </w:tcPr>
          <w:p w14:paraId="3E562A60"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429</w:t>
            </w:r>
          </w:p>
        </w:tc>
        <w:tc>
          <w:tcPr>
            <w:tcW w:w="888" w:type="dxa"/>
            <w:shd w:val="clear" w:color="000000" w:fill="FFFFFF"/>
            <w:noWrap/>
            <w:vAlign w:val="center"/>
            <w:hideMark/>
          </w:tcPr>
          <w:p w14:paraId="0AA48AB5"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5,429</w:t>
            </w:r>
          </w:p>
        </w:tc>
      </w:tr>
      <w:tr w:rsidR="005F6EE1" w:rsidRPr="005F6EE1" w14:paraId="55F11C65" w14:textId="77777777" w:rsidTr="007D2E50">
        <w:trPr>
          <w:trHeight w:val="290"/>
          <w:jc w:val="center"/>
        </w:trPr>
        <w:tc>
          <w:tcPr>
            <w:tcW w:w="1172" w:type="dxa"/>
            <w:shd w:val="clear" w:color="000000" w:fill="FFFFFF"/>
            <w:noWrap/>
            <w:vAlign w:val="center"/>
            <w:hideMark/>
          </w:tcPr>
          <w:p w14:paraId="2C145411"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Hunt (MBE)</w:t>
            </w:r>
          </w:p>
        </w:tc>
        <w:tc>
          <w:tcPr>
            <w:tcW w:w="1172" w:type="dxa"/>
            <w:shd w:val="clear" w:color="000000" w:fill="FFFFFF"/>
            <w:noWrap/>
            <w:vAlign w:val="center"/>
            <w:hideMark/>
          </w:tcPr>
          <w:p w14:paraId="22E9CD9E"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474" w:type="dxa"/>
            <w:gridSpan w:val="2"/>
            <w:shd w:val="clear" w:color="000000" w:fill="FFFFFF"/>
            <w:noWrap/>
            <w:vAlign w:val="center"/>
            <w:hideMark/>
          </w:tcPr>
          <w:p w14:paraId="7E81FE23"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T</w:t>
            </w:r>
          </w:p>
        </w:tc>
        <w:tc>
          <w:tcPr>
            <w:tcW w:w="459" w:type="dxa"/>
            <w:gridSpan w:val="2"/>
            <w:shd w:val="clear" w:color="000000" w:fill="FFFFFF"/>
            <w:noWrap/>
            <w:vAlign w:val="center"/>
            <w:hideMark/>
          </w:tcPr>
          <w:p w14:paraId="5BFF7974"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008" w:type="dxa"/>
            <w:gridSpan w:val="2"/>
            <w:shd w:val="clear" w:color="000000" w:fill="FFFFFF"/>
            <w:noWrap/>
            <w:vAlign w:val="center"/>
            <w:hideMark/>
          </w:tcPr>
          <w:p w14:paraId="72E330FA"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3,000</w:t>
            </w:r>
          </w:p>
        </w:tc>
        <w:tc>
          <w:tcPr>
            <w:tcW w:w="1310" w:type="dxa"/>
            <w:gridSpan w:val="2"/>
            <w:shd w:val="clear" w:color="000000" w:fill="FFFFFF"/>
            <w:noWrap/>
            <w:vAlign w:val="center"/>
            <w:hideMark/>
          </w:tcPr>
          <w:p w14:paraId="10DADEDC"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6,000</w:t>
            </w:r>
          </w:p>
        </w:tc>
        <w:tc>
          <w:tcPr>
            <w:tcW w:w="1159" w:type="dxa"/>
            <w:gridSpan w:val="2"/>
            <w:shd w:val="clear" w:color="000000" w:fill="FFFFFF"/>
            <w:noWrap/>
            <w:vAlign w:val="center"/>
            <w:hideMark/>
          </w:tcPr>
          <w:p w14:paraId="37A45119"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112</w:t>
            </w:r>
          </w:p>
        </w:tc>
        <w:tc>
          <w:tcPr>
            <w:tcW w:w="888" w:type="dxa"/>
            <w:shd w:val="clear" w:color="000000" w:fill="FFFFFF"/>
            <w:noWrap/>
            <w:vAlign w:val="center"/>
            <w:hideMark/>
          </w:tcPr>
          <w:p w14:paraId="35C8083F"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9,112</w:t>
            </w:r>
          </w:p>
        </w:tc>
      </w:tr>
      <w:tr w:rsidR="005F6EE1" w:rsidRPr="005F6EE1" w14:paraId="3FB77387" w14:textId="77777777" w:rsidTr="007D2E50">
        <w:trPr>
          <w:trHeight w:val="290"/>
          <w:jc w:val="center"/>
        </w:trPr>
        <w:tc>
          <w:tcPr>
            <w:tcW w:w="1172" w:type="dxa"/>
            <w:shd w:val="clear" w:color="000000" w:fill="FFFFFF"/>
            <w:noWrap/>
            <w:vAlign w:val="center"/>
            <w:hideMark/>
          </w:tcPr>
          <w:p w14:paraId="1DDB41C9"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Jackson</w:t>
            </w:r>
          </w:p>
        </w:tc>
        <w:tc>
          <w:tcPr>
            <w:tcW w:w="1172" w:type="dxa"/>
            <w:shd w:val="clear" w:color="000000" w:fill="FFFFFF"/>
            <w:noWrap/>
            <w:vAlign w:val="center"/>
            <w:hideMark/>
          </w:tcPr>
          <w:p w14:paraId="7F776F7E"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474" w:type="dxa"/>
            <w:gridSpan w:val="2"/>
            <w:shd w:val="clear" w:color="000000" w:fill="FFFFFF"/>
            <w:noWrap/>
            <w:vAlign w:val="center"/>
            <w:hideMark/>
          </w:tcPr>
          <w:p w14:paraId="23FD2CD0"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J</w:t>
            </w:r>
          </w:p>
        </w:tc>
        <w:tc>
          <w:tcPr>
            <w:tcW w:w="459" w:type="dxa"/>
            <w:gridSpan w:val="2"/>
            <w:shd w:val="clear" w:color="000000" w:fill="FFFFFF"/>
            <w:noWrap/>
            <w:vAlign w:val="center"/>
            <w:hideMark/>
          </w:tcPr>
          <w:p w14:paraId="42ACDABD"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008" w:type="dxa"/>
            <w:gridSpan w:val="2"/>
            <w:shd w:val="clear" w:color="000000" w:fill="FFFFFF"/>
            <w:noWrap/>
            <w:vAlign w:val="center"/>
            <w:hideMark/>
          </w:tcPr>
          <w:p w14:paraId="7C5060D2"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3,000</w:t>
            </w:r>
          </w:p>
        </w:tc>
        <w:tc>
          <w:tcPr>
            <w:tcW w:w="1310" w:type="dxa"/>
            <w:gridSpan w:val="2"/>
            <w:shd w:val="clear" w:color="000000" w:fill="FFFFFF"/>
            <w:noWrap/>
            <w:vAlign w:val="center"/>
            <w:hideMark/>
          </w:tcPr>
          <w:p w14:paraId="329F422A"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2,000</w:t>
            </w:r>
          </w:p>
        </w:tc>
        <w:tc>
          <w:tcPr>
            <w:tcW w:w="1159" w:type="dxa"/>
            <w:gridSpan w:val="2"/>
            <w:shd w:val="clear" w:color="000000" w:fill="FFFFFF"/>
            <w:noWrap/>
            <w:vAlign w:val="center"/>
            <w:hideMark/>
          </w:tcPr>
          <w:p w14:paraId="22BA1210"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97</w:t>
            </w:r>
          </w:p>
        </w:tc>
        <w:tc>
          <w:tcPr>
            <w:tcW w:w="888" w:type="dxa"/>
            <w:shd w:val="clear" w:color="000000" w:fill="FFFFFF"/>
            <w:noWrap/>
            <w:vAlign w:val="center"/>
            <w:hideMark/>
          </w:tcPr>
          <w:p w14:paraId="5753AA41"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5,097</w:t>
            </w:r>
          </w:p>
        </w:tc>
      </w:tr>
      <w:tr w:rsidR="005F6EE1" w:rsidRPr="005F6EE1" w14:paraId="249C97EA" w14:textId="77777777" w:rsidTr="007D2E50">
        <w:trPr>
          <w:trHeight w:val="290"/>
          <w:jc w:val="center"/>
        </w:trPr>
        <w:tc>
          <w:tcPr>
            <w:tcW w:w="1172" w:type="dxa"/>
            <w:shd w:val="clear" w:color="000000" w:fill="FFFFFF"/>
            <w:noWrap/>
            <w:vAlign w:val="center"/>
            <w:hideMark/>
          </w:tcPr>
          <w:p w14:paraId="7BD7DBCE"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Mackenzie</w:t>
            </w:r>
          </w:p>
        </w:tc>
        <w:tc>
          <w:tcPr>
            <w:tcW w:w="1172" w:type="dxa"/>
            <w:shd w:val="clear" w:color="000000" w:fill="FFFFFF"/>
            <w:noWrap/>
            <w:vAlign w:val="center"/>
            <w:hideMark/>
          </w:tcPr>
          <w:p w14:paraId="23185EE8"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474" w:type="dxa"/>
            <w:gridSpan w:val="2"/>
            <w:shd w:val="clear" w:color="000000" w:fill="FFFFFF"/>
            <w:noWrap/>
            <w:vAlign w:val="center"/>
            <w:hideMark/>
          </w:tcPr>
          <w:p w14:paraId="78FDA180"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A</w:t>
            </w:r>
          </w:p>
        </w:tc>
        <w:tc>
          <w:tcPr>
            <w:tcW w:w="459" w:type="dxa"/>
            <w:gridSpan w:val="2"/>
            <w:shd w:val="clear" w:color="000000" w:fill="FFFFFF"/>
            <w:noWrap/>
            <w:vAlign w:val="center"/>
            <w:hideMark/>
          </w:tcPr>
          <w:p w14:paraId="3529A6AF"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1</w:t>
            </w:r>
          </w:p>
        </w:tc>
        <w:tc>
          <w:tcPr>
            <w:tcW w:w="1008" w:type="dxa"/>
            <w:gridSpan w:val="2"/>
            <w:shd w:val="clear" w:color="000000" w:fill="FFFFFF"/>
            <w:noWrap/>
            <w:vAlign w:val="center"/>
            <w:hideMark/>
          </w:tcPr>
          <w:p w14:paraId="19EC52BB"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2,202</w:t>
            </w:r>
          </w:p>
        </w:tc>
        <w:tc>
          <w:tcPr>
            <w:tcW w:w="1310" w:type="dxa"/>
            <w:gridSpan w:val="2"/>
            <w:shd w:val="clear" w:color="000000" w:fill="FFFFFF"/>
            <w:noWrap/>
            <w:vAlign w:val="center"/>
            <w:hideMark/>
          </w:tcPr>
          <w:p w14:paraId="1A2E8A88"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1159" w:type="dxa"/>
            <w:gridSpan w:val="2"/>
            <w:shd w:val="clear" w:color="000000" w:fill="FFFFFF"/>
            <w:noWrap/>
            <w:vAlign w:val="center"/>
            <w:hideMark/>
          </w:tcPr>
          <w:p w14:paraId="06853889"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888" w:type="dxa"/>
            <w:shd w:val="clear" w:color="000000" w:fill="FFFFFF"/>
            <w:noWrap/>
            <w:vAlign w:val="center"/>
            <w:hideMark/>
          </w:tcPr>
          <w:p w14:paraId="3FD68AEE"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2,202</w:t>
            </w:r>
          </w:p>
        </w:tc>
      </w:tr>
      <w:tr w:rsidR="005F6EE1" w:rsidRPr="005F6EE1" w14:paraId="308EE4FF" w14:textId="77777777" w:rsidTr="007D2E50">
        <w:trPr>
          <w:trHeight w:val="290"/>
          <w:jc w:val="center"/>
        </w:trPr>
        <w:tc>
          <w:tcPr>
            <w:tcW w:w="1172" w:type="dxa"/>
            <w:shd w:val="clear" w:color="000000" w:fill="FFFFFF"/>
            <w:noWrap/>
            <w:vAlign w:val="center"/>
            <w:hideMark/>
          </w:tcPr>
          <w:p w14:paraId="267CC27A" w14:textId="77777777" w:rsidR="005F6EE1" w:rsidRPr="005F6EE1" w:rsidRDefault="005F6EE1" w:rsidP="005F6EE1">
            <w:pPr>
              <w:rPr>
                <w:rFonts w:cs="Arial"/>
                <w:color w:val="000000"/>
                <w:sz w:val="16"/>
                <w:szCs w:val="16"/>
                <w:lang w:eastAsia="en-GB"/>
              </w:rPr>
            </w:pPr>
            <w:proofErr w:type="spellStart"/>
            <w:r w:rsidRPr="005F6EE1">
              <w:rPr>
                <w:rFonts w:cs="Arial"/>
                <w:color w:val="000000"/>
                <w:sz w:val="16"/>
                <w:szCs w:val="16"/>
                <w:lang w:eastAsia="en-GB"/>
              </w:rPr>
              <w:t>Mosner</w:t>
            </w:r>
            <w:proofErr w:type="spellEnd"/>
          </w:p>
        </w:tc>
        <w:tc>
          <w:tcPr>
            <w:tcW w:w="1172" w:type="dxa"/>
            <w:shd w:val="clear" w:color="000000" w:fill="FFFFFF"/>
            <w:noWrap/>
            <w:vAlign w:val="center"/>
            <w:hideMark/>
          </w:tcPr>
          <w:p w14:paraId="1B3D8D53"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474" w:type="dxa"/>
            <w:gridSpan w:val="2"/>
            <w:shd w:val="clear" w:color="000000" w:fill="FFFFFF"/>
            <w:noWrap/>
            <w:vAlign w:val="center"/>
            <w:hideMark/>
          </w:tcPr>
          <w:p w14:paraId="23637C2D"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S</w:t>
            </w:r>
          </w:p>
        </w:tc>
        <w:tc>
          <w:tcPr>
            <w:tcW w:w="459" w:type="dxa"/>
            <w:gridSpan w:val="2"/>
            <w:shd w:val="clear" w:color="000000" w:fill="FFFFFF"/>
            <w:noWrap/>
            <w:vAlign w:val="center"/>
            <w:hideMark/>
          </w:tcPr>
          <w:p w14:paraId="3A9F87B7"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008" w:type="dxa"/>
            <w:gridSpan w:val="2"/>
            <w:shd w:val="clear" w:color="000000" w:fill="FFFFFF"/>
            <w:noWrap/>
            <w:vAlign w:val="center"/>
            <w:hideMark/>
          </w:tcPr>
          <w:p w14:paraId="15264842"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3,000</w:t>
            </w:r>
          </w:p>
        </w:tc>
        <w:tc>
          <w:tcPr>
            <w:tcW w:w="1310" w:type="dxa"/>
            <w:gridSpan w:val="2"/>
            <w:shd w:val="clear" w:color="000000" w:fill="FFFFFF"/>
            <w:noWrap/>
            <w:vAlign w:val="center"/>
            <w:hideMark/>
          </w:tcPr>
          <w:p w14:paraId="78AEB81B"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1159" w:type="dxa"/>
            <w:gridSpan w:val="2"/>
            <w:shd w:val="clear" w:color="000000" w:fill="FFFFFF"/>
            <w:noWrap/>
            <w:vAlign w:val="center"/>
            <w:hideMark/>
          </w:tcPr>
          <w:p w14:paraId="61D9E37C"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108</w:t>
            </w:r>
          </w:p>
        </w:tc>
        <w:tc>
          <w:tcPr>
            <w:tcW w:w="888" w:type="dxa"/>
            <w:shd w:val="clear" w:color="000000" w:fill="FFFFFF"/>
            <w:noWrap/>
            <w:vAlign w:val="center"/>
            <w:hideMark/>
          </w:tcPr>
          <w:p w14:paraId="7EF8F9AA"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3,108</w:t>
            </w:r>
          </w:p>
        </w:tc>
      </w:tr>
      <w:tr w:rsidR="005F6EE1" w:rsidRPr="005F6EE1" w14:paraId="0A8F2379" w14:textId="77777777" w:rsidTr="007D2E50">
        <w:trPr>
          <w:trHeight w:val="290"/>
          <w:jc w:val="center"/>
        </w:trPr>
        <w:tc>
          <w:tcPr>
            <w:tcW w:w="1172" w:type="dxa"/>
            <w:shd w:val="clear" w:color="000000" w:fill="FFFFFF"/>
            <w:noWrap/>
            <w:vAlign w:val="center"/>
            <w:hideMark/>
          </w:tcPr>
          <w:p w14:paraId="74F3D663" w14:textId="77777777" w:rsidR="005F6EE1" w:rsidRPr="005F6EE1" w:rsidRDefault="005F6EE1" w:rsidP="005F6EE1">
            <w:pPr>
              <w:rPr>
                <w:rFonts w:cs="Arial"/>
                <w:color w:val="000000"/>
                <w:sz w:val="16"/>
                <w:szCs w:val="16"/>
                <w:lang w:eastAsia="en-GB"/>
              </w:rPr>
            </w:pPr>
            <w:proofErr w:type="spellStart"/>
            <w:r w:rsidRPr="005F6EE1">
              <w:rPr>
                <w:rFonts w:cs="Arial"/>
                <w:color w:val="000000"/>
                <w:sz w:val="16"/>
                <w:szCs w:val="16"/>
                <w:lang w:eastAsia="en-GB"/>
              </w:rPr>
              <w:t>Outhwaite</w:t>
            </w:r>
            <w:proofErr w:type="spellEnd"/>
          </w:p>
        </w:tc>
        <w:tc>
          <w:tcPr>
            <w:tcW w:w="1172" w:type="dxa"/>
            <w:shd w:val="clear" w:color="000000" w:fill="FFFFFF"/>
            <w:noWrap/>
            <w:vAlign w:val="center"/>
            <w:hideMark/>
          </w:tcPr>
          <w:p w14:paraId="4974864E"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474" w:type="dxa"/>
            <w:gridSpan w:val="2"/>
            <w:shd w:val="clear" w:color="000000" w:fill="FFFFFF"/>
            <w:noWrap/>
            <w:vAlign w:val="center"/>
            <w:hideMark/>
          </w:tcPr>
          <w:p w14:paraId="16513F5F"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R</w:t>
            </w:r>
          </w:p>
        </w:tc>
        <w:tc>
          <w:tcPr>
            <w:tcW w:w="459" w:type="dxa"/>
            <w:gridSpan w:val="2"/>
            <w:shd w:val="clear" w:color="000000" w:fill="FFFFFF"/>
            <w:noWrap/>
            <w:vAlign w:val="center"/>
            <w:hideMark/>
          </w:tcPr>
          <w:p w14:paraId="45F8DB9B"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1</w:t>
            </w:r>
          </w:p>
        </w:tc>
        <w:tc>
          <w:tcPr>
            <w:tcW w:w="1008" w:type="dxa"/>
            <w:gridSpan w:val="2"/>
            <w:shd w:val="clear" w:color="000000" w:fill="FFFFFF"/>
            <w:noWrap/>
            <w:vAlign w:val="center"/>
            <w:hideMark/>
          </w:tcPr>
          <w:p w14:paraId="770D96B5"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2,202</w:t>
            </w:r>
          </w:p>
        </w:tc>
        <w:tc>
          <w:tcPr>
            <w:tcW w:w="1310" w:type="dxa"/>
            <w:gridSpan w:val="2"/>
            <w:shd w:val="clear" w:color="000000" w:fill="FFFFFF"/>
            <w:noWrap/>
            <w:vAlign w:val="center"/>
            <w:hideMark/>
          </w:tcPr>
          <w:p w14:paraId="5F5B8FF1"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1159" w:type="dxa"/>
            <w:gridSpan w:val="2"/>
            <w:shd w:val="clear" w:color="000000" w:fill="FFFFFF"/>
            <w:noWrap/>
            <w:vAlign w:val="center"/>
            <w:hideMark/>
          </w:tcPr>
          <w:p w14:paraId="56AE09DC"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139</w:t>
            </w:r>
          </w:p>
        </w:tc>
        <w:tc>
          <w:tcPr>
            <w:tcW w:w="888" w:type="dxa"/>
            <w:shd w:val="clear" w:color="000000" w:fill="FFFFFF"/>
            <w:noWrap/>
            <w:vAlign w:val="center"/>
            <w:hideMark/>
          </w:tcPr>
          <w:p w14:paraId="6DBD19AE"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2,340</w:t>
            </w:r>
          </w:p>
        </w:tc>
      </w:tr>
      <w:tr w:rsidR="005F6EE1" w:rsidRPr="005F6EE1" w14:paraId="55C42EDA" w14:textId="77777777" w:rsidTr="007D2E50">
        <w:trPr>
          <w:trHeight w:val="290"/>
          <w:jc w:val="center"/>
        </w:trPr>
        <w:tc>
          <w:tcPr>
            <w:tcW w:w="1172" w:type="dxa"/>
            <w:shd w:val="clear" w:color="000000" w:fill="FFFFFF"/>
            <w:noWrap/>
            <w:vAlign w:val="center"/>
            <w:hideMark/>
          </w:tcPr>
          <w:p w14:paraId="305084CB"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Sayers</w:t>
            </w:r>
          </w:p>
        </w:tc>
        <w:tc>
          <w:tcPr>
            <w:tcW w:w="1172" w:type="dxa"/>
            <w:shd w:val="clear" w:color="000000" w:fill="FFFFFF"/>
            <w:noWrap/>
            <w:vAlign w:val="center"/>
            <w:hideMark/>
          </w:tcPr>
          <w:p w14:paraId="1C031D31"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474" w:type="dxa"/>
            <w:gridSpan w:val="2"/>
            <w:shd w:val="clear" w:color="000000" w:fill="FFFFFF"/>
            <w:noWrap/>
            <w:vAlign w:val="center"/>
            <w:hideMark/>
          </w:tcPr>
          <w:p w14:paraId="3E83922E"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J</w:t>
            </w:r>
          </w:p>
        </w:tc>
        <w:tc>
          <w:tcPr>
            <w:tcW w:w="459" w:type="dxa"/>
            <w:gridSpan w:val="2"/>
            <w:shd w:val="clear" w:color="000000" w:fill="FFFFFF"/>
            <w:noWrap/>
            <w:vAlign w:val="center"/>
            <w:hideMark/>
          </w:tcPr>
          <w:p w14:paraId="588BBD16"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008" w:type="dxa"/>
            <w:gridSpan w:val="2"/>
            <w:shd w:val="clear" w:color="000000" w:fill="FFFFFF"/>
            <w:noWrap/>
            <w:vAlign w:val="center"/>
            <w:hideMark/>
          </w:tcPr>
          <w:p w14:paraId="03E1CEAF"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3,000</w:t>
            </w:r>
          </w:p>
        </w:tc>
        <w:tc>
          <w:tcPr>
            <w:tcW w:w="1310" w:type="dxa"/>
            <w:gridSpan w:val="2"/>
            <w:shd w:val="clear" w:color="000000" w:fill="FFFFFF"/>
            <w:noWrap/>
            <w:vAlign w:val="center"/>
            <w:hideMark/>
          </w:tcPr>
          <w:p w14:paraId="08C2D350"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1159" w:type="dxa"/>
            <w:gridSpan w:val="2"/>
            <w:shd w:val="clear" w:color="000000" w:fill="FFFFFF"/>
            <w:noWrap/>
            <w:vAlign w:val="center"/>
            <w:hideMark/>
          </w:tcPr>
          <w:p w14:paraId="35315F55"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43</w:t>
            </w:r>
          </w:p>
        </w:tc>
        <w:tc>
          <w:tcPr>
            <w:tcW w:w="888" w:type="dxa"/>
            <w:shd w:val="clear" w:color="000000" w:fill="FFFFFF"/>
            <w:noWrap/>
            <w:vAlign w:val="center"/>
            <w:hideMark/>
          </w:tcPr>
          <w:p w14:paraId="42230D5B"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3,043</w:t>
            </w:r>
          </w:p>
        </w:tc>
      </w:tr>
      <w:tr w:rsidR="005F6EE1" w:rsidRPr="005F6EE1" w14:paraId="579A214A" w14:textId="77777777" w:rsidTr="007D2E50">
        <w:trPr>
          <w:trHeight w:val="290"/>
          <w:jc w:val="center"/>
        </w:trPr>
        <w:tc>
          <w:tcPr>
            <w:tcW w:w="1172" w:type="dxa"/>
            <w:shd w:val="clear" w:color="000000" w:fill="FFFFFF"/>
            <w:noWrap/>
            <w:vAlign w:val="center"/>
            <w:hideMark/>
          </w:tcPr>
          <w:p w14:paraId="62465662"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Stuart</w:t>
            </w:r>
          </w:p>
        </w:tc>
        <w:tc>
          <w:tcPr>
            <w:tcW w:w="1172" w:type="dxa"/>
            <w:shd w:val="clear" w:color="000000" w:fill="FFFFFF"/>
            <w:noWrap/>
            <w:vAlign w:val="center"/>
            <w:hideMark/>
          </w:tcPr>
          <w:p w14:paraId="3F6CCABD"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474" w:type="dxa"/>
            <w:gridSpan w:val="2"/>
            <w:shd w:val="clear" w:color="000000" w:fill="FFFFFF"/>
            <w:noWrap/>
            <w:vAlign w:val="center"/>
            <w:hideMark/>
          </w:tcPr>
          <w:p w14:paraId="4BAA8608"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J</w:t>
            </w:r>
          </w:p>
        </w:tc>
        <w:tc>
          <w:tcPr>
            <w:tcW w:w="459" w:type="dxa"/>
            <w:gridSpan w:val="2"/>
            <w:shd w:val="clear" w:color="000000" w:fill="FFFFFF"/>
            <w:noWrap/>
            <w:vAlign w:val="center"/>
            <w:hideMark/>
          </w:tcPr>
          <w:p w14:paraId="67E4C4C9"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1</w:t>
            </w:r>
          </w:p>
        </w:tc>
        <w:tc>
          <w:tcPr>
            <w:tcW w:w="1008" w:type="dxa"/>
            <w:gridSpan w:val="2"/>
            <w:shd w:val="clear" w:color="000000" w:fill="FFFFFF"/>
            <w:noWrap/>
            <w:vAlign w:val="center"/>
            <w:hideMark/>
          </w:tcPr>
          <w:p w14:paraId="4E5E31BA"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2,250</w:t>
            </w:r>
          </w:p>
        </w:tc>
        <w:tc>
          <w:tcPr>
            <w:tcW w:w="1310" w:type="dxa"/>
            <w:gridSpan w:val="2"/>
            <w:shd w:val="clear" w:color="000000" w:fill="FFFFFF"/>
            <w:noWrap/>
            <w:vAlign w:val="center"/>
            <w:hideMark/>
          </w:tcPr>
          <w:p w14:paraId="0EA69D31"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1159" w:type="dxa"/>
            <w:gridSpan w:val="2"/>
            <w:shd w:val="clear" w:color="000000" w:fill="FFFFFF"/>
            <w:noWrap/>
            <w:vAlign w:val="center"/>
            <w:hideMark/>
          </w:tcPr>
          <w:p w14:paraId="28E91481"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306</w:t>
            </w:r>
          </w:p>
        </w:tc>
        <w:tc>
          <w:tcPr>
            <w:tcW w:w="888" w:type="dxa"/>
            <w:shd w:val="clear" w:color="000000" w:fill="FFFFFF"/>
            <w:noWrap/>
            <w:vAlign w:val="center"/>
            <w:hideMark/>
          </w:tcPr>
          <w:p w14:paraId="10C45914"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2,556</w:t>
            </w:r>
          </w:p>
        </w:tc>
      </w:tr>
      <w:tr w:rsidR="005F6EE1" w:rsidRPr="005F6EE1" w14:paraId="1E5E4A91" w14:textId="77777777" w:rsidTr="007D2E50">
        <w:trPr>
          <w:trHeight w:val="290"/>
          <w:jc w:val="center"/>
        </w:trPr>
        <w:tc>
          <w:tcPr>
            <w:tcW w:w="1172" w:type="dxa"/>
            <w:shd w:val="clear" w:color="000000" w:fill="FFFFFF"/>
            <w:noWrap/>
            <w:vAlign w:val="center"/>
            <w:hideMark/>
          </w:tcPr>
          <w:p w14:paraId="4EFC0998" w14:textId="77777777" w:rsidR="005F6EE1" w:rsidRPr="005F6EE1" w:rsidRDefault="005F6EE1" w:rsidP="005F6EE1">
            <w:pPr>
              <w:rPr>
                <w:rFonts w:ascii="Calibri" w:hAnsi="Calibri" w:cs="Calibri"/>
                <w:color w:val="000000"/>
                <w:sz w:val="16"/>
                <w:szCs w:val="16"/>
                <w:lang w:eastAsia="en-GB"/>
              </w:rPr>
            </w:pPr>
            <w:r w:rsidRPr="005F6EE1">
              <w:rPr>
                <w:rFonts w:ascii="Calibri" w:hAnsi="Calibri" w:cs="Calibri"/>
                <w:color w:val="000000"/>
                <w:sz w:val="16"/>
                <w:szCs w:val="16"/>
                <w:lang w:eastAsia="en-GB"/>
              </w:rPr>
              <w:t> </w:t>
            </w:r>
          </w:p>
        </w:tc>
        <w:tc>
          <w:tcPr>
            <w:tcW w:w="1172" w:type="dxa"/>
            <w:shd w:val="clear" w:color="000000" w:fill="FFFFFF"/>
            <w:noWrap/>
            <w:vAlign w:val="center"/>
            <w:hideMark/>
          </w:tcPr>
          <w:p w14:paraId="3608F3C5" w14:textId="77777777" w:rsidR="005F6EE1" w:rsidRPr="005F6EE1" w:rsidRDefault="005F6EE1" w:rsidP="005F6EE1">
            <w:pPr>
              <w:rPr>
                <w:rFonts w:ascii="Calibri" w:hAnsi="Calibri" w:cs="Calibri"/>
                <w:color w:val="000000"/>
                <w:sz w:val="16"/>
                <w:szCs w:val="16"/>
                <w:lang w:eastAsia="en-GB"/>
              </w:rPr>
            </w:pPr>
            <w:r w:rsidRPr="005F6EE1">
              <w:rPr>
                <w:rFonts w:ascii="Calibri" w:hAnsi="Calibri" w:cs="Calibri"/>
                <w:color w:val="000000"/>
                <w:sz w:val="16"/>
                <w:szCs w:val="16"/>
                <w:lang w:eastAsia="en-GB"/>
              </w:rPr>
              <w:t> </w:t>
            </w:r>
          </w:p>
        </w:tc>
        <w:tc>
          <w:tcPr>
            <w:tcW w:w="1474" w:type="dxa"/>
            <w:gridSpan w:val="2"/>
            <w:shd w:val="clear" w:color="000000" w:fill="FFFFFF"/>
            <w:noWrap/>
            <w:vAlign w:val="bottom"/>
            <w:hideMark/>
          </w:tcPr>
          <w:p w14:paraId="107CA775" w14:textId="3BA50280" w:rsidR="005F6EE1" w:rsidRPr="005F6EE1" w:rsidRDefault="005F6EE1" w:rsidP="005F6EE1">
            <w:pPr>
              <w:rPr>
                <w:rFonts w:ascii="Times New Roman" w:hAnsi="Times New Roman"/>
                <w:color w:val="000000"/>
                <w:sz w:val="20"/>
                <w:szCs w:val="20"/>
                <w:lang w:eastAsia="en-GB"/>
              </w:rPr>
            </w:pPr>
          </w:p>
        </w:tc>
        <w:tc>
          <w:tcPr>
            <w:tcW w:w="459" w:type="dxa"/>
            <w:gridSpan w:val="2"/>
            <w:shd w:val="clear" w:color="000000" w:fill="FFFFFF"/>
            <w:noWrap/>
            <w:vAlign w:val="bottom"/>
            <w:hideMark/>
          </w:tcPr>
          <w:p w14:paraId="1930F3A5" w14:textId="77777777" w:rsidR="005F6EE1" w:rsidRPr="005F6EE1" w:rsidRDefault="005F6EE1" w:rsidP="005F6EE1">
            <w:pPr>
              <w:rPr>
                <w:rFonts w:ascii="Times New Roman" w:hAnsi="Times New Roman"/>
                <w:color w:val="000000"/>
                <w:sz w:val="20"/>
                <w:szCs w:val="20"/>
                <w:lang w:eastAsia="en-GB"/>
              </w:rPr>
            </w:pPr>
            <w:r w:rsidRPr="005F6EE1">
              <w:rPr>
                <w:rFonts w:ascii="Times New Roman" w:hAnsi="Times New Roman"/>
                <w:color w:val="000000"/>
                <w:sz w:val="20"/>
                <w:szCs w:val="20"/>
                <w:lang w:eastAsia="en-GB"/>
              </w:rPr>
              <w:t> </w:t>
            </w:r>
          </w:p>
        </w:tc>
        <w:tc>
          <w:tcPr>
            <w:tcW w:w="1008" w:type="dxa"/>
            <w:gridSpan w:val="2"/>
            <w:shd w:val="clear" w:color="000000" w:fill="FFFFFF"/>
            <w:noWrap/>
            <w:vAlign w:val="center"/>
            <w:hideMark/>
          </w:tcPr>
          <w:p w14:paraId="05FFC701" w14:textId="77777777" w:rsidR="005F6EE1" w:rsidRPr="005F6EE1" w:rsidRDefault="005F6EE1" w:rsidP="005F6EE1">
            <w:pPr>
              <w:rPr>
                <w:rFonts w:ascii="Calibri" w:hAnsi="Calibri" w:cs="Calibri"/>
                <w:color w:val="000000"/>
                <w:sz w:val="16"/>
                <w:szCs w:val="16"/>
                <w:lang w:eastAsia="en-GB"/>
              </w:rPr>
            </w:pPr>
            <w:r w:rsidRPr="005F6EE1">
              <w:rPr>
                <w:rFonts w:ascii="Calibri" w:hAnsi="Calibri" w:cs="Calibri"/>
                <w:color w:val="000000"/>
                <w:sz w:val="16"/>
                <w:szCs w:val="16"/>
                <w:lang w:eastAsia="en-GB"/>
              </w:rPr>
              <w:t> </w:t>
            </w:r>
          </w:p>
        </w:tc>
        <w:tc>
          <w:tcPr>
            <w:tcW w:w="1310" w:type="dxa"/>
            <w:gridSpan w:val="2"/>
            <w:shd w:val="clear" w:color="000000" w:fill="FFFFFF"/>
            <w:noWrap/>
            <w:vAlign w:val="center"/>
            <w:hideMark/>
          </w:tcPr>
          <w:p w14:paraId="40821E78" w14:textId="77777777" w:rsidR="005F6EE1" w:rsidRPr="005F6EE1" w:rsidRDefault="005F6EE1" w:rsidP="005F6EE1">
            <w:pPr>
              <w:rPr>
                <w:rFonts w:ascii="Calibri" w:hAnsi="Calibri" w:cs="Calibri"/>
                <w:color w:val="000000"/>
                <w:sz w:val="16"/>
                <w:szCs w:val="16"/>
                <w:lang w:eastAsia="en-GB"/>
              </w:rPr>
            </w:pPr>
            <w:r w:rsidRPr="005F6EE1">
              <w:rPr>
                <w:rFonts w:ascii="Calibri" w:hAnsi="Calibri" w:cs="Calibri"/>
                <w:color w:val="000000"/>
                <w:sz w:val="16"/>
                <w:szCs w:val="16"/>
                <w:lang w:eastAsia="en-GB"/>
              </w:rPr>
              <w:t> </w:t>
            </w:r>
          </w:p>
        </w:tc>
        <w:tc>
          <w:tcPr>
            <w:tcW w:w="1159" w:type="dxa"/>
            <w:gridSpan w:val="2"/>
            <w:shd w:val="clear" w:color="000000" w:fill="FFFFFF"/>
            <w:noWrap/>
            <w:vAlign w:val="center"/>
            <w:hideMark/>
          </w:tcPr>
          <w:p w14:paraId="5AD7C8C5" w14:textId="77777777" w:rsidR="005F6EE1" w:rsidRPr="005F6EE1" w:rsidRDefault="005F6EE1" w:rsidP="005F6EE1">
            <w:pPr>
              <w:rPr>
                <w:rFonts w:ascii="Calibri" w:hAnsi="Calibri" w:cs="Calibri"/>
                <w:color w:val="000000"/>
                <w:sz w:val="16"/>
                <w:szCs w:val="16"/>
                <w:lang w:eastAsia="en-GB"/>
              </w:rPr>
            </w:pPr>
            <w:r w:rsidRPr="005F6EE1">
              <w:rPr>
                <w:rFonts w:ascii="Calibri" w:hAnsi="Calibri" w:cs="Calibri"/>
                <w:color w:val="000000"/>
                <w:sz w:val="16"/>
                <w:szCs w:val="16"/>
                <w:lang w:eastAsia="en-GB"/>
              </w:rPr>
              <w:t> </w:t>
            </w:r>
          </w:p>
        </w:tc>
        <w:tc>
          <w:tcPr>
            <w:tcW w:w="888" w:type="dxa"/>
            <w:shd w:val="clear" w:color="auto" w:fill="auto"/>
            <w:noWrap/>
            <w:vAlign w:val="bottom"/>
            <w:hideMark/>
          </w:tcPr>
          <w:p w14:paraId="233E0BFA" w14:textId="77777777" w:rsidR="005F6EE1" w:rsidRPr="005F6EE1" w:rsidRDefault="005F6EE1" w:rsidP="005F6EE1">
            <w:pPr>
              <w:rPr>
                <w:rFonts w:ascii="Calibri" w:hAnsi="Calibri" w:cs="Calibri"/>
                <w:color w:val="000000"/>
                <w:sz w:val="22"/>
                <w:szCs w:val="22"/>
                <w:lang w:eastAsia="en-GB"/>
              </w:rPr>
            </w:pPr>
            <w:r w:rsidRPr="005F6EE1">
              <w:rPr>
                <w:rFonts w:ascii="Calibri" w:hAnsi="Calibri" w:cs="Calibri"/>
                <w:color w:val="000000"/>
                <w:sz w:val="22"/>
                <w:szCs w:val="22"/>
                <w:lang w:eastAsia="en-GB"/>
              </w:rPr>
              <w:t> </w:t>
            </w:r>
          </w:p>
        </w:tc>
      </w:tr>
      <w:tr w:rsidR="005F6EE1" w:rsidRPr="005F6EE1" w14:paraId="210C1540" w14:textId="77777777" w:rsidTr="007D2E50">
        <w:trPr>
          <w:trHeight w:val="290"/>
          <w:jc w:val="center"/>
        </w:trPr>
        <w:tc>
          <w:tcPr>
            <w:tcW w:w="4277" w:type="dxa"/>
            <w:gridSpan w:val="6"/>
            <w:shd w:val="clear" w:color="000000" w:fill="FFFFFF"/>
            <w:noWrap/>
            <w:vAlign w:val="center"/>
            <w:hideMark/>
          </w:tcPr>
          <w:p w14:paraId="225F60DD"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Appointed by the Lake District National Park Authority</w:t>
            </w:r>
          </w:p>
        </w:tc>
        <w:tc>
          <w:tcPr>
            <w:tcW w:w="1008" w:type="dxa"/>
            <w:gridSpan w:val="2"/>
            <w:shd w:val="clear" w:color="000000" w:fill="FFFFFF"/>
            <w:noWrap/>
            <w:vAlign w:val="center"/>
            <w:hideMark/>
          </w:tcPr>
          <w:p w14:paraId="4013BD00"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 </w:t>
            </w:r>
          </w:p>
        </w:tc>
        <w:tc>
          <w:tcPr>
            <w:tcW w:w="1310" w:type="dxa"/>
            <w:gridSpan w:val="2"/>
            <w:shd w:val="clear" w:color="000000" w:fill="FFFFFF"/>
            <w:noWrap/>
            <w:vAlign w:val="center"/>
            <w:hideMark/>
          </w:tcPr>
          <w:p w14:paraId="5046841D"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 </w:t>
            </w:r>
          </w:p>
        </w:tc>
        <w:tc>
          <w:tcPr>
            <w:tcW w:w="1159" w:type="dxa"/>
            <w:gridSpan w:val="2"/>
            <w:shd w:val="clear" w:color="000000" w:fill="FFFFFF"/>
            <w:noWrap/>
            <w:vAlign w:val="center"/>
            <w:hideMark/>
          </w:tcPr>
          <w:p w14:paraId="3C472194" w14:textId="77777777" w:rsidR="005F6EE1" w:rsidRPr="005F6EE1" w:rsidRDefault="005F6EE1" w:rsidP="005F6EE1">
            <w:pPr>
              <w:rPr>
                <w:rFonts w:cs="Arial"/>
                <w:b/>
                <w:bCs/>
                <w:color w:val="000000"/>
                <w:sz w:val="16"/>
                <w:szCs w:val="16"/>
                <w:lang w:eastAsia="en-GB"/>
              </w:rPr>
            </w:pPr>
            <w:r w:rsidRPr="005F6EE1">
              <w:rPr>
                <w:rFonts w:cs="Arial"/>
                <w:b/>
                <w:bCs/>
                <w:color w:val="000000"/>
                <w:sz w:val="16"/>
                <w:szCs w:val="16"/>
                <w:lang w:eastAsia="en-GB"/>
              </w:rPr>
              <w:t> </w:t>
            </w:r>
          </w:p>
        </w:tc>
        <w:tc>
          <w:tcPr>
            <w:tcW w:w="888" w:type="dxa"/>
            <w:shd w:val="clear" w:color="000000" w:fill="FFFFFF"/>
            <w:noWrap/>
            <w:vAlign w:val="center"/>
            <w:hideMark/>
          </w:tcPr>
          <w:p w14:paraId="0FE00AD4"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 </w:t>
            </w:r>
          </w:p>
        </w:tc>
      </w:tr>
      <w:tr w:rsidR="005F6EE1" w:rsidRPr="005F6EE1" w14:paraId="42922AEC" w14:textId="77777777" w:rsidTr="007D2E50">
        <w:trPr>
          <w:trHeight w:val="290"/>
          <w:jc w:val="center"/>
        </w:trPr>
        <w:tc>
          <w:tcPr>
            <w:tcW w:w="1172" w:type="dxa"/>
            <w:shd w:val="clear" w:color="000000" w:fill="FFFFFF"/>
            <w:noWrap/>
            <w:vAlign w:val="center"/>
            <w:hideMark/>
          </w:tcPr>
          <w:p w14:paraId="6797EE7F" w14:textId="77777777" w:rsidR="005F6EE1" w:rsidRPr="005F6EE1" w:rsidRDefault="005F6EE1" w:rsidP="005F6EE1">
            <w:pPr>
              <w:rPr>
                <w:rFonts w:cs="Arial"/>
                <w:color w:val="000000"/>
                <w:sz w:val="16"/>
                <w:szCs w:val="16"/>
                <w:lang w:eastAsia="en-GB"/>
              </w:rPr>
            </w:pPr>
            <w:proofErr w:type="spellStart"/>
            <w:r w:rsidRPr="005F6EE1">
              <w:rPr>
                <w:rFonts w:cs="Arial"/>
                <w:color w:val="000000"/>
                <w:sz w:val="16"/>
                <w:szCs w:val="16"/>
                <w:lang w:eastAsia="en-GB"/>
              </w:rPr>
              <w:t>Southorn</w:t>
            </w:r>
            <w:proofErr w:type="spellEnd"/>
          </w:p>
        </w:tc>
        <w:tc>
          <w:tcPr>
            <w:tcW w:w="1172" w:type="dxa"/>
            <w:shd w:val="clear" w:color="000000" w:fill="FFFFFF"/>
            <w:noWrap/>
            <w:vAlign w:val="center"/>
            <w:hideMark/>
          </w:tcPr>
          <w:p w14:paraId="4AA56B75"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474" w:type="dxa"/>
            <w:gridSpan w:val="2"/>
            <w:shd w:val="clear" w:color="000000" w:fill="FFFFFF"/>
            <w:noWrap/>
            <w:vAlign w:val="center"/>
            <w:hideMark/>
          </w:tcPr>
          <w:p w14:paraId="471841DE"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A</w:t>
            </w:r>
          </w:p>
        </w:tc>
        <w:tc>
          <w:tcPr>
            <w:tcW w:w="459" w:type="dxa"/>
            <w:gridSpan w:val="2"/>
            <w:shd w:val="clear" w:color="000000" w:fill="FFFFFF"/>
            <w:noWrap/>
            <w:vAlign w:val="center"/>
            <w:hideMark/>
          </w:tcPr>
          <w:p w14:paraId="08A3BDBD"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008" w:type="dxa"/>
            <w:gridSpan w:val="2"/>
            <w:shd w:val="clear" w:color="000000" w:fill="FFFFFF"/>
            <w:noWrap/>
            <w:vAlign w:val="center"/>
            <w:hideMark/>
          </w:tcPr>
          <w:p w14:paraId="0CB2B835"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150</w:t>
            </w:r>
          </w:p>
        </w:tc>
        <w:tc>
          <w:tcPr>
            <w:tcW w:w="1310" w:type="dxa"/>
            <w:gridSpan w:val="2"/>
            <w:shd w:val="clear" w:color="000000" w:fill="FFFFFF"/>
            <w:noWrap/>
            <w:vAlign w:val="center"/>
            <w:hideMark/>
          </w:tcPr>
          <w:p w14:paraId="3F5173BD"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1159" w:type="dxa"/>
            <w:gridSpan w:val="2"/>
            <w:shd w:val="clear" w:color="000000" w:fill="FFFFFF"/>
            <w:noWrap/>
            <w:vAlign w:val="center"/>
            <w:hideMark/>
          </w:tcPr>
          <w:p w14:paraId="32D1F320"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118</w:t>
            </w:r>
          </w:p>
        </w:tc>
        <w:tc>
          <w:tcPr>
            <w:tcW w:w="888" w:type="dxa"/>
            <w:shd w:val="clear" w:color="000000" w:fill="FFFFFF"/>
            <w:noWrap/>
            <w:vAlign w:val="center"/>
            <w:hideMark/>
          </w:tcPr>
          <w:p w14:paraId="3B68E7D2"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268</w:t>
            </w:r>
          </w:p>
        </w:tc>
      </w:tr>
      <w:tr w:rsidR="005F6EE1" w:rsidRPr="005F6EE1" w14:paraId="42832E93" w14:textId="77777777" w:rsidTr="007D2E50">
        <w:trPr>
          <w:trHeight w:val="300"/>
          <w:jc w:val="center"/>
        </w:trPr>
        <w:tc>
          <w:tcPr>
            <w:tcW w:w="1172" w:type="dxa"/>
            <w:shd w:val="clear" w:color="000000" w:fill="FFFFFF"/>
            <w:noWrap/>
            <w:vAlign w:val="center"/>
            <w:hideMark/>
          </w:tcPr>
          <w:p w14:paraId="7C856C15"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Tweddle</w:t>
            </w:r>
          </w:p>
        </w:tc>
        <w:tc>
          <w:tcPr>
            <w:tcW w:w="1172" w:type="dxa"/>
            <w:shd w:val="clear" w:color="000000" w:fill="FFFFFF"/>
            <w:noWrap/>
            <w:vAlign w:val="center"/>
            <w:hideMark/>
          </w:tcPr>
          <w:p w14:paraId="2590655B"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474" w:type="dxa"/>
            <w:gridSpan w:val="2"/>
            <w:shd w:val="clear" w:color="000000" w:fill="FFFFFF"/>
            <w:noWrap/>
            <w:vAlign w:val="center"/>
            <w:hideMark/>
          </w:tcPr>
          <w:p w14:paraId="2F8D1420"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D</w:t>
            </w:r>
          </w:p>
        </w:tc>
        <w:tc>
          <w:tcPr>
            <w:tcW w:w="459" w:type="dxa"/>
            <w:gridSpan w:val="2"/>
            <w:shd w:val="clear" w:color="000000" w:fill="FFFFFF"/>
            <w:noWrap/>
            <w:vAlign w:val="center"/>
            <w:hideMark/>
          </w:tcPr>
          <w:p w14:paraId="5249CEB7" w14:textId="77777777" w:rsidR="005F6EE1" w:rsidRPr="005F6EE1" w:rsidRDefault="005F6EE1" w:rsidP="005F6EE1">
            <w:pPr>
              <w:rPr>
                <w:rFonts w:cs="Arial"/>
                <w:color w:val="000000"/>
                <w:sz w:val="16"/>
                <w:szCs w:val="16"/>
                <w:lang w:eastAsia="en-GB"/>
              </w:rPr>
            </w:pPr>
            <w:r w:rsidRPr="005F6EE1">
              <w:rPr>
                <w:rFonts w:cs="Arial"/>
                <w:color w:val="000000"/>
                <w:sz w:val="16"/>
                <w:szCs w:val="16"/>
                <w:lang w:eastAsia="en-GB"/>
              </w:rPr>
              <w:t> </w:t>
            </w:r>
          </w:p>
        </w:tc>
        <w:tc>
          <w:tcPr>
            <w:tcW w:w="1008" w:type="dxa"/>
            <w:gridSpan w:val="2"/>
            <w:shd w:val="clear" w:color="000000" w:fill="FFFFFF"/>
            <w:noWrap/>
            <w:vAlign w:val="center"/>
            <w:hideMark/>
          </w:tcPr>
          <w:p w14:paraId="748C1A12"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150</w:t>
            </w:r>
          </w:p>
        </w:tc>
        <w:tc>
          <w:tcPr>
            <w:tcW w:w="1310" w:type="dxa"/>
            <w:gridSpan w:val="2"/>
            <w:shd w:val="clear" w:color="000000" w:fill="FFFFFF"/>
            <w:noWrap/>
            <w:vAlign w:val="center"/>
            <w:hideMark/>
          </w:tcPr>
          <w:p w14:paraId="3DD10B57"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1159" w:type="dxa"/>
            <w:gridSpan w:val="2"/>
            <w:shd w:val="clear" w:color="000000" w:fill="FFFFFF"/>
            <w:noWrap/>
            <w:vAlign w:val="center"/>
            <w:hideMark/>
          </w:tcPr>
          <w:p w14:paraId="17ACEA8A"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0</w:t>
            </w:r>
          </w:p>
        </w:tc>
        <w:tc>
          <w:tcPr>
            <w:tcW w:w="888" w:type="dxa"/>
            <w:shd w:val="clear" w:color="000000" w:fill="FFFFFF"/>
            <w:noWrap/>
            <w:vAlign w:val="center"/>
            <w:hideMark/>
          </w:tcPr>
          <w:p w14:paraId="5FAE731E" w14:textId="77777777" w:rsidR="005F6EE1" w:rsidRPr="005F6EE1" w:rsidRDefault="005F6EE1" w:rsidP="005F6EE1">
            <w:pPr>
              <w:jc w:val="right"/>
              <w:rPr>
                <w:rFonts w:cs="Arial"/>
                <w:color w:val="000000"/>
                <w:sz w:val="16"/>
                <w:szCs w:val="16"/>
                <w:lang w:eastAsia="en-GB"/>
              </w:rPr>
            </w:pPr>
            <w:r w:rsidRPr="005F6EE1">
              <w:rPr>
                <w:rFonts w:cs="Arial"/>
                <w:color w:val="000000"/>
                <w:sz w:val="16"/>
                <w:szCs w:val="16"/>
                <w:lang w:eastAsia="en-GB"/>
              </w:rPr>
              <w:t>150</w:t>
            </w:r>
          </w:p>
        </w:tc>
      </w:tr>
    </w:tbl>
    <w:p w14:paraId="06BD3CF6" w14:textId="77777777" w:rsidR="005F6EE1" w:rsidRDefault="005F6EE1" w:rsidP="00040C1A">
      <w:pPr>
        <w:pStyle w:val="BlockText"/>
        <w:ind w:left="0"/>
        <w:rPr>
          <w:sz w:val="23"/>
          <w:szCs w:val="23"/>
          <w:highlight w:val="yellow"/>
        </w:rPr>
      </w:pPr>
    </w:p>
    <w:p w14:paraId="198BB1DF" w14:textId="77777777" w:rsidR="005F6EE1" w:rsidRDefault="005F6EE1" w:rsidP="00040C1A">
      <w:pPr>
        <w:pStyle w:val="BlockText"/>
        <w:ind w:left="0"/>
        <w:rPr>
          <w:sz w:val="23"/>
          <w:szCs w:val="23"/>
          <w:highlight w:val="yellow"/>
        </w:rPr>
      </w:pPr>
    </w:p>
    <w:p w14:paraId="485A4660" w14:textId="77777777" w:rsidR="00E00863" w:rsidRPr="009F03E4" w:rsidRDefault="00E00863" w:rsidP="003B05C3">
      <w:r w:rsidRPr="009F03E4">
        <w:t>Notes:</w:t>
      </w:r>
    </w:p>
    <w:p w14:paraId="485A4661" w14:textId="77777777" w:rsidR="00E00863" w:rsidRPr="009F03E4" w:rsidRDefault="00E00863" w:rsidP="006D2EED">
      <w:pPr>
        <w:rPr>
          <w:highlight w:val="yellow"/>
          <w:u w:val="single"/>
        </w:rPr>
      </w:pPr>
    </w:p>
    <w:p w14:paraId="646536D4" w14:textId="42D15D99" w:rsidR="008220E2" w:rsidRPr="009F03E4" w:rsidRDefault="006D0965" w:rsidP="005F6EE1">
      <w:pPr>
        <w:pStyle w:val="ListParagraph"/>
        <w:numPr>
          <w:ilvl w:val="1"/>
          <w:numId w:val="46"/>
        </w:numPr>
        <w:rPr>
          <w:rFonts w:cs="Arial"/>
          <w:color w:val="1F497D"/>
          <w:sz w:val="23"/>
          <w:szCs w:val="23"/>
          <w:u w:val="none"/>
          <w:lang w:eastAsia="en-US"/>
        </w:rPr>
      </w:pPr>
      <w:r w:rsidRPr="009F03E4">
        <w:rPr>
          <w:sz w:val="23"/>
          <w:szCs w:val="23"/>
          <w:u w:val="none"/>
        </w:rPr>
        <w:t xml:space="preserve">The following Members joined the Authority during the year: </w:t>
      </w:r>
    </w:p>
    <w:p w14:paraId="19F553DC" w14:textId="77777777" w:rsidR="008220E2" w:rsidRPr="009F03E4" w:rsidRDefault="008220E2" w:rsidP="008220E2">
      <w:pPr>
        <w:pStyle w:val="ListParagraph"/>
        <w:rPr>
          <w:rFonts w:cs="Arial"/>
          <w:color w:val="1F497D"/>
          <w:sz w:val="23"/>
          <w:szCs w:val="23"/>
          <w:u w:val="none"/>
        </w:rPr>
      </w:pPr>
    </w:p>
    <w:p w14:paraId="572C995E" w14:textId="5F5BEB78" w:rsidR="008220E2" w:rsidRPr="009F03E4" w:rsidRDefault="008220E2" w:rsidP="008220E2">
      <w:pPr>
        <w:pStyle w:val="ListParagraph"/>
        <w:ind w:left="1440"/>
        <w:rPr>
          <w:rFonts w:cs="Arial"/>
          <w:sz w:val="23"/>
          <w:szCs w:val="23"/>
          <w:u w:val="none"/>
          <w:lang w:eastAsia="en-US"/>
        </w:rPr>
      </w:pPr>
      <w:r w:rsidRPr="009F03E4">
        <w:rPr>
          <w:rFonts w:cs="Arial"/>
          <w:sz w:val="23"/>
          <w:szCs w:val="23"/>
          <w:u w:val="none"/>
        </w:rPr>
        <w:t>James Stuart (1/7/22)</w:t>
      </w:r>
    </w:p>
    <w:p w14:paraId="65048489" w14:textId="77777777" w:rsidR="008220E2" w:rsidRPr="009F03E4" w:rsidRDefault="008220E2" w:rsidP="008220E2">
      <w:pPr>
        <w:pStyle w:val="ListParagraph"/>
        <w:ind w:left="1440"/>
        <w:rPr>
          <w:rFonts w:cs="Arial"/>
          <w:sz w:val="23"/>
          <w:szCs w:val="23"/>
          <w:u w:val="none"/>
        </w:rPr>
      </w:pPr>
      <w:r w:rsidRPr="009F03E4">
        <w:rPr>
          <w:rFonts w:cs="Arial"/>
          <w:sz w:val="23"/>
          <w:szCs w:val="23"/>
          <w:u w:val="none"/>
        </w:rPr>
        <w:t>Alan Mackenzie (7/7/22)</w:t>
      </w:r>
    </w:p>
    <w:p w14:paraId="795D705B" w14:textId="77777777" w:rsidR="008220E2" w:rsidRPr="009F03E4" w:rsidRDefault="008220E2" w:rsidP="008220E2">
      <w:pPr>
        <w:pStyle w:val="ListParagraph"/>
        <w:ind w:left="1440"/>
        <w:rPr>
          <w:rFonts w:cs="Arial"/>
          <w:sz w:val="23"/>
          <w:szCs w:val="23"/>
          <w:u w:val="none"/>
        </w:rPr>
      </w:pPr>
      <w:r w:rsidRPr="009F03E4">
        <w:rPr>
          <w:rFonts w:cs="Arial"/>
          <w:sz w:val="23"/>
          <w:szCs w:val="23"/>
          <w:u w:val="none"/>
        </w:rPr>
        <w:t xml:space="preserve">Richard </w:t>
      </w:r>
      <w:proofErr w:type="spellStart"/>
      <w:r w:rsidRPr="009F03E4">
        <w:rPr>
          <w:rFonts w:cs="Arial"/>
          <w:sz w:val="23"/>
          <w:szCs w:val="23"/>
          <w:u w:val="none"/>
        </w:rPr>
        <w:t>Outhwaite</w:t>
      </w:r>
      <w:proofErr w:type="spellEnd"/>
      <w:r w:rsidRPr="009F03E4">
        <w:rPr>
          <w:rFonts w:cs="Arial"/>
          <w:sz w:val="23"/>
          <w:szCs w:val="23"/>
          <w:u w:val="none"/>
        </w:rPr>
        <w:t xml:space="preserve"> (7/7/22)</w:t>
      </w:r>
    </w:p>
    <w:p w14:paraId="33053A5A" w14:textId="2C054A45" w:rsidR="00960A22" w:rsidRPr="009F03E4" w:rsidRDefault="00960A22" w:rsidP="006D0965">
      <w:pPr>
        <w:ind w:left="720" w:firstLine="720"/>
        <w:rPr>
          <w:rFonts w:cs="Arial"/>
          <w:highlight w:val="yellow"/>
        </w:rPr>
      </w:pPr>
    </w:p>
    <w:p w14:paraId="61FF14ED" w14:textId="77777777" w:rsidR="00DC1950" w:rsidRPr="009F03E4" w:rsidRDefault="00DC1950" w:rsidP="006D0965">
      <w:pPr>
        <w:ind w:left="720" w:firstLine="720"/>
        <w:rPr>
          <w:rFonts w:cs="Arial"/>
          <w:highlight w:val="yellow"/>
        </w:rPr>
      </w:pPr>
    </w:p>
    <w:p w14:paraId="4BE85B73" w14:textId="7916BF13" w:rsidR="006D0965" w:rsidRPr="009F03E4" w:rsidRDefault="006D0965" w:rsidP="005F6EE1">
      <w:pPr>
        <w:pStyle w:val="ListParagraph"/>
        <w:numPr>
          <w:ilvl w:val="1"/>
          <w:numId w:val="46"/>
        </w:numPr>
        <w:rPr>
          <w:rFonts w:cs="Arial"/>
          <w:sz w:val="23"/>
          <w:szCs w:val="23"/>
          <w:u w:val="none"/>
        </w:rPr>
      </w:pPr>
      <w:r w:rsidRPr="009F03E4">
        <w:rPr>
          <w:rFonts w:cs="Arial"/>
          <w:sz w:val="23"/>
          <w:szCs w:val="23"/>
          <w:u w:val="none"/>
        </w:rPr>
        <w:t>The following Members left the Authority during the year</w:t>
      </w:r>
      <w:r w:rsidR="005F6EE1" w:rsidRPr="009F03E4">
        <w:rPr>
          <w:rFonts w:cs="Arial"/>
          <w:sz w:val="23"/>
          <w:szCs w:val="23"/>
          <w:u w:val="none"/>
        </w:rPr>
        <w:t>, the majority of these related to the 10 Members from the former Cumbrian Local Authorities</w:t>
      </w:r>
      <w:r w:rsidR="007D2E50">
        <w:rPr>
          <w:rFonts w:cs="Arial"/>
          <w:sz w:val="23"/>
          <w:szCs w:val="23"/>
          <w:u w:val="none"/>
        </w:rPr>
        <w:t xml:space="preserve"> who all left the Authority on 31/3/2023: </w:t>
      </w:r>
    </w:p>
    <w:p w14:paraId="2C093999" w14:textId="77777777" w:rsidR="006D0965" w:rsidRPr="009F03E4" w:rsidRDefault="006D0965" w:rsidP="006D0965">
      <w:pPr>
        <w:rPr>
          <w:rFonts w:cs="Arial"/>
          <w:highlight w:val="yellow"/>
        </w:rPr>
      </w:pPr>
    </w:p>
    <w:p w14:paraId="1D644A43" w14:textId="77777777" w:rsidR="008220E2" w:rsidRPr="009F03E4" w:rsidRDefault="008220E2" w:rsidP="005F6EE1">
      <w:pPr>
        <w:ind w:left="1418"/>
        <w:rPr>
          <w:rFonts w:cs="Arial"/>
        </w:rPr>
      </w:pPr>
      <w:r w:rsidRPr="009F03E4">
        <w:rPr>
          <w:rFonts w:cs="Arial"/>
        </w:rPr>
        <w:t>Peter Allen (30/6/22)</w:t>
      </w:r>
    </w:p>
    <w:p w14:paraId="2B81ACDB" w14:textId="15598CE6" w:rsidR="008220E2" w:rsidRPr="009F03E4" w:rsidRDefault="008220E2" w:rsidP="005F6EE1">
      <w:pPr>
        <w:ind w:left="1418"/>
        <w:rPr>
          <w:rFonts w:cs="Arial"/>
        </w:rPr>
      </w:pPr>
      <w:r w:rsidRPr="009F03E4">
        <w:rPr>
          <w:rFonts w:cs="Arial"/>
        </w:rPr>
        <w:t>Alan Barry (31/3/23)</w:t>
      </w:r>
    </w:p>
    <w:p w14:paraId="28D11019" w14:textId="77777777" w:rsidR="008220E2" w:rsidRPr="009F03E4" w:rsidRDefault="008220E2" w:rsidP="005F6EE1">
      <w:pPr>
        <w:ind w:left="1418"/>
        <w:rPr>
          <w:rFonts w:cs="Arial"/>
        </w:rPr>
      </w:pPr>
      <w:r w:rsidRPr="009F03E4">
        <w:rPr>
          <w:rFonts w:cs="Arial"/>
        </w:rPr>
        <w:t>Jim Bland (31/3/23)</w:t>
      </w:r>
    </w:p>
    <w:p w14:paraId="77634DF2" w14:textId="77777777" w:rsidR="008220E2" w:rsidRPr="009F03E4" w:rsidRDefault="008220E2" w:rsidP="005F6EE1">
      <w:pPr>
        <w:ind w:left="1418"/>
        <w:rPr>
          <w:rFonts w:cs="Arial"/>
        </w:rPr>
      </w:pPr>
      <w:r w:rsidRPr="009F03E4">
        <w:rPr>
          <w:rFonts w:cs="Arial"/>
        </w:rPr>
        <w:t>Hugh Branney (31/3/23)</w:t>
      </w:r>
    </w:p>
    <w:p w14:paraId="37B225F7" w14:textId="77777777" w:rsidR="008220E2" w:rsidRPr="009F03E4" w:rsidRDefault="008220E2" w:rsidP="005F6EE1">
      <w:pPr>
        <w:ind w:left="1418"/>
        <w:rPr>
          <w:rFonts w:cs="Arial"/>
        </w:rPr>
      </w:pPr>
      <w:r w:rsidRPr="009F03E4">
        <w:rPr>
          <w:rFonts w:cs="Arial"/>
        </w:rPr>
        <w:t>Will Clark (31/3/23)</w:t>
      </w:r>
    </w:p>
    <w:p w14:paraId="486741AE" w14:textId="77777777" w:rsidR="008220E2" w:rsidRPr="009F03E4" w:rsidRDefault="008220E2" w:rsidP="005F6EE1">
      <w:pPr>
        <w:ind w:left="1418"/>
        <w:rPr>
          <w:rFonts w:cs="Arial"/>
        </w:rPr>
      </w:pPr>
      <w:r w:rsidRPr="009F03E4">
        <w:rPr>
          <w:rFonts w:cs="Arial"/>
        </w:rPr>
        <w:t>Nicky Cockburn (31/3/23)</w:t>
      </w:r>
    </w:p>
    <w:p w14:paraId="3C4F9EF5" w14:textId="77777777" w:rsidR="008220E2" w:rsidRPr="009F03E4" w:rsidRDefault="008220E2" w:rsidP="005F6EE1">
      <w:pPr>
        <w:ind w:left="1418"/>
        <w:rPr>
          <w:rFonts w:cs="Arial"/>
        </w:rPr>
      </w:pPr>
      <w:r w:rsidRPr="009F03E4">
        <w:rPr>
          <w:rFonts w:cs="Arial"/>
        </w:rPr>
        <w:t>Judith Derbyshire (31/3/23)</w:t>
      </w:r>
    </w:p>
    <w:p w14:paraId="5591E250" w14:textId="77777777" w:rsidR="008220E2" w:rsidRPr="009F03E4" w:rsidRDefault="008220E2" w:rsidP="005F6EE1">
      <w:pPr>
        <w:ind w:left="1418"/>
        <w:rPr>
          <w:rFonts w:cs="Arial"/>
        </w:rPr>
      </w:pPr>
      <w:r w:rsidRPr="009F03E4">
        <w:rPr>
          <w:rFonts w:cs="Arial"/>
        </w:rPr>
        <w:t>Vicky Hughes (31/3/23)</w:t>
      </w:r>
    </w:p>
    <w:p w14:paraId="58A3F193" w14:textId="77777777" w:rsidR="008220E2" w:rsidRPr="009F03E4" w:rsidRDefault="008220E2" w:rsidP="005F6EE1">
      <w:pPr>
        <w:ind w:left="1418"/>
        <w:rPr>
          <w:rFonts w:cs="Arial"/>
        </w:rPr>
      </w:pPr>
      <w:r w:rsidRPr="009F03E4">
        <w:rPr>
          <w:rFonts w:cs="Arial"/>
        </w:rPr>
        <w:t xml:space="preserve">Tony </w:t>
      </w:r>
      <w:proofErr w:type="spellStart"/>
      <w:r w:rsidRPr="009F03E4">
        <w:rPr>
          <w:rFonts w:cs="Arial"/>
        </w:rPr>
        <w:t>Lywood</w:t>
      </w:r>
      <w:proofErr w:type="spellEnd"/>
      <w:r w:rsidRPr="009F03E4">
        <w:rPr>
          <w:rFonts w:cs="Arial"/>
        </w:rPr>
        <w:t xml:space="preserve"> (31/3/23)</w:t>
      </w:r>
    </w:p>
    <w:p w14:paraId="24777E6E" w14:textId="77777777" w:rsidR="008220E2" w:rsidRPr="009F03E4" w:rsidRDefault="008220E2" w:rsidP="005F6EE1">
      <w:pPr>
        <w:ind w:left="1418"/>
        <w:rPr>
          <w:rFonts w:cs="Arial"/>
        </w:rPr>
      </w:pPr>
      <w:r w:rsidRPr="009F03E4">
        <w:rPr>
          <w:rFonts w:cs="Arial"/>
        </w:rPr>
        <w:t>C Paul Turner (31/3/23)</w:t>
      </w:r>
    </w:p>
    <w:p w14:paraId="5822A3F8" w14:textId="1739F644" w:rsidR="006D0965" w:rsidRPr="009F03E4" w:rsidRDefault="008220E2" w:rsidP="005F6EE1">
      <w:pPr>
        <w:ind w:left="1418"/>
        <w:rPr>
          <w:rFonts w:cs="Arial"/>
        </w:rPr>
      </w:pPr>
      <w:r w:rsidRPr="009F03E4">
        <w:rPr>
          <w:rFonts w:cs="Arial"/>
        </w:rPr>
        <w:t>Ian Wharton (31/3/23)</w:t>
      </w:r>
    </w:p>
    <w:p w14:paraId="1CB2A941" w14:textId="77777777" w:rsidR="007D2E50" w:rsidRDefault="007D2E50" w:rsidP="007D2E50">
      <w:pPr>
        <w:ind w:left="720"/>
        <w:rPr>
          <w:rFonts w:cs="Arial"/>
        </w:rPr>
      </w:pPr>
    </w:p>
    <w:p w14:paraId="7756D04F" w14:textId="5882603B" w:rsidR="007D2E50" w:rsidRDefault="007D2E50" w:rsidP="007D2E50">
      <w:pPr>
        <w:ind w:left="720"/>
        <w:rPr>
          <w:rFonts w:eastAsia="Calibri"/>
          <w:highlight w:val="yellow"/>
          <w:lang w:eastAsia="en-GB"/>
        </w:rPr>
      </w:pPr>
      <w:r>
        <w:rPr>
          <w:rFonts w:cs="Arial"/>
        </w:rPr>
        <w:t xml:space="preserve">Members from </w:t>
      </w:r>
      <w:r w:rsidRPr="009F03E4">
        <w:rPr>
          <w:rFonts w:cs="Arial"/>
        </w:rPr>
        <w:t>the new unitary authorities of Westmoreland and Furness, and Cumberland</w:t>
      </w:r>
      <w:r>
        <w:rPr>
          <w:rFonts w:cs="Arial"/>
        </w:rPr>
        <w:t xml:space="preserve"> joined the authority in 2023/24.</w:t>
      </w:r>
      <w:r w:rsidR="005B6333" w:rsidRPr="009F03E4">
        <w:rPr>
          <w:rFonts w:eastAsia="Calibri"/>
          <w:highlight w:val="yellow"/>
          <w:lang w:eastAsia="en-GB"/>
        </w:rPr>
        <w:t xml:space="preserve">  </w:t>
      </w:r>
    </w:p>
    <w:p w14:paraId="485A466A" w14:textId="472F2979" w:rsidR="00D96122" w:rsidRPr="009F03E4" w:rsidRDefault="005B6333" w:rsidP="007D2E50">
      <w:pPr>
        <w:ind w:left="720" w:firstLine="50"/>
        <w:rPr>
          <w:highlight w:val="yellow"/>
        </w:rPr>
      </w:pPr>
      <w:r w:rsidRPr="009F03E4">
        <w:rPr>
          <w:rFonts w:eastAsia="Calibri"/>
          <w:highlight w:val="yellow"/>
          <w:lang w:eastAsia="en-GB"/>
        </w:rPr>
        <w:t xml:space="preserve">       </w:t>
      </w:r>
    </w:p>
    <w:p w14:paraId="485A466C" w14:textId="12027E40" w:rsidR="00F768F9" w:rsidRPr="009F03E4" w:rsidRDefault="00C33968" w:rsidP="006D2EED">
      <w:pPr>
        <w:ind w:firstLine="720"/>
      </w:pPr>
      <w:r w:rsidRPr="009F03E4">
        <w:t>Comparative figures for 20</w:t>
      </w:r>
      <w:r w:rsidR="00960A22" w:rsidRPr="009F03E4">
        <w:t>2</w:t>
      </w:r>
      <w:r w:rsidR="008220E2" w:rsidRPr="009F03E4">
        <w:t>1/</w:t>
      </w:r>
      <w:r w:rsidR="0018764B" w:rsidRPr="009F03E4">
        <w:t>2</w:t>
      </w:r>
      <w:r w:rsidR="008220E2" w:rsidRPr="009F03E4">
        <w:t>2</w:t>
      </w:r>
      <w:r w:rsidR="00F768F9" w:rsidRPr="009F03E4">
        <w:t xml:space="preserve"> are shown below:</w:t>
      </w:r>
    </w:p>
    <w:p w14:paraId="68648D59" w14:textId="748F6E7D" w:rsidR="00960A22" w:rsidRPr="004D5CA8" w:rsidRDefault="00960A22" w:rsidP="006D2EED">
      <w:pPr>
        <w:ind w:firstLine="720"/>
        <w:rPr>
          <w:highlight w:val="yellow"/>
        </w:rPr>
      </w:pPr>
    </w:p>
    <w:tbl>
      <w:tblPr>
        <w:tblW w:w="3680" w:type="dxa"/>
        <w:jc w:val="center"/>
        <w:tblLook w:val="04A0" w:firstRow="1" w:lastRow="0" w:firstColumn="1" w:lastColumn="0" w:noHBand="0" w:noVBand="1"/>
      </w:tblPr>
      <w:tblGrid>
        <w:gridCol w:w="1012"/>
        <w:gridCol w:w="1760"/>
        <w:gridCol w:w="1012"/>
      </w:tblGrid>
      <w:tr w:rsidR="005F6EE1" w:rsidRPr="005F6EE1" w14:paraId="232B1F67" w14:textId="77777777" w:rsidTr="005F6EE1">
        <w:trPr>
          <w:trHeight w:val="290"/>
          <w:jc w:val="center"/>
        </w:trPr>
        <w:tc>
          <w:tcPr>
            <w:tcW w:w="960" w:type="dxa"/>
            <w:tcBorders>
              <w:top w:val="single" w:sz="8" w:space="0" w:color="auto"/>
              <w:left w:val="single" w:sz="8" w:space="0" w:color="auto"/>
              <w:bottom w:val="nil"/>
              <w:right w:val="nil"/>
            </w:tcBorders>
            <w:shd w:val="clear" w:color="000000" w:fill="000000"/>
            <w:noWrap/>
            <w:vAlign w:val="center"/>
            <w:hideMark/>
          </w:tcPr>
          <w:p w14:paraId="14DCE7DE" w14:textId="77777777" w:rsidR="005F6EE1" w:rsidRPr="005F6EE1" w:rsidRDefault="005F6EE1" w:rsidP="005F6EE1">
            <w:pPr>
              <w:jc w:val="center"/>
              <w:rPr>
                <w:rFonts w:cs="Arial"/>
                <w:b/>
                <w:bCs/>
                <w:color w:val="FFFFFF"/>
                <w:sz w:val="22"/>
                <w:szCs w:val="22"/>
                <w:lang w:eastAsia="en-GB"/>
              </w:rPr>
            </w:pPr>
            <w:r w:rsidRPr="005F6EE1">
              <w:rPr>
                <w:rFonts w:cs="Arial"/>
                <w:b/>
                <w:bCs/>
                <w:color w:val="FFFFFF"/>
                <w:sz w:val="22"/>
                <w:szCs w:val="22"/>
                <w:lang w:eastAsia="en-GB"/>
              </w:rPr>
              <w:t>2021/22</w:t>
            </w:r>
          </w:p>
        </w:tc>
        <w:tc>
          <w:tcPr>
            <w:tcW w:w="1760" w:type="dxa"/>
            <w:tcBorders>
              <w:top w:val="single" w:sz="8" w:space="0" w:color="auto"/>
              <w:left w:val="nil"/>
              <w:bottom w:val="nil"/>
              <w:right w:val="nil"/>
            </w:tcBorders>
            <w:shd w:val="clear" w:color="000000" w:fill="000000"/>
            <w:noWrap/>
            <w:vAlign w:val="center"/>
            <w:hideMark/>
          </w:tcPr>
          <w:p w14:paraId="79B7E452" w14:textId="77777777" w:rsidR="005F6EE1" w:rsidRPr="005F6EE1" w:rsidRDefault="005F6EE1" w:rsidP="005F6EE1">
            <w:pPr>
              <w:rPr>
                <w:rFonts w:cs="Arial"/>
                <w:b/>
                <w:bCs/>
                <w:color w:val="FFFFFF"/>
                <w:sz w:val="22"/>
                <w:szCs w:val="22"/>
                <w:lang w:eastAsia="en-GB"/>
              </w:rPr>
            </w:pPr>
            <w:r w:rsidRPr="005F6EE1">
              <w:rPr>
                <w:rFonts w:cs="Arial"/>
                <w:b/>
                <w:bCs/>
                <w:color w:val="FFFFFF"/>
                <w:sz w:val="22"/>
                <w:szCs w:val="22"/>
                <w:lang w:eastAsia="en-GB"/>
              </w:rPr>
              <w:t> </w:t>
            </w:r>
          </w:p>
        </w:tc>
        <w:tc>
          <w:tcPr>
            <w:tcW w:w="960" w:type="dxa"/>
            <w:tcBorders>
              <w:top w:val="single" w:sz="8" w:space="0" w:color="auto"/>
              <w:left w:val="nil"/>
              <w:bottom w:val="nil"/>
              <w:right w:val="single" w:sz="8" w:space="0" w:color="auto"/>
            </w:tcBorders>
            <w:shd w:val="clear" w:color="000000" w:fill="000000"/>
            <w:noWrap/>
            <w:vAlign w:val="center"/>
            <w:hideMark/>
          </w:tcPr>
          <w:p w14:paraId="1EBF123B" w14:textId="77777777" w:rsidR="005F6EE1" w:rsidRPr="005F6EE1" w:rsidRDefault="005F6EE1" w:rsidP="005F6EE1">
            <w:pPr>
              <w:jc w:val="center"/>
              <w:rPr>
                <w:rFonts w:cs="Arial"/>
                <w:b/>
                <w:bCs/>
                <w:color w:val="FFFFFF"/>
                <w:sz w:val="22"/>
                <w:szCs w:val="22"/>
                <w:lang w:eastAsia="en-GB"/>
              </w:rPr>
            </w:pPr>
            <w:r w:rsidRPr="005F6EE1">
              <w:rPr>
                <w:rFonts w:cs="Arial"/>
                <w:b/>
                <w:bCs/>
                <w:color w:val="FFFFFF"/>
                <w:sz w:val="22"/>
                <w:szCs w:val="22"/>
                <w:lang w:eastAsia="en-GB"/>
              </w:rPr>
              <w:t>2022/23</w:t>
            </w:r>
          </w:p>
        </w:tc>
      </w:tr>
      <w:tr w:rsidR="005F6EE1" w:rsidRPr="005F6EE1" w14:paraId="357FE795" w14:textId="77777777" w:rsidTr="005F6EE1">
        <w:trPr>
          <w:trHeight w:val="290"/>
          <w:jc w:val="center"/>
        </w:trPr>
        <w:tc>
          <w:tcPr>
            <w:tcW w:w="960" w:type="dxa"/>
            <w:tcBorders>
              <w:top w:val="nil"/>
              <w:left w:val="single" w:sz="8" w:space="0" w:color="auto"/>
              <w:bottom w:val="nil"/>
              <w:right w:val="nil"/>
            </w:tcBorders>
            <w:shd w:val="clear" w:color="000000" w:fill="000000"/>
            <w:noWrap/>
            <w:vAlign w:val="center"/>
            <w:hideMark/>
          </w:tcPr>
          <w:p w14:paraId="48606E36" w14:textId="77777777" w:rsidR="005F6EE1" w:rsidRPr="005F6EE1" w:rsidRDefault="005F6EE1" w:rsidP="005F6EE1">
            <w:pPr>
              <w:jc w:val="center"/>
              <w:rPr>
                <w:rFonts w:cs="Arial"/>
                <w:b/>
                <w:bCs/>
                <w:color w:val="FFFFFF"/>
                <w:sz w:val="22"/>
                <w:szCs w:val="22"/>
                <w:lang w:eastAsia="en-GB"/>
              </w:rPr>
            </w:pPr>
            <w:r w:rsidRPr="005F6EE1">
              <w:rPr>
                <w:rFonts w:cs="Arial"/>
                <w:b/>
                <w:bCs/>
                <w:color w:val="FFFFFF"/>
                <w:sz w:val="22"/>
                <w:szCs w:val="22"/>
                <w:lang w:eastAsia="en-GB"/>
              </w:rPr>
              <w:t>£000</w:t>
            </w:r>
          </w:p>
        </w:tc>
        <w:tc>
          <w:tcPr>
            <w:tcW w:w="1760" w:type="dxa"/>
            <w:tcBorders>
              <w:top w:val="nil"/>
              <w:left w:val="nil"/>
              <w:bottom w:val="nil"/>
              <w:right w:val="nil"/>
            </w:tcBorders>
            <w:shd w:val="clear" w:color="000000" w:fill="000000"/>
            <w:noWrap/>
            <w:vAlign w:val="center"/>
            <w:hideMark/>
          </w:tcPr>
          <w:p w14:paraId="3670E582" w14:textId="77777777" w:rsidR="005F6EE1" w:rsidRPr="005F6EE1" w:rsidRDefault="005F6EE1" w:rsidP="005F6EE1">
            <w:pPr>
              <w:rPr>
                <w:rFonts w:cs="Arial"/>
                <w:b/>
                <w:bCs/>
                <w:color w:val="FFFFFF"/>
                <w:sz w:val="22"/>
                <w:szCs w:val="22"/>
                <w:lang w:eastAsia="en-GB"/>
              </w:rPr>
            </w:pPr>
            <w:r w:rsidRPr="005F6EE1">
              <w:rPr>
                <w:rFonts w:cs="Arial"/>
                <w:b/>
                <w:bCs/>
                <w:color w:val="FFFFFF"/>
                <w:sz w:val="22"/>
                <w:szCs w:val="22"/>
                <w:lang w:eastAsia="en-GB"/>
              </w:rPr>
              <w:t> </w:t>
            </w:r>
          </w:p>
        </w:tc>
        <w:tc>
          <w:tcPr>
            <w:tcW w:w="960" w:type="dxa"/>
            <w:tcBorders>
              <w:top w:val="nil"/>
              <w:left w:val="single" w:sz="8" w:space="0" w:color="auto"/>
              <w:bottom w:val="nil"/>
              <w:right w:val="nil"/>
            </w:tcBorders>
            <w:shd w:val="clear" w:color="000000" w:fill="000000"/>
            <w:noWrap/>
            <w:vAlign w:val="center"/>
            <w:hideMark/>
          </w:tcPr>
          <w:p w14:paraId="2421888A" w14:textId="77777777" w:rsidR="005F6EE1" w:rsidRPr="005F6EE1" w:rsidRDefault="005F6EE1" w:rsidP="005F6EE1">
            <w:pPr>
              <w:jc w:val="center"/>
              <w:rPr>
                <w:rFonts w:cs="Arial"/>
                <w:b/>
                <w:bCs/>
                <w:color w:val="FFFFFF"/>
                <w:sz w:val="22"/>
                <w:szCs w:val="22"/>
                <w:lang w:eastAsia="en-GB"/>
              </w:rPr>
            </w:pPr>
            <w:r w:rsidRPr="005F6EE1">
              <w:rPr>
                <w:rFonts w:cs="Arial"/>
                <w:b/>
                <w:bCs/>
                <w:color w:val="FFFFFF"/>
                <w:sz w:val="22"/>
                <w:szCs w:val="22"/>
                <w:lang w:eastAsia="en-GB"/>
              </w:rPr>
              <w:t>£000</w:t>
            </w:r>
          </w:p>
        </w:tc>
      </w:tr>
      <w:tr w:rsidR="005F6EE1" w:rsidRPr="005F6EE1" w14:paraId="34962EA8" w14:textId="77777777" w:rsidTr="005F6EE1">
        <w:trPr>
          <w:trHeight w:val="290"/>
          <w:jc w:val="center"/>
        </w:trPr>
        <w:tc>
          <w:tcPr>
            <w:tcW w:w="960" w:type="dxa"/>
            <w:tcBorders>
              <w:top w:val="nil"/>
              <w:left w:val="single" w:sz="8" w:space="0" w:color="auto"/>
              <w:bottom w:val="nil"/>
              <w:right w:val="nil"/>
            </w:tcBorders>
            <w:shd w:val="clear" w:color="auto" w:fill="auto"/>
            <w:noWrap/>
            <w:vAlign w:val="center"/>
            <w:hideMark/>
          </w:tcPr>
          <w:p w14:paraId="06E4039E" w14:textId="77777777" w:rsidR="005F6EE1" w:rsidRPr="005F6EE1" w:rsidRDefault="005F6EE1" w:rsidP="005F6EE1">
            <w:pPr>
              <w:rPr>
                <w:rFonts w:cs="Arial"/>
                <w:color w:val="000000"/>
                <w:sz w:val="22"/>
                <w:szCs w:val="22"/>
                <w:lang w:eastAsia="en-GB"/>
              </w:rPr>
            </w:pPr>
            <w:r w:rsidRPr="005F6EE1">
              <w:rPr>
                <w:rFonts w:cs="Arial"/>
                <w:color w:val="000000"/>
                <w:sz w:val="22"/>
                <w:szCs w:val="22"/>
                <w:lang w:eastAsia="en-GB"/>
              </w:rPr>
              <w:t> </w:t>
            </w:r>
          </w:p>
        </w:tc>
        <w:tc>
          <w:tcPr>
            <w:tcW w:w="1760" w:type="dxa"/>
            <w:tcBorders>
              <w:top w:val="nil"/>
              <w:left w:val="nil"/>
              <w:bottom w:val="nil"/>
              <w:right w:val="nil"/>
            </w:tcBorders>
            <w:shd w:val="clear" w:color="auto" w:fill="auto"/>
            <w:noWrap/>
            <w:vAlign w:val="bottom"/>
            <w:hideMark/>
          </w:tcPr>
          <w:p w14:paraId="746B789F" w14:textId="77777777" w:rsidR="005F6EE1" w:rsidRPr="005F6EE1" w:rsidRDefault="005F6EE1" w:rsidP="005F6EE1">
            <w:pPr>
              <w:rPr>
                <w:rFonts w:cs="Arial"/>
                <w:color w:val="000000"/>
                <w:sz w:val="22"/>
                <w:szCs w:val="22"/>
                <w:lang w:eastAsia="en-GB"/>
              </w:rPr>
            </w:pPr>
          </w:p>
        </w:tc>
        <w:tc>
          <w:tcPr>
            <w:tcW w:w="960" w:type="dxa"/>
            <w:tcBorders>
              <w:top w:val="nil"/>
              <w:left w:val="nil"/>
              <w:bottom w:val="nil"/>
              <w:right w:val="single" w:sz="8" w:space="0" w:color="auto"/>
            </w:tcBorders>
            <w:shd w:val="clear" w:color="auto" w:fill="auto"/>
            <w:noWrap/>
            <w:vAlign w:val="center"/>
            <w:hideMark/>
          </w:tcPr>
          <w:p w14:paraId="59FF5CC1" w14:textId="77777777" w:rsidR="005F6EE1" w:rsidRPr="005F6EE1" w:rsidRDefault="005F6EE1" w:rsidP="005F6EE1">
            <w:pPr>
              <w:rPr>
                <w:rFonts w:cs="Arial"/>
                <w:color w:val="000000"/>
                <w:sz w:val="22"/>
                <w:szCs w:val="22"/>
                <w:lang w:eastAsia="en-GB"/>
              </w:rPr>
            </w:pPr>
            <w:r w:rsidRPr="005F6EE1">
              <w:rPr>
                <w:rFonts w:cs="Arial"/>
                <w:color w:val="000000"/>
                <w:sz w:val="22"/>
                <w:szCs w:val="22"/>
                <w:lang w:eastAsia="en-GB"/>
              </w:rPr>
              <w:t> </w:t>
            </w:r>
          </w:p>
        </w:tc>
      </w:tr>
      <w:tr w:rsidR="005F6EE1" w:rsidRPr="005F6EE1" w14:paraId="71E74A2A" w14:textId="77777777" w:rsidTr="005F6EE1">
        <w:trPr>
          <w:trHeight w:val="290"/>
          <w:jc w:val="center"/>
        </w:trPr>
        <w:tc>
          <w:tcPr>
            <w:tcW w:w="960" w:type="dxa"/>
            <w:tcBorders>
              <w:top w:val="nil"/>
              <w:left w:val="single" w:sz="8" w:space="0" w:color="auto"/>
              <w:bottom w:val="nil"/>
              <w:right w:val="nil"/>
            </w:tcBorders>
            <w:shd w:val="clear" w:color="auto" w:fill="auto"/>
            <w:noWrap/>
            <w:vAlign w:val="center"/>
            <w:hideMark/>
          </w:tcPr>
          <w:p w14:paraId="0088B502" w14:textId="77777777" w:rsidR="005F6EE1" w:rsidRPr="005F6EE1" w:rsidRDefault="005F6EE1" w:rsidP="005F6EE1">
            <w:pPr>
              <w:jc w:val="right"/>
              <w:rPr>
                <w:rFonts w:cs="Arial"/>
                <w:color w:val="000000"/>
                <w:sz w:val="22"/>
                <w:szCs w:val="22"/>
                <w:lang w:eastAsia="en-GB"/>
              </w:rPr>
            </w:pPr>
            <w:r w:rsidRPr="005F6EE1">
              <w:rPr>
                <w:rFonts w:cs="Arial"/>
                <w:color w:val="000000"/>
                <w:sz w:val="22"/>
                <w:szCs w:val="22"/>
                <w:lang w:eastAsia="en-GB"/>
              </w:rPr>
              <w:t>69</w:t>
            </w:r>
          </w:p>
        </w:tc>
        <w:tc>
          <w:tcPr>
            <w:tcW w:w="1760" w:type="dxa"/>
            <w:tcBorders>
              <w:top w:val="nil"/>
              <w:left w:val="nil"/>
              <w:bottom w:val="nil"/>
              <w:right w:val="nil"/>
            </w:tcBorders>
            <w:shd w:val="clear" w:color="auto" w:fill="auto"/>
            <w:noWrap/>
            <w:vAlign w:val="center"/>
            <w:hideMark/>
          </w:tcPr>
          <w:p w14:paraId="1794B644" w14:textId="77777777" w:rsidR="005F6EE1" w:rsidRPr="005F6EE1" w:rsidRDefault="005F6EE1" w:rsidP="005F6EE1">
            <w:pPr>
              <w:jc w:val="center"/>
              <w:rPr>
                <w:rFonts w:cs="Arial"/>
                <w:color w:val="000000"/>
                <w:sz w:val="22"/>
                <w:szCs w:val="22"/>
                <w:lang w:eastAsia="en-GB"/>
              </w:rPr>
            </w:pPr>
            <w:r w:rsidRPr="005F6EE1">
              <w:rPr>
                <w:rFonts w:cs="Arial"/>
                <w:color w:val="000000"/>
                <w:sz w:val="22"/>
                <w:szCs w:val="22"/>
                <w:lang w:eastAsia="en-GB"/>
              </w:rPr>
              <w:t>Allowances</w:t>
            </w:r>
          </w:p>
        </w:tc>
        <w:tc>
          <w:tcPr>
            <w:tcW w:w="960" w:type="dxa"/>
            <w:tcBorders>
              <w:top w:val="nil"/>
              <w:left w:val="nil"/>
              <w:bottom w:val="nil"/>
              <w:right w:val="single" w:sz="8" w:space="0" w:color="auto"/>
            </w:tcBorders>
            <w:shd w:val="clear" w:color="auto" w:fill="auto"/>
            <w:noWrap/>
            <w:vAlign w:val="center"/>
            <w:hideMark/>
          </w:tcPr>
          <w:p w14:paraId="3F210C72" w14:textId="77777777" w:rsidR="005F6EE1" w:rsidRPr="005F6EE1" w:rsidRDefault="005F6EE1" w:rsidP="005F6EE1">
            <w:pPr>
              <w:jc w:val="right"/>
              <w:rPr>
                <w:rFonts w:cs="Arial"/>
                <w:color w:val="000000"/>
                <w:sz w:val="22"/>
                <w:szCs w:val="22"/>
                <w:lang w:eastAsia="en-GB"/>
              </w:rPr>
            </w:pPr>
            <w:r w:rsidRPr="005F6EE1">
              <w:rPr>
                <w:rFonts w:cs="Arial"/>
                <w:color w:val="000000"/>
                <w:sz w:val="22"/>
                <w:szCs w:val="22"/>
                <w:lang w:eastAsia="en-GB"/>
              </w:rPr>
              <w:t>76</w:t>
            </w:r>
          </w:p>
        </w:tc>
      </w:tr>
      <w:tr w:rsidR="005F6EE1" w:rsidRPr="005F6EE1" w14:paraId="0C26AECD" w14:textId="77777777" w:rsidTr="005F6EE1">
        <w:trPr>
          <w:trHeight w:val="300"/>
          <w:jc w:val="center"/>
        </w:trPr>
        <w:tc>
          <w:tcPr>
            <w:tcW w:w="960" w:type="dxa"/>
            <w:tcBorders>
              <w:top w:val="nil"/>
              <w:left w:val="single" w:sz="8" w:space="0" w:color="auto"/>
              <w:bottom w:val="nil"/>
              <w:right w:val="nil"/>
            </w:tcBorders>
            <w:shd w:val="clear" w:color="auto" w:fill="auto"/>
            <w:noWrap/>
            <w:vAlign w:val="center"/>
            <w:hideMark/>
          </w:tcPr>
          <w:p w14:paraId="51152032" w14:textId="77777777" w:rsidR="005F6EE1" w:rsidRPr="005F6EE1" w:rsidRDefault="005F6EE1" w:rsidP="005F6EE1">
            <w:pPr>
              <w:jc w:val="right"/>
              <w:rPr>
                <w:rFonts w:cs="Arial"/>
                <w:color w:val="000000"/>
                <w:sz w:val="22"/>
                <w:szCs w:val="22"/>
                <w:lang w:eastAsia="en-GB"/>
              </w:rPr>
            </w:pPr>
            <w:r w:rsidRPr="005F6EE1">
              <w:rPr>
                <w:rFonts w:cs="Arial"/>
                <w:color w:val="000000"/>
                <w:sz w:val="22"/>
                <w:szCs w:val="22"/>
                <w:lang w:eastAsia="en-GB"/>
              </w:rPr>
              <w:t>5</w:t>
            </w:r>
          </w:p>
        </w:tc>
        <w:tc>
          <w:tcPr>
            <w:tcW w:w="1760" w:type="dxa"/>
            <w:tcBorders>
              <w:top w:val="nil"/>
              <w:left w:val="nil"/>
              <w:bottom w:val="nil"/>
              <w:right w:val="nil"/>
            </w:tcBorders>
            <w:shd w:val="clear" w:color="auto" w:fill="auto"/>
            <w:noWrap/>
            <w:vAlign w:val="center"/>
            <w:hideMark/>
          </w:tcPr>
          <w:p w14:paraId="32811095" w14:textId="77777777" w:rsidR="005F6EE1" w:rsidRPr="005F6EE1" w:rsidRDefault="005F6EE1" w:rsidP="005F6EE1">
            <w:pPr>
              <w:jc w:val="center"/>
              <w:rPr>
                <w:rFonts w:cs="Arial"/>
                <w:color w:val="000000"/>
                <w:sz w:val="22"/>
                <w:szCs w:val="22"/>
                <w:lang w:eastAsia="en-GB"/>
              </w:rPr>
            </w:pPr>
            <w:r w:rsidRPr="005F6EE1">
              <w:rPr>
                <w:rFonts w:cs="Arial"/>
                <w:color w:val="000000"/>
                <w:sz w:val="22"/>
                <w:szCs w:val="22"/>
                <w:lang w:eastAsia="en-GB"/>
              </w:rPr>
              <w:t>Expenses</w:t>
            </w:r>
          </w:p>
        </w:tc>
        <w:tc>
          <w:tcPr>
            <w:tcW w:w="960" w:type="dxa"/>
            <w:tcBorders>
              <w:top w:val="nil"/>
              <w:left w:val="nil"/>
              <w:bottom w:val="nil"/>
              <w:right w:val="single" w:sz="8" w:space="0" w:color="auto"/>
            </w:tcBorders>
            <w:shd w:val="clear" w:color="auto" w:fill="auto"/>
            <w:noWrap/>
            <w:vAlign w:val="center"/>
            <w:hideMark/>
          </w:tcPr>
          <w:p w14:paraId="1C65E59E" w14:textId="77777777" w:rsidR="005F6EE1" w:rsidRPr="005F6EE1" w:rsidRDefault="005F6EE1" w:rsidP="005F6EE1">
            <w:pPr>
              <w:jc w:val="right"/>
              <w:rPr>
                <w:rFonts w:cs="Arial"/>
                <w:color w:val="000000"/>
                <w:sz w:val="22"/>
                <w:szCs w:val="22"/>
                <w:lang w:eastAsia="en-GB"/>
              </w:rPr>
            </w:pPr>
            <w:r w:rsidRPr="005F6EE1">
              <w:rPr>
                <w:rFonts w:cs="Arial"/>
                <w:color w:val="000000"/>
                <w:sz w:val="22"/>
                <w:szCs w:val="22"/>
                <w:lang w:eastAsia="en-GB"/>
              </w:rPr>
              <w:t>3</w:t>
            </w:r>
          </w:p>
        </w:tc>
      </w:tr>
      <w:tr w:rsidR="005F6EE1" w:rsidRPr="005F6EE1" w14:paraId="3B074301" w14:textId="77777777" w:rsidTr="005F6EE1">
        <w:trPr>
          <w:trHeight w:val="300"/>
          <w:jc w:val="center"/>
        </w:trPr>
        <w:tc>
          <w:tcPr>
            <w:tcW w:w="960" w:type="dxa"/>
            <w:tcBorders>
              <w:top w:val="single" w:sz="8" w:space="0" w:color="auto"/>
              <w:left w:val="single" w:sz="8" w:space="0" w:color="auto"/>
              <w:bottom w:val="single" w:sz="8" w:space="0" w:color="auto"/>
              <w:right w:val="nil"/>
            </w:tcBorders>
            <w:shd w:val="clear" w:color="auto" w:fill="auto"/>
            <w:noWrap/>
            <w:vAlign w:val="center"/>
            <w:hideMark/>
          </w:tcPr>
          <w:p w14:paraId="430C9E21" w14:textId="77777777" w:rsidR="005F6EE1" w:rsidRPr="005F6EE1" w:rsidRDefault="005F6EE1" w:rsidP="005F6EE1">
            <w:pPr>
              <w:jc w:val="right"/>
              <w:rPr>
                <w:rFonts w:cs="Arial"/>
                <w:b/>
                <w:bCs/>
                <w:color w:val="000000"/>
                <w:sz w:val="22"/>
                <w:szCs w:val="22"/>
                <w:lang w:eastAsia="en-GB"/>
              </w:rPr>
            </w:pPr>
            <w:r w:rsidRPr="005F6EE1">
              <w:rPr>
                <w:rFonts w:cs="Arial"/>
                <w:b/>
                <w:bCs/>
                <w:color w:val="000000"/>
                <w:sz w:val="22"/>
                <w:szCs w:val="22"/>
                <w:lang w:eastAsia="en-GB"/>
              </w:rPr>
              <w:t>74</w:t>
            </w:r>
          </w:p>
        </w:tc>
        <w:tc>
          <w:tcPr>
            <w:tcW w:w="1760" w:type="dxa"/>
            <w:tcBorders>
              <w:top w:val="nil"/>
              <w:left w:val="nil"/>
              <w:bottom w:val="single" w:sz="8" w:space="0" w:color="auto"/>
              <w:right w:val="nil"/>
            </w:tcBorders>
            <w:shd w:val="clear" w:color="auto" w:fill="auto"/>
            <w:noWrap/>
            <w:vAlign w:val="center"/>
            <w:hideMark/>
          </w:tcPr>
          <w:p w14:paraId="561B1F8B" w14:textId="77777777" w:rsidR="005F6EE1" w:rsidRPr="005F6EE1" w:rsidRDefault="005F6EE1" w:rsidP="005F6EE1">
            <w:pPr>
              <w:rPr>
                <w:rFonts w:cs="Arial"/>
                <w:color w:val="000000"/>
                <w:sz w:val="22"/>
                <w:szCs w:val="22"/>
                <w:lang w:eastAsia="en-GB"/>
              </w:rPr>
            </w:pPr>
            <w:r w:rsidRPr="005F6EE1">
              <w:rPr>
                <w:rFonts w:cs="Arial"/>
                <w:color w:val="000000"/>
                <w:sz w:val="22"/>
                <w:szCs w:val="22"/>
                <w:lang w:eastAsia="en-GB"/>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996033E" w14:textId="77777777" w:rsidR="005F6EE1" w:rsidRPr="005F6EE1" w:rsidRDefault="005F6EE1" w:rsidP="005F6EE1">
            <w:pPr>
              <w:jc w:val="right"/>
              <w:rPr>
                <w:rFonts w:cs="Arial"/>
                <w:b/>
                <w:bCs/>
                <w:color w:val="000000"/>
                <w:sz w:val="22"/>
                <w:szCs w:val="22"/>
                <w:lang w:eastAsia="en-GB"/>
              </w:rPr>
            </w:pPr>
            <w:r w:rsidRPr="005F6EE1">
              <w:rPr>
                <w:rFonts w:cs="Arial"/>
                <w:b/>
                <w:bCs/>
                <w:color w:val="000000"/>
                <w:sz w:val="22"/>
                <w:szCs w:val="22"/>
                <w:lang w:eastAsia="en-GB"/>
              </w:rPr>
              <w:t>79</w:t>
            </w:r>
          </w:p>
        </w:tc>
      </w:tr>
    </w:tbl>
    <w:p w14:paraId="3D8EA579" w14:textId="77777777" w:rsidR="00960A22" w:rsidRPr="004D5CA8" w:rsidRDefault="00960A22" w:rsidP="006D2EED">
      <w:pPr>
        <w:ind w:firstLine="720"/>
        <w:rPr>
          <w:highlight w:val="yellow"/>
        </w:rPr>
      </w:pPr>
    </w:p>
    <w:p w14:paraId="485A466D" w14:textId="77777777" w:rsidR="00F768F9" w:rsidRPr="004D5CA8" w:rsidRDefault="00F768F9" w:rsidP="006D2EED">
      <w:pPr>
        <w:rPr>
          <w:highlight w:val="yellow"/>
        </w:rPr>
      </w:pPr>
    </w:p>
    <w:p w14:paraId="485A4671" w14:textId="76C56AAE" w:rsidR="00E00863" w:rsidRPr="0068303E" w:rsidRDefault="004B1BA7" w:rsidP="006D2EED">
      <w:pPr>
        <w:rPr>
          <w:b/>
          <w:bCs/>
        </w:rPr>
      </w:pPr>
      <w:bookmarkStart w:id="22" w:name="_MON_1429554560"/>
      <w:bookmarkStart w:id="23" w:name="_MON_1372829940"/>
      <w:bookmarkStart w:id="24" w:name="_MON_1372830037"/>
      <w:bookmarkStart w:id="25" w:name="_MON_1372830052"/>
      <w:bookmarkStart w:id="26" w:name="_MON_1372830122"/>
      <w:bookmarkStart w:id="27" w:name="_MON_1372830176"/>
      <w:bookmarkStart w:id="28" w:name="_MON_1372830297"/>
      <w:bookmarkStart w:id="29" w:name="_MON_1395561461"/>
      <w:bookmarkStart w:id="30" w:name="_MON_1395659538"/>
      <w:bookmarkStart w:id="31" w:name="_MON_1402138010"/>
      <w:bookmarkStart w:id="32" w:name="_MON_1402138019"/>
      <w:bookmarkEnd w:id="22"/>
      <w:bookmarkEnd w:id="23"/>
      <w:bookmarkEnd w:id="24"/>
      <w:bookmarkEnd w:id="25"/>
      <w:bookmarkEnd w:id="26"/>
      <w:bookmarkEnd w:id="27"/>
      <w:bookmarkEnd w:id="28"/>
      <w:bookmarkEnd w:id="29"/>
      <w:bookmarkEnd w:id="30"/>
      <w:bookmarkEnd w:id="31"/>
      <w:bookmarkEnd w:id="32"/>
      <w:r w:rsidRPr="0068303E">
        <w:rPr>
          <w:b/>
        </w:rPr>
        <w:t>1</w:t>
      </w:r>
      <w:r w:rsidR="00261CF6" w:rsidRPr="0068303E">
        <w:rPr>
          <w:b/>
        </w:rPr>
        <w:t>2</w:t>
      </w:r>
      <w:r w:rsidR="009948E8" w:rsidRPr="0068303E">
        <w:rPr>
          <w:b/>
        </w:rPr>
        <w:t>.</w:t>
      </w:r>
      <w:r w:rsidR="009948E8" w:rsidRPr="0068303E">
        <w:rPr>
          <w:b/>
        </w:rPr>
        <w:tab/>
      </w:r>
      <w:r w:rsidR="00E00863" w:rsidRPr="0068303E">
        <w:rPr>
          <w:b/>
        </w:rPr>
        <w:t>Related Party Transactions</w:t>
      </w:r>
      <w:r w:rsidR="00F71FFB">
        <w:rPr>
          <w:b/>
        </w:rPr>
        <w:t xml:space="preserve"> </w:t>
      </w:r>
    </w:p>
    <w:p w14:paraId="485A4672" w14:textId="77777777" w:rsidR="00E00863" w:rsidRPr="0068303E" w:rsidRDefault="00E00863" w:rsidP="006D2EED">
      <w:pPr>
        <w:rPr>
          <w:lang w:eastAsia="en-GB"/>
        </w:rPr>
      </w:pPr>
    </w:p>
    <w:p w14:paraId="485A4673" w14:textId="77777777" w:rsidR="00E00863" w:rsidRPr="0068303E" w:rsidRDefault="00E00863" w:rsidP="006D2EED">
      <w:pPr>
        <w:pStyle w:val="BlockText"/>
        <w:tabs>
          <w:tab w:val="clear" w:pos="1843"/>
          <w:tab w:val="left" w:pos="709"/>
        </w:tabs>
        <w:ind w:left="709" w:right="0"/>
        <w:rPr>
          <w:sz w:val="23"/>
          <w:szCs w:val="23"/>
        </w:rPr>
      </w:pPr>
      <w:r w:rsidRPr="0068303E">
        <w:rPr>
          <w:sz w:val="23"/>
          <w:szCs w:val="23"/>
        </w:rPr>
        <w:t>The Authority is required to disclose details of material transactions with related parties. Related parties are generally either individuals or organisations that could exert direct or indirect control over the other party.</w:t>
      </w:r>
    </w:p>
    <w:p w14:paraId="485A4674" w14:textId="77777777" w:rsidR="00E00863" w:rsidRPr="0068303E" w:rsidRDefault="00E00863" w:rsidP="006D2EED">
      <w:pPr>
        <w:pStyle w:val="BlockText"/>
        <w:tabs>
          <w:tab w:val="clear" w:pos="1843"/>
          <w:tab w:val="left" w:pos="709"/>
        </w:tabs>
        <w:ind w:left="709" w:right="0"/>
        <w:rPr>
          <w:sz w:val="23"/>
          <w:szCs w:val="23"/>
        </w:rPr>
      </w:pPr>
    </w:p>
    <w:p w14:paraId="485A4675" w14:textId="77777777" w:rsidR="00E00863" w:rsidRPr="0068303E" w:rsidRDefault="00282689" w:rsidP="006D2EED">
      <w:pPr>
        <w:pStyle w:val="BlockText"/>
        <w:tabs>
          <w:tab w:val="clear" w:pos="1843"/>
          <w:tab w:val="left" w:pos="709"/>
        </w:tabs>
        <w:ind w:left="709" w:right="0"/>
        <w:rPr>
          <w:sz w:val="23"/>
          <w:szCs w:val="23"/>
        </w:rPr>
      </w:pPr>
      <w:r w:rsidRPr="0068303E">
        <w:rPr>
          <w:sz w:val="23"/>
          <w:szCs w:val="23"/>
        </w:rPr>
        <w:t>The Authority’s transactions with related parties can be summarised as follows:</w:t>
      </w:r>
    </w:p>
    <w:p w14:paraId="485A4676" w14:textId="77777777" w:rsidR="00E00863" w:rsidRPr="004D5CA8" w:rsidRDefault="00E00863" w:rsidP="006D2EED">
      <w:pPr>
        <w:pStyle w:val="BlockText"/>
        <w:tabs>
          <w:tab w:val="clear" w:pos="1843"/>
          <w:tab w:val="left" w:pos="1440"/>
        </w:tabs>
        <w:ind w:left="1440" w:right="0"/>
        <w:rPr>
          <w:sz w:val="23"/>
          <w:szCs w:val="23"/>
          <w:highlight w:val="yellow"/>
        </w:rPr>
      </w:pPr>
    </w:p>
    <w:p w14:paraId="485A4677" w14:textId="1C447E3D" w:rsidR="009E61AE" w:rsidRPr="0068303E" w:rsidRDefault="009E61AE" w:rsidP="0082644A">
      <w:pPr>
        <w:ind w:left="709"/>
      </w:pPr>
      <w:r w:rsidRPr="0068303E">
        <w:rPr>
          <w:b/>
        </w:rPr>
        <w:t>Central Government</w:t>
      </w:r>
      <w:r w:rsidRPr="0068303E">
        <w:t xml:space="preserve"> exerts significant influence over the general operations of the Authority. It is responsible for providing the statutory framework in which it operates, provides the majority of its funding in the form of grants and prescribes the terms of many of the transactions the Authority has with other parties. The majority of the Authority’s funding is provided by the Department of </w:t>
      </w:r>
      <w:r w:rsidR="00262CA8" w:rsidRPr="0068303E">
        <w:t xml:space="preserve">Environment, </w:t>
      </w:r>
      <w:r w:rsidRPr="0068303E">
        <w:t>Food and Rural Affairs. Al</w:t>
      </w:r>
      <w:r w:rsidR="004E110A" w:rsidRPr="0068303E">
        <w:t>l grants received during 20</w:t>
      </w:r>
      <w:r w:rsidR="00E75A15" w:rsidRPr="0068303E">
        <w:t>2</w:t>
      </w:r>
      <w:r w:rsidR="0068303E" w:rsidRPr="0068303E">
        <w:t>2</w:t>
      </w:r>
      <w:r w:rsidR="00627253" w:rsidRPr="0068303E">
        <w:t>/</w:t>
      </w:r>
      <w:r w:rsidR="00886B3A" w:rsidRPr="0068303E">
        <w:t>2</w:t>
      </w:r>
      <w:r w:rsidR="0068303E" w:rsidRPr="0068303E">
        <w:t>3</w:t>
      </w:r>
      <w:r w:rsidRPr="0068303E">
        <w:t xml:space="preserve"> are detailed in note 1</w:t>
      </w:r>
      <w:r w:rsidR="00E53702" w:rsidRPr="0068303E">
        <w:t>4</w:t>
      </w:r>
      <w:r w:rsidRPr="0068303E">
        <w:t xml:space="preserve"> to the Financial Statements.</w:t>
      </w:r>
    </w:p>
    <w:p w14:paraId="485A4678" w14:textId="77777777" w:rsidR="00A953C4" w:rsidRPr="004D5CA8" w:rsidRDefault="00A953C4" w:rsidP="006D2EED">
      <w:pPr>
        <w:ind w:left="1800"/>
        <w:rPr>
          <w:highlight w:val="yellow"/>
        </w:rPr>
      </w:pPr>
    </w:p>
    <w:p w14:paraId="485A4679" w14:textId="0E9A7C77" w:rsidR="00681D5F" w:rsidRPr="0082644A" w:rsidRDefault="00282689" w:rsidP="0082644A">
      <w:pPr>
        <w:spacing w:before="60" w:after="60" w:line="240" w:lineRule="atLeast"/>
        <w:ind w:left="709"/>
      </w:pPr>
      <w:r w:rsidRPr="0082644A">
        <w:rPr>
          <w:b/>
        </w:rPr>
        <w:t>Members</w:t>
      </w:r>
      <w:r w:rsidRPr="0082644A">
        <w:t xml:space="preserve"> </w:t>
      </w:r>
      <w:r w:rsidR="00C74F98" w:rsidRPr="0082644A">
        <w:t>–</w:t>
      </w:r>
      <w:r w:rsidRPr="0082644A">
        <w:t xml:space="preserve"> </w:t>
      </w:r>
      <w:r w:rsidR="009E61AE" w:rsidRPr="0082644A">
        <w:t>Members of the Authority have direct control over the Authority’s financial and operating policies. Members allowances paid in</w:t>
      </w:r>
      <w:r w:rsidR="004E110A" w:rsidRPr="0082644A">
        <w:t xml:space="preserve"> </w:t>
      </w:r>
      <w:r w:rsidR="00627253" w:rsidRPr="0082644A">
        <w:t>20</w:t>
      </w:r>
      <w:r w:rsidR="00E75A15" w:rsidRPr="0082644A">
        <w:t>2</w:t>
      </w:r>
      <w:r w:rsidR="0068303E" w:rsidRPr="0082644A">
        <w:t>2</w:t>
      </w:r>
      <w:r w:rsidR="00627253" w:rsidRPr="0082644A">
        <w:t>/</w:t>
      </w:r>
      <w:r w:rsidR="00886B3A" w:rsidRPr="0082644A">
        <w:t>2</w:t>
      </w:r>
      <w:r w:rsidR="0068303E" w:rsidRPr="0082644A">
        <w:t>3</w:t>
      </w:r>
      <w:r w:rsidR="00866225" w:rsidRPr="0082644A">
        <w:t xml:space="preserve"> are detailed in note 1</w:t>
      </w:r>
      <w:r w:rsidR="00E53702" w:rsidRPr="0082644A">
        <w:t>1</w:t>
      </w:r>
      <w:r w:rsidR="009E61AE" w:rsidRPr="0082644A">
        <w:t xml:space="preserve"> to the Financial Statements</w:t>
      </w:r>
      <w:r w:rsidR="003A0FC0" w:rsidRPr="0082644A">
        <w:t xml:space="preserve">. </w:t>
      </w:r>
      <w:r w:rsidR="00DC1950" w:rsidRPr="0082644A">
        <w:t>As set out in note 11 a significant number of t</w:t>
      </w:r>
      <w:r w:rsidR="009E61AE" w:rsidRPr="0082644A">
        <w:t>he Authority’s members</w:t>
      </w:r>
      <w:r w:rsidR="00C3587D" w:rsidRPr="0082644A">
        <w:t xml:space="preserve"> during the year were</w:t>
      </w:r>
      <w:r w:rsidR="009E61AE" w:rsidRPr="0082644A">
        <w:t xml:space="preserve"> also elected members of other local authorities within Cumbria. Details of the Authority’s transactions with these authorities are detailed in the table below. All elected members are required to keep a register </w:t>
      </w:r>
      <w:r w:rsidR="007E05CD" w:rsidRPr="0082644A">
        <w:t xml:space="preserve">of </w:t>
      </w:r>
      <w:r w:rsidR="009E61AE" w:rsidRPr="0082644A">
        <w:t xml:space="preserve">their disclosable </w:t>
      </w:r>
      <w:r w:rsidR="009E61AE" w:rsidRPr="0082644A">
        <w:lastRenderedPageBreak/>
        <w:t>pecuniary interests up to date and complete a declaration of related party transactions at the end of the year.</w:t>
      </w:r>
      <w:r w:rsidR="00B51EA9" w:rsidRPr="0082644A">
        <w:t xml:space="preserve"> Mrs Derbyshire is on the Eden District Council as an Exec role.  </w:t>
      </w:r>
    </w:p>
    <w:p w14:paraId="485A467A" w14:textId="77777777" w:rsidR="00AA59C3" w:rsidRPr="004D5CA8" w:rsidRDefault="00AA59C3" w:rsidP="007F3147">
      <w:pPr>
        <w:pStyle w:val="ListParagraph"/>
        <w:spacing w:before="60" w:after="60" w:line="240" w:lineRule="atLeast"/>
        <w:ind w:left="1440"/>
        <w:rPr>
          <w:highlight w:val="yellow"/>
        </w:rPr>
      </w:pPr>
    </w:p>
    <w:tbl>
      <w:tblPr>
        <w:tblW w:w="9433" w:type="dxa"/>
        <w:tblLook w:val="04A0" w:firstRow="1" w:lastRow="0" w:firstColumn="1" w:lastColumn="0" w:noHBand="0" w:noVBand="1"/>
      </w:tblPr>
      <w:tblGrid>
        <w:gridCol w:w="3420"/>
        <w:gridCol w:w="1106"/>
        <w:gridCol w:w="1067"/>
        <w:gridCol w:w="960"/>
        <w:gridCol w:w="960"/>
        <w:gridCol w:w="960"/>
        <w:gridCol w:w="960"/>
      </w:tblGrid>
      <w:tr w:rsidR="0068303E" w:rsidRPr="0068303E" w14:paraId="1195948B" w14:textId="77777777" w:rsidTr="0068303E">
        <w:trPr>
          <w:trHeight w:val="700"/>
        </w:trPr>
        <w:tc>
          <w:tcPr>
            <w:tcW w:w="3420" w:type="dxa"/>
            <w:tcBorders>
              <w:top w:val="single" w:sz="8" w:space="0" w:color="auto"/>
              <w:left w:val="single" w:sz="8" w:space="0" w:color="auto"/>
              <w:bottom w:val="nil"/>
              <w:right w:val="nil"/>
            </w:tcBorders>
            <w:shd w:val="clear" w:color="000000" w:fill="000000"/>
            <w:vAlign w:val="center"/>
            <w:hideMark/>
          </w:tcPr>
          <w:p w14:paraId="5D5CBA56" w14:textId="77777777" w:rsidR="0068303E" w:rsidRPr="0068303E" w:rsidRDefault="0068303E" w:rsidP="0068303E">
            <w:pPr>
              <w:jc w:val="center"/>
              <w:rPr>
                <w:rFonts w:cs="Arial"/>
                <w:b/>
                <w:bCs/>
                <w:color w:val="FFFFFF"/>
                <w:sz w:val="18"/>
                <w:szCs w:val="18"/>
                <w:lang w:eastAsia="en-GB"/>
              </w:rPr>
            </w:pPr>
            <w:bookmarkStart w:id="33" w:name="_MON_1558613379"/>
            <w:bookmarkStart w:id="34" w:name="_MON_1463578053"/>
            <w:bookmarkEnd w:id="33"/>
            <w:bookmarkEnd w:id="34"/>
            <w:r w:rsidRPr="0068303E">
              <w:rPr>
                <w:rFonts w:cs="Arial"/>
                <w:b/>
                <w:bCs/>
                <w:color w:val="FFFFFF"/>
                <w:sz w:val="18"/>
                <w:szCs w:val="18"/>
                <w:lang w:eastAsia="en-GB"/>
              </w:rPr>
              <w:t>Related Party</w:t>
            </w:r>
          </w:p>
        </w:tc>
        <w:tc>
          <w:tcPr>
            <w:tcW w:w="1106" w:type="dxa"/>
            <w:tcBorders>
              <w:top w:val="single" w:sz="8" w:space="0" w:color="auto"/>
              <w:left w:val="nil"/>
              <w:bottom w:val="nil"/>
              <w:right w:val="nil"/>
            </w:tcBorders>
            <w:shd w:val="clear" w:color="000000" w:fill="000000"/>
            <w:vAlign w:val="center"/>
            <w:hideMark/>
          </w:tcPr>
          <w:p w14:paraId="496550A8" w14:textId="77777777" w:rsidR="0068303E" w:rsidRPr="0068303E" w:rsidRDefault="0068303E" w:rsidP="0068303E">
            <w:pPr>
              <w:jc w:val="center"/>
              <w:rPr>
                <w:rFonts w:cs="Arial"/>
                <w:b/>
                <w:bCs/>
                <w:color w:val="FFFFFF"/>
                <w:sz w:val="18"/>
                <w:szCs w:val="18"/>
                <w:lang w:eastAsia="en-GB"/>
              </w:rPr>
            </w:pPr>
            <w:r w:rsidRPr="0068303E">
              <w:rPr>
                <w:rFonts w:cs="Arial"/>
                <w:b/>
                <w:bCs/>
                <w:color w:val="FFFFFF"/>
                <w:sz w:val="18"/>
                <w:szCs w:val="18"/>
                <w:lang w:eastAsia="en-GB"/>
              </w:rPr>
              <w:t>Business Rates</w:t>
            </w:r>
          </w:p>
        </w:tc>
        <w:tc>
          <w:tcPr>
            <w:tcW w:w="1067" w:type="dxa"/>
            <w:tcBorders>
              <w:top w:val="single" w:sz="8" w:space="0" w:color="auto"/>
              <w:left w:val="nil"/>
              <w:bottom w:val="nil"/>
              <w:right w:val="single" w:sz="4" w:space="0" w:color="auto"/>
            </w:tcBorders>
            <w:shd w:val="clear" w:color="000000" w:fill="000000"/>
            <w:vAlign w:val="center"/>
            <w:hideMark/>
          </w:tcPr>
          <w:p w14:paraId="4ED40796" w14:textId="77777777" w:rsidR="0068303E" w:rsidRPr="0068303E" w:rsidRDefault="0068303E" w:rsidP="0068303E">
            <w:pPr>
              <w:jc w:val="center"/>
              <w:rPr>
                <w:rFonts w:cs="Arial"/>
                <w:b/>
                <w:bCs/>
                <w:color w:val="FFFFFF"/>
                <w:sz w:val="18"/>
                <w:szCs w:val="18"/>
                <w:lang w:eastAsia="en-GB"/>
              </w:rPr>
            </w:pPr>
            <w:r w:rsidRPr="0068303E">
              <w:rPr>
                <w:rFonts w:cs="Arial"/>
                <w:b/>
                <w:bCs/>
                <w:color w:val="FFFFFF"/>
                <w:sz w:val="18"/>
                <w:szCs w:val="18"/>
                <w:lang w:eastAsia="en-GB"/>
              </w:rPr>
              <w:t>Other Payments</w:t>
            </w:r>
          </w:p>
        </w:tc>
        <w:tc>
          <w:tcPr>
            <w:tcW w:w="960" w:type="dxa"/>
            <w:tcBorders>
              <w:top w:val="single" w:sz="8" w:space="0" w:color="auto"/>
              <w:left w:val="nil"/>
              <w:bottom w:val="nil"/>
              <w:right w:val="single" w:sz="4" w:space="0" w:color="auto"/>
            </w:tcBorders>
            <w:shd w:val="clear" w:color="000000" w:fill="000000"/>
            <w:vAlign w:val="center"/>
            <w:hideMark/>
          </w:tcPr>
          <w:p w14:paraId="3733D511" w14:textId="77777777" w:rsidR="0068303E" w:rsidRPr="0068303E" w:rsidRDefault="0068303E" w:rsidP="0068303E">
            <w:pPr>
              <w:jc w:val="center"/>
              <w:rPr>
                <w:rFonts w:cs="Arial"/>
                <w:b/>
                <w:bCs/>
                <w:color w:val="FFFFFF"/>
                <w:sz w:val="18"/>
                <w:szCs w:val="18"/>
                <w:lang w:eastAsia="en-GB"/>
              </w:rPr>
            </w:pPr>
            <w:r w:rsidRPr="0068303E">
              <w:rPr>
                <w:rFonts w:cs="Arial"/>
                <w:b/>
                <w:bCs/>
                <w:color w:val="FFFFFF"/>
                <w:sz w:val="18"/>
                <w:szCs w:val="18"/>
                <w:lang w:eastAsia="en-GB"/>
              </w:rPr>
              <w:t>Income</w:t>
            </w:r>
          </w:p>
        </w:tc>
        <w:tc>
          <w:tcPr>
            <w:tcW w:w="960" w:type="dxa"/>
            <w:tcBorders>
              <w:top w:val="single" w:sz="8" w:space="0" w:color="auto"/>
              <w:left w:val="nil"/>
              <w:bottom w:val="nil"/>
              <w:right w:val="single" w:sz="4" w:space="0" w:color="auto"/>
            </w:tcBorders>
            <w:shd w:val="clear" w:color="000000" w:fill="000000"/>
            <w:vAlign w:val="center"/>
            <w:hideMark/>
          </w:tcPr>
          <w:p w14:paraId="5A81C344" w14:textId="77777777" w:rsidR="0068303E" w:rsidRPr="0068303E" w:rsidRDefault="0068303E" w:rsidP="0068303E">
            <w:pPr>
              <w:jc w:val="center"/>
              <w:rPr>
                <w:rFonts w:cs="Arial"/>
                <w:b/>
                <w:bCs/>
                <w:color w:val="FFFFFF"/>
                <w:sz w:val="18"/>
                <w:szCs w:val="18"/>
                <w:lang w:eastAsia="en-GB"/>
              </w:rPr>
            </w:pPr>
            <w:r w:rsidRPr="0068303E">
              <w:rPr>
                <w:rFonts w:cs="Arial"/>
                <w:b/>
                <w:bCs/>
                <w:color w:val="FFFFFF"/>
                <w:sz w:val="18"/>
                <w:szCs w:val="18"/>
                <w:lang w:eastAsia="en-GB"/>
              </w:rPr>
              <w:t>Support Grants</w:t>
            </w:r>
          </w:p>
        </w:tc>
        <w:tc>
          <w:tcPr>
            <w:tcW w:w="960" w:type="dxa"/>
            <w:tcBorders>
              <w:top w:val="single" w:sz="8" w:space="0" w:color="auto"/>
              <w:left w:val="nil"/>
              <w:bottom w:val="nil"/>
              <w:right w:val="single" w:sz="4" w:space="0" w:color="auto"/>
            </w:tcBorders>
            <w:shd w:val="clear" w:color="000000" w:fill="000000"/>
            <w:vAlign w:val="center"/>
            <w:hideMark/>
          </w:tcPr>
          <w:p w14:paraId="3F2CFC97" w14:textId="77777777" w:rsidR="0068303E" w:rsidRPr="0068303E" w:rsidRDefault="0068303E" w:rsidP="0068303E">
            <w:pPr>
              <w:jc w:val="center"/>
              <w:rPr>
                <w:rFonts w:cs="Arial"/>
                <w:b/>
                <w:bCs/>
                <w:color w:val="FFFFFF"/>
                <w:sz w:val="18"/>
                <w:szCs w:val="18"/>
                <w:lang w:eastAsia="en-GB"/>
              </w:rPr>
            </w:pPr>
            <w:r w:rsidRPr="0068303E">
              <w:rPr>
                <w:rFonts w:cs="Arial"/>
                <w:b/>
                <w:bCs/>
                <w:color w:val="FFFFFF"/>
                <w:sz w:val="18"/>
                <w:szCs w:val="18"/>
                <w:lang w:eastAsia="en-GB"/>
              </w:rPr>
              <w:t>Owed To</w:t>
            </w:r>
          </w:p>
        </w:tc>
        <w:tc>
          <w:tcPr>
            <w:tcW w:w="960" w:type="dxa"/>
            <w:tcBorders>
              <w:top w:val="single" w:sz="8" w:space="0" w:color="auto"/>
              <w:left w:val="nil"/>
              <w:bottom w:val="nil"/>
              <w:right w:val="single" w:sz="8" w:space="0" w:color="auto"/>
            </w:tcBorders>
            <w:shd w:val="clear" w:color="000000" w:fill="000000"/>
            <w:vAlign w:val="center"/>
            <w:hideMark/>
          </w:tcPr>
          <w:p w14:paraId="3BE3147B" w14:textId="77777777" w:rsidR="0068303E" w:rsidRPr="0068303E" w:rsidRDefault="0068303E" w:rsidP="0068303E">
            <w:pPr>
              <w:jc w:val="center"/>
              <w:rPr>
                <w:rFonts w:cs="Arial"/>
                <w:b/>
                <w:bCs/>
                <w:color w:val="FFFFFF"/>
                <w:sz w:val="18"/>
                <w:szCs w:val="18"/>
                <w:lang w:eastAsia="en-GB"/>
              </w:rPr>
            </w:pPr>
            <w:r w:rsidRPr="0068303E">
              <w:rPr>
                <w:rFonts w:cs="Arial"/>
                <w:b/>
                <w:bCs/>
                <w:color w:val="FFFFFF"/>
                <w:sz w:val="18"/>
                <w:szCs w:val="18"/>
                <w:lang w:eastAsia="en-GB"/>
              </w:rPr>
              <w:t>Owed From</w:t>
            </w:r>
          </w:p>
        </w:tc>
      </w:tr>
      <w:tr w:rsidR="0068303E" w:rsidRPr="0068303E" w14:paraId="75ABE178" w14:textId="77777777" w:rsidTr="0068303E">
        <w:trPr>
          <w:trHeight w:val="290"/>
        </w:trPr>
        <w:tc>
          <w:tcPr>
            <w:tcW w:w="3420" w:type="dxa"/>
            <w:tcBorders>
              <w:top w:val="nil"/>
              <w:left w:val="single" w:sz="8" w:space="0" w:color="auto"/>
              <w:bottom w:val="single" w:sz="4" w:space="0" w:color="auto"/>
              <w:right w:val="nil"/>
            </w:tcBorders>
            <w:shd w:val="clear" w:color="000000" w:fill="000000"/>
            <w:noWrap/>
            <w:vAlign w:val="bottom"/>
            <w:hideMark/>
          </w:tcPr>
          <w:p w14:paraId="32705484" w14:textId="77777777" w:rsidR="0068303E" w:rsidRPr="0068303E" w:rsidRDefault="0068303E" w:rsidP="0068303E">
            <w:pPr>
              <w:rPr>
                <w:rFonts w:ascii="Calibri" w:hAnsi="Calibri" w:cs="Calibri"/>
                <w:color w:val="000000"/>
                <w:sz w:val="22"/>
                <w:szCs w:val="22"/>
                <w:lang w:eastAsia="en-GB"/>
              </w:rPr>
            </w:pPr>
            <w:r w:rsidRPr="0068303E">
              <w:rPr>
                <w:rFonts w:ascii="Calibri" w:hAnsi="Calibri" w:cs="Calibri"/>
                <w:color w:val="000000"/>
                <w:sz w:val="22"/>
                <w:szCs w:val="22"/>
                <w:lang w:eastAsia="en-GB"/>
              </w:rPr>
              <w:t> </w:t>
            </w:r>
          </w:p>
        </w:tc>
        <w:tc>
          <w:tcPr>
            <w:tcW w:w="1106" w:type="dxa"/>
            <w:tcBorders>
              <w:top w:val="nil"/>
              <w:left w:val="nil"/>
              <w:bottom w:val="single" w:sz="4" w:space="0" w:color="auto"/>
              <w:right w:val="nil"/>
            </w:tcBorders>
            <w:shd w:val="clear" w:color="000000" w:fill="000000"/>
            <w:noWrap/>
            <w:hideMark/>
          </w:tcPr>
          <w:p w14:paraId="1A671263" w14:textId="77777777" w:rsidR="0068303E" w:rsidRPr="0068303E" w:rsidRDefault="0068303E" w:rsidP="0068303E">
            <w:pPr>
              <w:jc w:val="center"/>
              <w:rPr>
                <w:rFonts w:cs="Arial"/>
                <w:b/>
                <w:bCs/>
                <w:color w:val="FFFFFF"/>
                <w:sz w:val="18"/>
                <w:szCs w:val="18"/>
                <w:lang w:eastAsia="en-GB"/>
              </w:rPr>
            </w:pPr>
            <w:r w:rsidRPr="0068303E">
              <w:rPr>
                <w:rFonts w:cs="Arial"/>
                <w:b/>
                <w:bCs/>
                <w:color w:val="FFFFFF"/>
                <w:sz w:val="18"/>
                <w:szCs w:val="18"/>
                <w:lang w:eastAsia="en-GB"/>
              </w:rPr>
              <w:t>£000</w:t>
            </w:r>
          </w:p>
        </w:tc>
        <w:tc>
          <w:tcPr>
            <w:tcW w:w="1067" w:type="dxa"/>
            <w:tcBorders>
              <w:top w:val="nil"/>
              <w:left w:val="nil"/>
              <w:bottom w:val="single" w:sz="4" w:space="0" w:color="auto"/>
              <w:right w:val="single" w:sz="4" w:space="0" w:color="auto"/>
            </w:tcBorders>
            <w:shd w:val="clear" w:color="000000" w:fill="000000"/>
            <w:noWrap/>
            <w:hideMark/>
          </w:tcPr>
          <w:p w14:paraId="7F392FE9" w14:textId="77777777" w:rsidR="0068303E" w:rsidRPr="0068303E" w:rsidRDefault="0068303E" w:rsidP="0068303E">
            <w:pPr>
              <w:jc w:val="center"/>
              <w:rPr>
                <w:rFonts w:cs="Arial"/>
                <w:b/>
                <w:bCs/>
                <w:color w:val="FFFFFF"/>
                <w:sz w:val="18"/>
                <w:szCs w:val="18"/>
                <w:lang w:eastAsia="en-GB"/>
              </w:rPr>
            </w:pPr>
            <w:r w:rsidRPr="0068303E">
              <w:rPr>
                <w:rFonts w:cs="Arial"/>
                <w:b/>
                <w:bCs/>
                <w:color w:val="FFFFFF"/>
                <w:sz w:val="18"/>
                <w:szCs w:val="18"/>
                <w:lang w:eastAsia="en-GB"/>
              </w:rPr>
              <w:t>£000</w:t>
            </w:r>
          </w:p>
        </w:tc>
        <w:tc>
          <w:tcPr>
            <w:tcW w:w="960" w:type="dxa"/>
            <w:tcBorders>
              <w:top w:val="nil"/>
              <w:left w:val="nil"/>
              <w:bottom w:val="single" w:sz="4" w:space="0" w:color="auto"/>
              <w:right w:val="single" w:sz="4" w:space="0" w:color="auto"/>
            </w:tcBorders>
            <w:shd w:val="clear" w:color="000000" w:fill="000000"/>
            <w:noWrap/>
            <w:hideMark/>
          </w:tcPr>
          <w:p w14:paraId="4FEFF694" w14:textId="77777777" w:rsidR="0068303E" w:rsidRPr="0068303E" w:rsidRDefault="0068303E" w:rsidP="0068303E">
            <w:pPr>
              <w:jc w:val="center"/>
              <w:rPr>
                <w:rFonts w:cs="Arial"/>
                <w:b/>
                <w:bCs/>
                <w:color w:val="FFFFFF"/>
                <w:sz w:val="18"/>
                <w:szCs w:val="18"/>
                <w:lang w:eastAsia="en-GB"/>
              </w:rPr>
            </w:pPr>
            <w:r w:rsidRPr="0068303E">
              <w:rPr>
                <w:rFonts w:cs="Arial"/>
                <w:b/>
                <w:bCs/>
                <w:color w:val="FFFFFF"/>
                <w:sz w:val="18"/>
                <w:szCs w:val="18"/>
                <w:lang w:eastAsia="en-GB"/>
              </w:rPr>
              <w:t>£000</w:t>
            </w:r>
          </w:p>
        </w:tc>
        <w:tc>
          <w:tcPr>
            <w:tcW w:w="960" w:type="dxa"/>
            <w:tcBorders>
              <w:top w:val="nil"/>
              <w:left w:val="nil"/>
              <w:bottom w:val="single" w:sz="4" w:space="0" w:color="auto"/>
              <w:right w:val="single" w:sz="4" w:space="0" w:color="auto"/>
            </w:tcBorders>
            <w:shd w:val="clear" w:color="000000" w:fill="000000"/>
            <w:noWrap/>
            <w:hideMark/>
          </w:tcPr>
          <w:p w14:paraId="43D36C33" w14:textId="77777777" w:rsidR="0068303E" w:rsidRPr="0068303E" w:rsidRDefault="0068303E" w:rsidP="0068303E">
            <w:pPr>
              <w:jc w:val="center"/>
              <w:rPr>
                <w:rFonts w:cs="Arial"/>
                <w:b/>
                <w:bCs/>
                <w:color w:val="FFFFFF"/>
                <w:sz w:val="18"/>
                <w:szCs w:val="18"/>
                <w:lang w:eastAsia="en-GB"/>
              </w:rPr>
            </w:pPr>
            <w:r w:rsidRPr="0068303E">
              <w:rPr>
                <w:rFonts w:cs="Arial"/>
                <w:b/>
                <w:bCs/>
                <w:color w:val="FFFFFF"/>
                <w:sz w:val="18"/>
                <w:szCs w:val="18"/>
                <w:lang w:eastAsia="en-GB"/>
              </w:rPr>
              <w:t>£000</w:t>
            </w:r>
          </w:p>
        </w:tc>
        <w:tc>
          <w:tcPr>
            <w:tcW w:w="960" w:type="dxa"/>
            <w:tcBorders>
              <w:top w:val="nil"/>
              <w:left w:val="nil"/>
              <w:bottom w:val="single" w:sz="4" w:space="0" w:color="auto"/>
              <w:right w:val="single" w:sz="4" w:space="0" w:color="auto"/>
            </w:tcBorders>
            <w:shd w:val="clear" w:color="000000" w:fill="000000"/>
            <w:noWrap/>
            <w:hideMark/>
          </w:tcPr>
          <w:p w14:paraId="20EAB19A" w14:textId="77777777" w:rsidR="0068303E" w:rsidRPr="0068303E" w:rsidRDefault="0068303E" w:rsidP="0068303E">
            <w:pPr>
              <w:jc w:val="center"/>
              <w:rPr>
                <w:rFonts w:cs="Arial"/>
                <w:b/>
                <w:bCs/>
                <w:color w:val="FFFFFF"/>
                <w:sz w:val="18"/>
                <w:szCs w:val="18"/>
                <w:lang w:eastAsia="en-GB"/>
              </w:rPr>
            </w:pPr>
            <w:r w:rsidRPr="0068303E">
              <w:rPr>
                <w:rFonts w:cs="Arial"/>
                <w:b/>
                <w:bCs/>
                <w:color w:val="FFFFFF"/>
                <w:sz w:val="18"/>
                <w:szCs w:val="18"/>
                <w:lang w:eastAsia="en-GB"/>
              </w:rPr>
              <w:t>£000</w:t>
            </w:r>
          </w:p>
        </w:tc>
        <w:tc>
          <w:tcPr>
            <w:tcW w:w="960" w:type="dxa"/>
            <w:tcBorders>
              <w:top w:val="nil"/>
              <w:left w:val="nil"/>
              <w:bottom w:val="single" w:sz="4" w:space="0" w:color="auto"/>
              <w:right w:val="single" w:sz="8" w:space="0" w:color="auto"/>
            </w:tcBorders>
            <w:shd w:val="clear" w:color="000000" w:fill="000000"/>
            <w:noWrap/>
            <w:hideMark/>
          </w:tcPr>
          <w:p w14:paraId="66AC28F3" w14:textId="77777777" w:rsidR="0068303E" w:rsidRPr="0068303E" w:rsidRDefault="0068303E" w:rsidP="0068303E">
            <w:pPr>
              <w:jc w:val="center"/>
              <w:rPr>
                <w:rFonts w:cs="Arial"/>
                <w:b/>
                <w:bCs/>
                <w:color w:val="FFFFFF"/>
                <w:sz w:val="18"/>
                <w:szCs w:val="18"/>
                <w:lang w:eastAsia="en-GB"/>
              </w:rPr>
            </w:pPr>
            <w:r w:rsidRPr="0068303E">
              <w:rPr>
                <w:rFonts w:cs="Arial"/>
                <w:b/>
                <w:bCs/>
                <w:color w:val="FFFFFF"/>
                <w:sz w:val="18"/>
                <w:szCs w:val="18"/>
                <w:lang w:eastAsia="en-GB"/>
              </w:rPr>
              <w:t>£000</w:t>
            </w:r>
          </w:p>
        </w:tc>
      </w:tr>
      <w:tr w:rsidR="0068303E" w:rsidRPr="0068303E" w14:paraId="19B08020" w14:textId="77777777" w:rsidTr="0068303E">
        <w:trPr>
          <w:trHeight w:val="290"/>
        </w:trPr>
        <w:tc>
          <w:tcPr>
            <w:tcW w:w="3420" w:type="dxa"/>
            <w:tcBorders>
              <w:top w:val="nil"/>
              <w:left w:val="single" w:sz="8" w:space="0" w:color="auto"/>
              <w:bottom w:val="nil"/>
              <w:right w:val="nil"/>
            </w:tcBorders>
            <w:shd w:val="clear" w:color="000000" w:fill="FFFFFF"/>
            <w:noWrap/>
            <w:vAlign w:val="bottom"/>
            <w:hideMark/>
          </w:tcPr>
          <w:p w14:paraId="5DF5A7B6" w14:textId="77777777" w:rsidR="0068303E" w:rsidRPr="0068303E" w:rsidRDefault="0068303E" w:rsidP="0068303E">
            <w:pPr>
              <w:rPr>
                <w:rFonts w:ascii="Calibri" w:hAnsi="Calibri" w:cs="Calibri"/>
                <w:color w:val="000000"/>
                <w:sz w:val="22"/>
                <w:szCs w:val="22"/>
                <w:lang w:eastAsia="en-GB"/>
              </w:rPr>
            </w:pPr>
            <w:r w:rsidRPr="0068303E">
              <w:rPr>
                <w:rFonts w:ascii="Calibri" w:hAnsi="Calibri" w:cs="Calibri"/>
                <w:color w:val="000000"/>
                <w:sz w:val="22"/>
                <w:szCs w:val="22"/>
                <w:lang w:eastAsia="en-GB"/>
              </w:rPr>
              <w:t> </w:t>
            </w:r>
          </w:p>
        </w:tc>
        <w:tc>
          <w:tcPr>
            <w:tcW w:w="1106" w:type="dxa"/>
            <w:tcBorders>
              <w:top w:val="nil"/>
              <w:left w:val="nil"/>
              <w:bottom w:val="nil"/>
              <w:right w:val="nil"/>
            </w:tcBorders>
            <w:shd w:val="clear" w:color="000000" w:fill="FFFFFF"/>
            <w:noWrap/>
            <w:vAlign w:val="bottom"/>
            <w:hideMark/>
          </w:tcPr>
          <w:p w14:paraId="342FD958" w14:textId="77777777" w:rsidR="0068303E" w:rsidRPr="0068303E" w:rsidRDefault="0068303E" w:rsidP="0068303E">
            <w:pPr>
              <w:rPr>
                <w:rFonts w:ascii="Calibri" w:hAnsi="Calibri" w:cs="Calibri"/>
                <w:color w:val="000000"/>
                <w:sz w:val="22"/>
                <w:szCs w:val="22"/>
                <w:lang w:eastAsia="en-GB"/>
              </w:rPr>
            </w:pPr>
            <w:r w:rsidRPr="0068303E">
              <w:rPr>
                <w:rFonts w:ascii="Calibri" w:hAnsi="Calibri" w:cs="Calibri"/>
                <w:color w:val="000000"/>
                <w:sz w:val="22"/>
                <w:szCs w:val="22"/>
                <w:lang w:eastAsia="en-GB"/>
              </w:rPr>
              <w:t> </w:t>
            </w:r>
          </w:p>
        </w:tc>
        <w:tc>
          <w:tcPr>
            <w:tcW w:w="1067" w:type="dxa"/>
            <w:tcBorders>
              <w:top w:val="nil"/>
              <w:left w:val="nil"/>
              <w:bottom w:val="nil"/>
              <w:right w:val="nil"/>
            </w:tcBorders>
            <w:shd w:val="clear" w:color="000000" w:fill="FFFFFF"/>
            <w:noWrap/>
            <w:vAlign w:val="bottom"/>
            <w:hideMark/>
          </w:tcPr>
          <w:p w14:paraId="2AB1D1D9" w14:textId="77777777" w:rsidR="0068303E" w:rsidRPr="0068303E" w:rsidRDefault="0068303E" w:rsidP="0068303E">
            <w:pPr>
              <w:rPr>
                <w:rFonts w:ascii="Calibri" w:hAnsi="Calibri" w:cs="Calibri"/>
                <w:color w:val="000000"/>
                <w:sz w:val="22"/>
                <w:szCs w:val="22"/>
                <w:lang w:eastAsia="en-GB"/>
              </w:rPr>
            </w:pPr>
            <w:r w:rsidRPr="0068303E">
              <w:rPr>
                <w:rFonts w:ascii="Calibri" w:hAnsi="Calibri" w:cs="Calibri"/>
                <w:color w:val="000000"/>
                <w:sz w:val="22"/>
                <w:szCs w:val="22"/>
                <w:lang w:eastAsia="en-GB"/>
              </w:rPr>
              <w:t> </w:t>
            </w:r>
          </w:p>
        </w:tc>
        <w:tc>
          <w:tcPr>
            <w:tcW w:w="960" w:type="dxa"/>
            <w:tcBorders>
              <w:top w:val="nil"/>
              <w:left w:val="nil"/>
              <w:bottom w:val="nil"/>
              <w:right w:val="nil"/>
            </w:tcBorders>
            <w:shd w:val="clear" w:color="000000" w:fill="FFFFFF"/>
            <w:noWrap/>
            <w:vAlign w:val="bottom"/>
            <w:hideMark/>
          </w:tcPr>
          <w:p w14:paraId="02CC3340" w14:textId="77777777" w:rsidR="0068303E" w:rsidRPr="0068303E" w:rsidRDefault="0068303E" w:rsidP="0068303E">
            <w:pPr>
              <w:rPr>
                <w:rFonts w:ascii="Calibri" w:hAnsi="Calibri" w:cs="Calibri"/>
                <w:color w:val="000000"/>
                <w:sz w:val="22"/>
                <w:szCs w:val="22"/>
                <w:lang w:eastAsia="en-GB"/>
              </w:rPr>
            </w:pPr>
            <w:r w:rsidRPr="0068303E">
              <w:rPr>
                <w:rFonts w:ascii="Calibri" w:hAnsi="Calibri" w:cs="Calibri"/>
                <w:color w:val="000000"/>
                <w:sz w:val="22"/>
                <w:szCs w:val="22"/>
                <w:lang w:eastAsia="en-GB"/>
              </w:rPr>
              <w:t> </w:t>
            </w:r>
          </w:p>
        </w:tc>
        <w:tc>
          <w:tcPr>
            <w:tcW w:w="960" w:type="dxa"/>
            <w:tcBorders>
              <w:top w:val="nil"/>
              <w:left w:val="nil"/>
              <w:bottom w:val="nil"/>
              <w:right w:val="nil"/>
            </w:tcBorders>
            <w:shd w:val="clear" w:color="000000" w:fill="FFFFFF"/>
            <w:noWrap/>
            <w:vAlign w:val="bottom"/>
            <w:hideMark/>
          </w:tcPr>
          <w:p w14:paraId="6ED6C150" w14:textId="77777777" w:rsidR="0068303E" w:rsidRPr="0068303E" w:rsidRDefault="0068303E" w:rsidP="0068303E">
            <w:pPr>
              <w:rPr>
                <w:rFonts w:ascii="Calibri" w:hAnsi="Calibri" w:cs="Calibri"/>
                <w:color w:val="000000"/>
                <w:sz w:val="22"/>
                <w:szCs w:val="22"/>
                <w:lang w:eastAsia="en-GB"/>
              </w:rPr>
            </w:pPr>
            <w:r w:rsidRPr="0068303E">
              <w:rPr>
                <w:rFonts w:ascii="Calibri" w:hAnsi="Calibri" w:cs="Calibri"/>
                <w:color w:val="000000"/>
                <w:sz w:val="22"/>
                <w:szCs w:val="22"/>
                <w:lang w:eastAsia="en-GB"/>
              </w:rPr>
              <w:t> </w:t>
            </w:r>
          </w:p>
        </w:tc>
        <w:tc>
          <w:tcPr>
            <w:tcW w:w="960" w:type="dxa"/>
            <w:tcBorders>
              <w:top w:val="nil"/>
              <w:left w:val="nil"/>
              <w:bottom w:val="nil"/>
              <w:right w:val="nil"/>
            </w:tcBorders>
            <w:shd w:val="clear" w:color="000000" w:fill="FFFFFF"/>
            <w:noWrap/>
            <w:vAlign w:val="bottom"/>
            <w:hideMark/>
          </w:tcPr>
          <w:p w14:paraId="3FC31A91" w14:textId="77777777" w:rsidR="0068303E" w:rsidRPr="0068303E" w:rsidRDefault="0068303E" w:rsidP="0068303E">
            <w:pPr>
              <w:rPr>
                <w:rFonts w:ascii="Calibri" w:hAnsi="Calibri" w:cs="Calibri"/>
                <w:color w:val="000000"/>
                <w:sz w:val="22"/>
                <w:szCs w:val="22"/>
                <w:lang w:eastAsia="en-GB"/>
              </w:rPr>
            </w:pPr>
            <w:r w:rsidRPr="0068303E">
              <w:rPr>
                <w:rFonts w:ascii="Calibri" w:hAnsi="Calibri" w:cs="Calibri"/>
                <w:color w:val="000000"/>
                <w:sz w:val="22"/>
                <w:szCs w:val="22"/>
                <w:lang w:eastAsia="en-GB"/>
              </w:rPr>
              <w:t> </w:t>
            </w:r>
          </w:p>
        </w:tc>
        <w:tc>
          <w:tcPr>
            <w:tcW w:w="960" w:type="dxa"/>
            <w:tcBorders>
              <w:top w:val="nil"/>
              <w:left w:val="nil"/>
              <w:bottom w:val="nil"/>
              <w:right w:val="single" w:sz="8" w:space="0" w:color="auto"/>
            </w:tcBorders>
            <w:shd w:val="clear" w:color="000000" w:fill="FFFFFF"/>
            <w:noWrap/>
            <w:vAlign w:val="bottom"/>
            <w:hideMark/>
          </w:tcPr>
          <w:p w14:paraId="3ADF0ADC" w14:textId="77777777" w:rsidR="0068303E" w:rsidRPr="0068303E" w:rsidRDefault="0068303E" w:rsidP="0068303E">
            <w:pPr>
              <w:rPr>
                <w:rFonts w:ascii="Calibri" w:hAnsi="Calibri" w:cs="Calibri"/>
                <w:color w:val="000000"/>
                <w:sz w:val="22"/>
                <w:szCs w:val="22"/>
                <w:lang w:eastAsia="en-GB"/>
              </w:rPr>
            </w:pPr>
            <w:r w:rsidRPr="0068303E">
              <w:rPr>
                <w:rFonts w:ascii="Calibri" w:hAnsi="Calibri" w:cs="Calibri"/>
                <w:color w:val="000000"/>
                <w:sz w:val="22"/>
                <w:szCs w:val="22"/>
                <w:lang w:eastAsia="en-GB"/>
              </w:rPr>
              <w:t> </w:t>
            </w:r>
          </w:p>
        </w:tc>
      </w:tr>
      <w:tr w:rsidR="0068303E" w:rsidRPr="0068303E" w14:paraId="75A1A097" w14:textId="77777777" w:rsidTr="0068303E">
        <w:trPr>
          <w:trHeight w:val="290"/>
        </w:trPr>
        <w:tc>
          <w:tcPr>
            <w:tcW w:w="3420" w:type="dxa"/>
            <w:tcBorders>
              <w:top w:val="nil"/>
              <w:left w:val="single" w:sz="8" w:space="0" w:color="auto"/>
              <w:bottom w:val="nil"/>
              <w:right w:val="nil"/>
            </w:tcBorders>
            <w:shd w:val="clear" w:color="000000" w:fill="FFFFFF"/>
            <w:noWrap/>
            <w:vAlign w:val="bottom"/>
            <w:hideMark/>
          </w:tcPr>
          <w:p w14:paraId="23301C2D" w14:textId="77777777" w:rsidR="0068303E" w:rsidRPr="0068303E" w:rsidRDefault="0068303E" w:rsidP="0068303E">
            <w:pPr>
              <w:rPr>
                <w:rFonts w:cs="Arial"/>
                <w:sz w:val="20"/>
                <w:szCs w:val="20"/>
                <w:lang w:eastAsia="en-GB"/>
              </w:rPr>
            </w:pPr>
            <w:proofErr w:type="spellStart"/>
            <w:r w:rsidRPr="0068303E">
              <w:rPr>
                <w:rFonts w:cs="Arial"/>
                <w:sz w:val="20"/>
                <w:szCs w:val="20"/>
                <w:lang w:eastAsia="en-GB"/>
              </w:rPr>
              <w:t>Allerdale</w:t>
            </w:r>
            <w:proofErr w:type="spellEnd"/>
            <w:r w:rsidRPr="0068303E">
              <w:rPr>
                <w:rFonts w:cs="Arial"/>
                <w:sz w:val="20"/>
                <w:szCs w:val="20"/>
                <w:lang w:eastAsia="en-GB"/>
              </w:rPr>
              <w:t xml:space="preserve"> Borough Council</w:t>
            </w:r>
          </w:p>
        </w:tc>
        <w:tc>
          <w:tcPr>
            <w:tcW w:w="1106" w:type="dxa"/>
            <w:tcBorders>
              <w:top w:val="nil"/>
              <w:left w:val="nil"/>
              <w:bottom w:val="nil"/>
              <w:right w:val="nil"/>
            </w:tcBorders>
            <w:shd w:val="clear" w:color="000000" w:fill="FFFFFF"/>
            <w:noWrap/>
            <w:vAlign w:val="center"/>
            <w:hideMark/>
          </w:tcPr>
          <w:p w14:paraId="07B5A7F1"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20 </w:t>
            </w:r>
          </w:p>
        </w:tc>
        <w:tc>
          <w:tcPr>
            <w:tcW w:w="1067" w:type="dxa"/>
            <w:tcBorders>
              <w:top w:val="nil"/>
              <w:left w:val="nil"/>
              <w:bottom w:val="nil"/>
              <w:right w:val="nil"/>
            </w:tcBorders>
            <w:shd w:val="clear" w:color="000000" w:fill="FFFFFF"/>
            <w:noWrap/>
            <w:vAlign w:val="center"/>
            <w:hideMark/>
          </w:tcPr>
          <w:p w14:paraId="5EF887DD"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2 </w:t>
            </w:r>
          </w:p>
        </w:tc>
        <w:tc>
          <w:tcPr>
            <w:tcW w:w="960" w:type="dxa"/>
            <w:tcBorders>
              <w:top w:val="nil"/>
              <w:left w:val="nil"/>
              <w:bottom w:val="nil"/>
              <w:right w:val="nil"/>
            </w:tcBorders>
            <w:shd w:val="clear" w:color="000000" w:fill="FFFFFF"/>
            <w:noWrap/>
            <w:vAlign w:val="center"/>
            <w:hideMark/>
          </w:tcPr>
          <w:p w14:paraId="7F8115C7"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13 </w:t>
            </w:r>
          </w:p>
        </w:tc>
        <w:tc>
          <w:tcPr>
            <w:tcW w:w="960" w:type="dxa"/>
            <w:tcBorders>
              <w:top w:val="nil"/>
              <w:left w:val="nil"/>
              <w:bottom w:val="nil"/>
              <w:right w:val="nil"/>
            </w:tcBorders>
            <w:shd w:val="clear" w:color="000000" w:fill="FFFFFF"/>
            <w:noWrap/>
            <w:vAlign w:val="center"/>
            <w:hideMark/>
          </w:tcPr>
          <w:p w14:paraId="162D7419"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0 </w:t>
            </w:r>
          </w:p>
        </w:tc>
        <w:tc>
          <w:tcPr>
            <w:tcW w:w="960" w:type="dxa"/>
            <w:tcBorders>
              <w:top w:val="nil"/>
              <w:left w:val="nil"/>
              <w:bottom w:val="nil"/>
              <w:right w:val="nil"/>
            </w:tcBorders>
            <w:shd w:val="clear" w:color="000000" w:fill="FFFFFF"/>
            <w:noWrap/>
            <w:vAlign w:val="center"/>
            <w:hideMark/>
          </w:tcPr>
          <w:p w14:paraId="68CB9FD9"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7 </w:t>
            </w:r>
          </w:p>
        </w:tc>
        <w:tc>
          <w:tcPr>
            <w:tcW w:w="960" w:type="dxa"/>
            <w:tcBorders>
              <w:top w:val="nil"/>
              <w:left w:val="nil"/>
              <w:bottom w:val="nil"/>
              <w:right w:val="single" w:sz="8" w:space="0" w:color="auto"/>
            </w:tcBorders>
            <w:shd w:val="clear" w:color="000000" w:fill="FFFFFF"/>
            <w:noWrap/>
            <w:vAlign w:val="center"/>
            <w:hideMark/>
          </w:tcPr>
          <w:p w14:paraId="66C02D95"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1 </w:t>
            </w:r>
          </w:p>
        </w:tc>
      </w:tr>
      <w:tr w:rsidR="0068303E" w:rsidRPr="0068303E" w14:paraId="32D4E540" w14:textId="77777777" w:rsidTr="0068303E">
        <w:trPr>
          <w:trHeight w:val="290"/>
        </w:trPr>
        <w:tc>
          <w:tcPr>
            <w:tcW w:w="3420" w:type="dxa"/>
            <w:tcBorders>
              <w:top w:val="nil"/>
              <w:left w:val="single" w:sz="8" w:space="0" w:color="auto"/>
              <w:bottom w:val="nil"/>
              <w:right w:val="nil"/>
            </w:tcBorders>
            <w:shd w:val="clear" w:color="000000" w:fill="FFFFFF"/>
            <w:noWrap/>
            <w:vAlign w:val="bottom"/>
            <w:hideMark/>
          </w:tcPr>
          <w:p w14:paraId="549ABD89" w14:textId="77777777" w:rsidR="0068303E" w:rsidRPr="0068303E" w:rsidRDefault="0068303E" w:rsidP="0068303E">
            <w:pPr>
              <w:rPr>
                <w:rFonts w:cs="Arial"/>
                <w:sz w:val="20"/>
                <w:szCs w:val="20"/>
                <w:lang w:eastAsia="en-GB"/>
              </w:rPr>
            </w:pPr>
            <w:r w:rsidRPr="0068303E">
              <w:rPr>
                <w:rFonts w:cs="Arial"/>
                <w:sz w:val="20"/>
                <w:szCs w:val="20"/>
                <w:lang w:eastAsia="en-GB"/>
              </w:rPr>
              <w:t>Copeland Borough Council</w:t>
            </w:r>
          </w:p>
        </w:tc>
        <w:tc>
          <w:tcPr>
            <w:tcW w:w="1106" w:type="dxa"/>
            <w:tcBorders>
              <w:top w:val="nil"/>
              <w:left w:val="nil"/>
              <w:bottom w:val="nil"/>
              <w:right w:val="nil"/>
            </w:tcBorders>
            <w:shd w:val="clear" w:color="000000" w:fill="FFFFFF"/>
            <w:noWrap/>
            <w:vAlign w:val="center"/>
            <w:hideMark/>
          </w:tcPr>
          <w:p w14:paraId="4F661433"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8 </w:t>
            </w:r>
          </w:p>
        </w:tc>
        <w:tc>
          <w:tcPr>
            <w:tcW w:w="1067" w:type="dxa"/>
            <w:tcBorders>
              <w:top w:val="nil"/>
              <w:left w:val="nil"/>
              <w:bottom w:val="nil"/>
              <w:right w:val="nil"/>
            </w:tcBorders>
            <w:shd w:val="clear" w:color="000000" w:fill="FFFFFF"/>
            <w:noWrap/>
            <w:vAlign w:val="center"/>
            <w:hideMark/>
          </w:tcPr>
          <w:p w14:paraId="1A21C3CB"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0 </w:t>
            </w:r>
          </w:p>
        </w:tc>
        <w:tc>
          <w:tcPr>
            <w:tcW w:w="960" w:type="dxa"/>
            <w:tcBorders>
              <w:top w:val="nil"/>
              <w:left w:val="nil"/>
              <w:bottom w:val="nil"/>
              <w:right w:val="nil"/>
            </w:tcBorders>
            <w:shd w:val="clear" w:color="000000" w:fill="FFFFFF"/>
            <w:noWrap/>
            <w:vAlign w:val="center"/>
            <w:hideMark/>
          </w:tcPr>
          <w:p w14:paraId="1C60FF5E"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1 </w:t>
            </w:r>
          </w:p>
        </w:tc>
        <w:tc>
          <w:tcPr>
            <w:tcW w:w="960" w:type="dxa"/>
            <w:tcBorders>
              <w:top w:val="nil"/>
              <w:left w:val="nil"/>
              <w:bottom w:val="nil"/>
              <w:right w:val="nil"/>
            </w:tcBorders>
            <w:shd w:val="clear" w:color="000000" w:fill="FFFFFF"/>
            <w:noWrap/>
            <w:vAlign w:val="center"/>
            <w:hideMark/>
          </w:tcPr>
          <w:p w14:paraId="50316A9A"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0 </w:t>
            </w:r>
          </w:p>
        </w:tc>
        <w:tc>
          <w:tcPr>
            <w:tcW w:w="960" w:type="dxa"/>
            <w:tcBorders>
              <w:top w:val="nil"/>
              <w:left w:val="nil"/>
              <w:bottom w:val="nil"/>
              <w:right w:val="nil"/>
            </w:tcBorders>
            <w:shd w:val="clear" w:color="000000" w:fill="FFFFFF"/>
            <w:noWrap/>
            <w:vAlign w:val="center"/>
            <w:hideMark/>
          </w:tcPr>
          <w:p w14:paraId="12D36B4B"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75 </w:t>
            </w:r>
          </w:p>
        </w:tc>
        <w:tc>
          <w:tcPr>
            <w:tcW w:w="960" w:type="dxa"/>
            <w:tcBorders>
              <w:top w:val="nil"/>
              <w:left w:val="nil"/>
              <w:bottom w:val="nil"/>
              <w:right w:val="single" w:sz="8" w:space="0" w:color="auto"/>
            </w:tcBorders>
            <w:shd w:val="clear" w:color="000000" w:fill="FFFFFF"/>
            <w:noWrap/>
            <w:vAlign w:val="center"/>
            <w:hideMark/>
          </w:tcPr>
          <w:p w14:paraId="53C7CB73"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0 </w:t>
            </w:r>
          </w:p>
        </w:tc>
      </w:tr>
      <w:tr w:rsidR="0068303E" w:rsidRPr="0068303E" w14:paraId="26C712E9" w14:textId="77777777" w:rsidTr="0068303E">
        <w:trPr>
          <w:trHeight w:val="290"/>
        </w:trPr>
        <w:tc>
          <w:tcPr>
            <w:tcW w:w="3420" w:type="dxa"/>
            <w:tcBorders>
              <w:top w:val="nil"/>
              <w:left w:val="single" w:sz="8" w:space="0" w:color="auto"/>
              <w:bottom w:val="nil"/>
              <w:right w:val="nil"/>
            </w:tcBorders>
            <w:shd w:val="clear" w:color="000000" w:fill="FFFFFF"/>
            <w:noWrap/>
            <w:vAlign w:val="bottom"/>
            <w:hideMark/>
          </w:tcPr>
          <w:p w14:paraId="2C6BA65D" w14:textId="77777777" w:rsidR="0068303E" w:rsidRPr="0068303E" w:rsidRDefault="0068303E" w:rsidP="0068303E">
            <w:pPr>
              <w:rPr>
                <w:rFonts w:cs="Arial"/>
                <w:sz w:val="20"/>
                <w:szCs w:val="20"/>
                <w:lang w:eastAsia="en-GB"/>
              </w:rPr>
            </w:pPr>
            <w:r w:rsidRPr="0068303E">
              <w:rPr>
                <w:rFonts w:cs="Arial"/>
                <w:sz w:val="20"/>
                <w:szCs w:val="20"/>
                <w:lang w:eastAsia="en-GB"/>
              </w:rPr>
              <w:t>Cumbria County Council</w:t>
            </w:r>
          </w:p>
        </w:tc>
        <w:tc>
          <w:tcPr>
            <w:tcW w:w="1106" w:type="dxa"/>
            <w:tcBorders>
              <w:top w:val="nil"/>
              <w:left w:val="nil"/>
              <w:bottom w:val="nil"/>
              <w:right w:val="nil"/>
            </w:tcBorders>
            <w:shd w:val="clear" w:color="000000" w:fill="FFFFFF"/>
            <w:noWrap/>
            <w:vAlign w:val="center"/>
            <w:hideMark/>
          </w:tcPr>
          <w:p w14:paraId="38D9F6A8"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0 </w:t>
            </w:r>
          </w:p>
        </w:tc>
        <w:tc>
          <w:tcPr>
            <w:tcW w:w="1067" w:type="dxa"/>
            <w:tcBorders>
              <w:top w:val="nil"/>
              <w:left w:val="nil"/>
              <w:bottom w:val="nil"/>
              <w:right w:val="nil"/>
            </w:tcBorders>
            <w:shd w:val="clear" w:color="000000" w:fill="FFFFFF"/>
            <w:noWrap/>
            <w:vAlign w:val="center"/>
            <w:hideMark/>
          </w:tcPr>
          <w:p w14:paraId="1CD85FB4"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74 </w:t>
            </w:r>
          </w:p>
        </w:tc>
        <w:tc>
          <w:tcPr>
            <w:tcW w:w="960" w:type="dxa"/>
            <w:tcBorders>
              <w:top w:val="nil"/>
              <w:left w:val="nil"/>
              <w:bottom w:val="nil"/>
              <w:right w:val="nil"/>
            </w:tcBorders>
            <w:shd w:val="clear" w:color="000000" w:fill="FFFFFF"/>
            <w:noWrap/>
            <w:vAlign w:val="center"/>
            <w:hideMark/>
          </w:tcPr>
          <w:p w14:paraId="33DC399C"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50 </w:t>
            </w:r>
          </w:p>
        </w:tc>
        <w:tc>
          <w:tcPr>
            <w:tcW w:w="960" w:type="dxa"/>
            <w:tcBorders>
              <w:top w:val="nil"/>
              <w:left w:val="nil"/>
              <w:bottom w:val="nil"/>
              <w:right w:val="nil"/>
            </w:tcBorders>
            <w:shd w:val="clear" w:color="000000" w:fill="FFFFFF"/>
            <w:noWrap/>
            <w:vAlign w:val="center"/>
            <w:hideMark/>
          </w:tcPr>
          <w:p w14:paraId="229AD883"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0 </w:t>
            </w:r>
          </w:p>
        </w:tc>
        <w:tc>
          <w:tcPr>
            <w:tcW w:w="960" w:type="dxa"/>
            <w:tcBorders>
              <w:top w:val="nil"/>
              <w:left w:val="nil"/>
              <w:bottom w:val="nil"/>
              <w:right w:val="nil"/>
            </w:tcBorders>
            <w:shd w:val="clear" w:color="000000" w:fill="FFFFFF"/>
            <w:noWrap/>
            <w:vAlign w:val="center"/>
            <w:hideMark/>
          </w:tcPr>
          <w:p w14:paraId="2970CDF7"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184 </w:t>
            </w:r>
          </w:p>
        </w:tc>
        <w:tc>
          <w:tcPr>
            <w:tcW w:w="960" w:type="dxa"/>
            <w:tcBorders>
              <w:top w:val="nil"/>
              <w:left w:val="nil"/>
              <w:bottom w:val="nil"/>
              <w:right w:val="single" w:sz="8" w:space="0" w:color="auto"/>
            </w:tcBorders>
            <w:shd w:val="clear" w:color="000000" w:fill="FFFFFF"/>
            <w:noWrap/>
            <w:vAlign w:val="center"/>
            <w:hideMark/>
          </w:tcPr>
          <w:p w14:paraId="679A554B"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7 </w:t>
            </w:r>
          </w:p>
        </w:tc>
      </w:tr>
      <w:tr w:rsidR="0068303E" w:rsidRPr="0068303E" w14:paraId="2E0EB5E2" w14:textId="77777777" w:rsidTr="0068303E">
        <w:trPr>
          <w:trHeight w:val="290"/>
        </w:trPr>
        <w:tc>
          <w:tcPr>
            <w:tcW w:w="3420" w:type="dxa"/>
            <w:tcBorders>
              <w:top w:val="nil"/>
              <w:left w:val="single" w:sz="8" w:space="0" w:color="auto"/>
              <w:bottom w:val="nil"/>
              <w:right w:val="nil"/>
            </w:tcBorders>
            <w:shd w:val="clear" w:color="000000" w:fill="FFFFFF"/>
            <w:noWrap/>
            <w:vAlign w:val="bottom"/>
            <w:hideMark/>
          </w:tcPr>
          <w:p w14:paraId="3E2D475E" w14:textId="77777777" w:rsidR="0068303E" w:rsidRPr="0068303E" w:rsidRDefault="0068303E" w:rsidP="0068303E">
            <w:pPr>
              <w:rPr>
                <w:rFonts w:cs="Arial"/>
                <w:sz w:val="20"/>
                <w:szCs w:val="20"/>
                <w:lang w:eastAsia="en-GB"/>
              </w:rPr>
            </w:pPr>
            <w:r w:rsidRPr="0068303E">
              <w:rPr>
                <w:rFonts w:cs="Arial"/>
                <w:sz w:val="20"/>
                <w:szCs w:val="20"/>
                <w:lang w:eastAsia="en-GB"/>
              </w:rPr>
              <w:t>Eden District Council</w:t>
            </w:r>
          </w:p>
        </w:tc>
        <w:tc>
          <w:tcPr>
            <w:tcW w:w="1106" w:type="dxa"/>
            <w:tcBorders>
              <w:top w:val="nil"/>
              <w:left w:val="nil"/>
              <w:bottom w:val="nil"/>
              <w:right w:val="nil"/>
            </w:tcBorders>
            <w:shd w:val="clear" w:color="000000" w:fill="FFFFFF"/>
            <w:noWrap/>
            <w:vAlign w:val="center"/>
            <w:hideMark/>
          </w:tcPr>
          <w:p w14:paraId="6A17A901"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30 </w:t>
            </w:r>
          </w:p>
        </w:tc>
        <w:tc>
          <w:tcPr>
            <w:tcW w:w="1067" w:type="dxa"/>
            <w:tcBorders>
              <w:top w:val="nil"/>
              <w:left w:val="nil"/>
              <w:bottom w:val="nil"/>
              <w:right w:val="nil"/>
            </w:tcBorders>
            <w:shd w:val="clear" w:color="000000" w:fill="FFFFFF"/>
            <w:noWrap/>
            <w:vAlign w:val="center"/>
            <w:hideMark/>
          </w:tcPr>
          <w:p w14:paraId="28BB6C9F"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1 </w:t>
            </w:r>
          </w:p>
        </w:tc>
        <w:tc>
          <w:tcPr>
            <w:tcW w:w="960" w:type="dxa"/>
            <w:tcBorders>
              <w:top w:val="nil"/>
              <w:left w:val="nil"/>
              <w:bottom w:val="nil"/>
              <w:right w:val="nil"/>
            </w:tcBorders>
            <w:shd w:val="clear" w:color="000000" w:fill="FFFFFF"/>
            <w:noWrap/>
            <w:vAlign w:val="center"/>
            <w:hideMark/>
          </w:tcPr>
          <w:p w14:paraId="3942E0C3"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0 </w:t>
            </w:r>
          </w:p>
        </w:tc>
        <w:tc>
          <w:tcPr>
            <w:tcW w:w="960" w:type="dxa"/>
            <w:tcBorders>
              <w:top w:val="nil"/>
              <w:left w:val="nil"/>
              <w:bottom w:val="nil"/>
              <w:right w:val="nil"/>
            </w:tcBorders>
            <w:shd w:val="clear" w:color="000000" w:fill="FFFFFF"/>
            <w:noWrap/>
            <w:vAlign w:val="center"/>
            <w:hideMark/>
          </w:tcPr>
          <w:p w14:paraId="55B559E0"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0 </w:t>
            </w:r>
          </w:p>
        </w:tc>
        <w:tc>
          <w:tcPr>
            <w:tcW w:w="960" w:type="dxa"/>
            <w:tcBorders>
              <w:top w:val="nil"/>
              <w:left w:val="nil"/>
              <w:bottom w:val="nil"/>
              <w:right w:val="nil"/>
            </w:tcBorders>
            <w:shd w:val="clear" w:color="000000" w:fill="FFFFFF"/>
            <w:noWrap/>
            <w:vAlign w:val="center"/>
            <w:hideMark/>
          </w:tcPr>
          <w:p w14:paraId="2945D9B1"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0 </w:t>
            </w:r>
          </w:p>
        </w:tc>
        <w:tc>
          <w:tcPr>
            <w:tcW w:w="960" w:type="dxa"/>
            <w:tcBorders>
              <w:top w:val="nil"/>
              <w:left w:val="nil"/>
              <w:bottom w:val="nil"/>
              <w:right w:val="single" w:sz="8" w:space="0" w:color="auto"/>
            </w:tcBorders>
            <w:shd w:val="clear" w:color="000000" w:fill="FFFFFF"/>
            <w:noWrap/>
            <w:vAlign w:val="center"/>
            <w:hideMark/>
          </w:tcPr>
          <w:p w14:paraId="77BD23AE"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0 </w:t>
            </w:r>
          </w:p>
        </w:tc>
      </w:tr>
      <w:tr w:rsidR="0068303E" w:rsidRPr="0068303E" w14:paraId="568A60FA" w14:textId="77777777" w:rsidTr="0068303E">
        <w:trPr>
          <w:trHeight w:val="300"/>
        </w:trPr>
        <w:tc>
          <w:tcPr>
            <w:tcW w:w="3420" w:type="dxa"/>
            <w:tcBorders>
              <w:top w:val="nil"/>
              <w:left w:val="single" w:sz="8" w:space="0" w:color="auto"/>
              <w:bottom w:val="nil"/>
              <w:right w:val="nil"/>
            </w:tcBorders>
            <w:shd w:val="clear" w:color="000000" w:fill="FFFFFF"/>
            <w:noWrap/>
            <w:vAlign w:val="bottom"/>
            <w:hideMark/>
          </w:tcPr>
          <w:p w14:paraId="056479B2" w14:textId="77777777" w:rsidR="0068303E" w:rsidRPr="0068303E" w:rsidRDefault="0068303E" w:rsidP="0068303E">
            <w:pPr>
              <w:rPr>
                <w:rFonts w:cs="Arial"/>
                <w:sz w:val="20"/>
                <w:szCs w:val="20"/>
                <w:lang w:eastAsia="en-GB"/>
              </w:rPr>
            </w:pPr>
            <w:r w:rsidRPr="0068303E">
              <w:rPr>
                <w:rFonts w:cs="Arial"/>
                <w:sz w:val="20"/>
                <w:szCs w:val="20"/>
                <w:lang w:eastAsia="en-GB"/>
              </w:rPr>
              <w:t>South Lakeland District Council</w:t>
            </w:r>
          </w:p>
        </w:tc>
        <w:tc>
          <w:tcPr>
            <w:tcW w:w="1106" w:type="dxa"/>
            <w:tcBorders>
              <w:top w:val="nil"/>
              <w:left w:val="nil"/>
              <w:bottom w:val="nil"/>
              <w:right w:val="nil"/>
            </w:tcBorders>
            <w:shd w:val="clear" w:color="000000" w:fill="FFFFFF"/>
            <w:noWrap/>
            <w:vAlign w:val="center"/>
            <w:hideMark/>
          </w:tcPr>
          <w:p w14:paraId="7A9D45ED"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364 </w:t>
            </w:r>
          </w:p>
        </w:tc>
        <w:tc>
          <w:tcPr>
            <w:tcW w:w="1067" w:type="dxa"/>
            <w:tcBorders>
              <w:top w:val="nil"/>
              <w:left w:val="nil"/>
              <w:bottom w:val="nil"/>
              <w:right w:val="nil"/>
            </w:tcBorders>
            <w:shd w:val="clear" w:color="000000" w:fill="FFFFFF"/>
            <w:noWrap/>
            <w:vAlign w:val="center"/>
            <w:hideMark/>
          </w:tcPr>
          <w:p w14:paraId="7E909200"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52 </w:t>
            </w:r>
          </w:p>
        </w:tc>
        <w:tc>
          <w:tcPr>
            <w:tcW w:w="960" w:type="dxa"/>
            <w:tcBorders>
              <w:top w:val="nil"/>
              <w:left w:val="nil"/>
              <w:bottom w:val="nil"/>
              <w:right w:val="nil"/>
            </w:tcBorders>
            <w:shd w:val="clear" w:color="000000" w:fill="FFFFFF"/>
            <w:noWrap/>
            <w:vAlign w:val="center"/>
            <w:hideMark/>
          </w:tcPr>
          <w:p w14:paraId="0B3E026A"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71 </w:t>
            </w:r>
          </w:p>
        </w:tc>
        <w:tc>
          <w:tcPr>
            <w:tcW w:w="960" w:type="dxa"/>
            <w:tcBorders>
              <w:top w:val="nil"/>
              <w:left w:val="nil"/>
              <w:bottom w:val="nil"/>
              <w:right w:val="nil"/>
            </w:tcBorders>
            <w:shd w:val="clear" w:color="000000" w:fill="FFFFFF"/>
            <w:noWrap/>
            <w:vAlign w:val="center"/>
            <w:hideMark/>
          </w:tcPr>
          <w:p w14:paraId="64EF4C16"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0 </w:t>
            </w:r>
          </w:p>
        </w:tc>
        <w:tc>
          <w:tcPr>
            <w:tcW w:w="960" w:type="dxa"/>
            <w:tcBorders>
              <w:top w:val="nil"/>
              <w:left w:val="nil"/>
              <w:bottom w:val="nil"/>
              <w:right w:val="nil"/>
            </w:tcBorders>
            <w:shd w:val="clear" w:color="000000" w:fill="FFFFFF"/>
            <w:noWrap/>
            <w:vAlign w:val="center"/>
            <w:hideMark/>
          </w:tcPr>
          <w:p w14:paraId="4B46CEF1"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0 </w:t>
            </w:r>
          </w:p>
        </w:tc>
        <w:tc>
          <w:tcPr>
            <w:tcW w:w="960" w:type="dxa"/>
            <w:tcBorders>
              <w:top w:val="nil"/>
              <w:left w:val="nil"/>
              <w:bottom w:val="nil"/>
              <w:right w:val="single" w:sz="8" w:space="0" w:color="auto"/>
            </w:tcBorders>
            <w:shd w:val="clear" w:color="000000" w:fill="FFFFFF"/>
            <w:noWrap/>
            <w:vAlign w:val="center"/>
            <w:hideMark/>
          </w:tcPr>
          <w:p w14:paraId="767DE36A" w14:textId="77777777" w:rsidR="0068303E" w:rsidRPr="0068303E" w:rsidRDefault="0068303E" w:rsidP="0068303E">
            <w:pPr>
              <w:jc w:val="right"/>
              <w:rPr>
                <w:rFonts w:cs="Arial"/>
                <w:color w:val="000000"/>
                <w:lang w:eastAsia="en-GB"/>
              </w:rPr>
            </w:pPr>
            <w:r w:rsidRPr="0068303E">
              <w:rPr>
                <w:rFonts w:cs="Arial"/>
                <w:color w:val="000000"/>
                <w:lang w:eastAsia="en-GB"/>
              </w:rPr>
              <w:t xml:space="preserve">14 </w:t>
            </w:r>
          </w:p>
        </w:tc>
      </w:tr>
      <w:tr w:rsidR="0068303E" w:rsidRPr="0068303E" w14:paraId="78E14B91" w14:textId="77777777" w:rsidTr="0068303E">
        <w:trPr>
          <w:trHeight w:val="735"/>
        </w:trPr>
        <w:tc>
          <w:tcPr>
            <w:tcW w:w="3420" w:type="dxa"/>
            <w:tcBorders>
              <w:top w:val="nil"/>
              <w:left w:val="single" w:sz="8" w:space="0" w:color="auto"/>
              <w:bottom w:val="nil"/>
              <w:right w:val="nil"/>
            </w:tcBorders>
            <w:shd w:val="clear" w:color="000000" w:fill="FFFFFF"/>
            <w:noWrap/>
            <w:vAlign w:val="bottom"/>
            <w:hideMark/>
          </w:tcPr>
          <w:p w14:paraId="7471DA16" w14:textId="77777777" w:rsidR="0068303E" w:rsidRPr="0068303E" w:rsidRDefault="0068303E" w:rsidP="0068303E">
            <w:pPr>
              <w:rPr>
                <w:rFonts w:cs="Arial"/>
                <w:sz w:val="20"/>
                <w:szCs w:val="20"/>
                <w:lang w:eastAsia="en-GB"/>
              </w:rPr>
            </w:pPr>
            <w:r w:rsidRPr="0068303E">
              <w:rPr>
                <w:rFonts w:cs="Arial"/>
                <w:sz w:val="20"/>
                <w:szCs w:val="20"/>
                <w:lang w:eastAsia="en-GB"/>
              </w:rPr>
              <w:t>Total</w:t>
            </w:r>
          </w:p>
        </w:tc>
        <w:tc>
          <w:tcPr>
            <w:tcW w:w="1106" w:type="dxa"/>
            <w:tcBorders>
              <w:top w:val="single" w:sz="4" w:space="0" w:color="auto"/>
              <w:left w:val="nil"/>
              <w:bottom w:val="double" w:sz="6" w:space="0" w:color="auto"/>
              <w:right w:val="nil"/>
            </w:tcBorders>
            <w:shd w:val="clear" w:color="000000" w:fill="FFFFFF"/>
            <w:noWrap/>
            <w:vAlign w:val="bottom"/>
            <w:hideMark/>
          </w:tcPr>
          <w:p w14:paraId="4EC873A1" w14:textId="77777777" w:rsidR="0068303E" w:rsidRPr="0068303E" w:rsidRDefault="0068303E" w:rsidP="0068303E">
            <w:pPr>
              <w:jc w:val="right"/>
              <w:rPr>
                <w:rFonts w:cs="Arial"/>
                <w:b/>
                <w:bCs/>
                <w:sz w:val="20"/>
                <w:szCs w:val="20"/>
                <w:lang w:eastAsia="en-GB"/>
              </w:rPr>
            </w:pPr>
            <w:r w:rsidRPr="0068303E">
              <w:rPr>
                <w:rFonts w:cs="Arial"/>
                <w:b/>
                <w:bCs/>
                <w:sz w:val="20"/>
                <w:szCs w:val="20"/>
                <w:lang w:eastAsia="en-GB"/>
              </w:rPr>
              <w:t xml:space="preserve">                                          422 </w:t>
            </w:r>
          </w:p>
        </w:tc>
        <w:tc>
          <w:tcPr>
            <w:tcW w:w="1067" w:type="dxa"/>
            <w:tcBorders>
              <w:top w:val="single" w:sz="4" w:space="0" w:color="auto"/>
              <w:left w:val="nil"/>
              <w:bottom w:val="double" w:sz="6" w:space="0" w:color="auto"/>
              <w:right w:val="nil"/>
            </w:tcBorders>
            <w:shd w:val="clear" w:color="000000" w:fill="FFFFFF"/>
            <w:noWrap/>
            <w:vAlign w:val="bottom"/>
            <w:hideMark/>
          </w:tcPr>
          <w:p w14:paraId="7B08C838" w14:textId="26BD0526" w:rsidR="0068303E" w:rsidRPr="0068303E" w:rsidRDefault="0068303E" w:rsidP="0068303E">
            <w:pPr>
              <w:jc w:val="right"/>
              <w:rPr>
                <w:rFonts w:cs="Arial"/>
                <w:b/>
                <w:bCs/>
                <w:sz w:val="20"/>
                <w:szCs w:val="20"/>
                <w:lang w:eastAsia="en-GB"/>
              </w:rPr>
            </w:pPr>
            <w:r w:rsidRPr="0068303E">
              <w:rPr>
                <w:rFonts w:cs="Arial"/>
                <w:b/>
                <w:bCs/>
                <w:sz w:val="20"/>
                <w:szCs w:val="20"/>
                <w:lang w:eastAsia="en-GB"/>
              </w:rPr>
              <w:t xml:space="preserve">        1</w:t>
            </w:r>
            <w:r w:rsidR="001A6664">
              <w:rPr>
                <w:rFonts w:cs="Arial"/>
                <w:b/>
                <w:bCs/>
                <w:sz w:val="20"/>
                <w:szCs w:val="20"/>
                <w:lang w:eastAsia="en-GB"/>
              </w:rPr>
              <w:t>29</w:t>
            </w:r>
            <w:r w:rsidRPr="0068303E">
              <w:rPr>
                <w:rFonts w:cs="Arial"/>
                <w:b/>
                <w:bCs/>
                <w:sz w:val="20"/>
                <w:szCs w:val="20"/>
                <w:lang w:eastAsia="en-GB"/>
              </w:rPr>
              <w:t xml:space="preserve"> </w:t>
            </w:r>
          </w:p>
        </w:tc>
        <w:tc>
          <w:tcPr>
            <w:tcW w:w="960" w:type="dxa"/>
            <w:tcBorders>
              <w:top w:val="single" w:sz="4" w:space="0" w:color="auto"/>
              <w:left w:val="nil"/>
              <w:bottom w:val="double" w:sz="6" w:space="0" w:color="auto"/>
              <w:right w:val="nil"/>
            </w:tcBorders>
            <w:shd w:val="clear" w:color="000000" w:fill="FFFFFF"/>
            <w:noWrap/>
            <w:vAlign w:val="bottom"/>
            <w:hideMark/>
          </w:tcPr>
          <w:p w14:paraId="1AF5F94B" w14:textId="77777777" w:rsidR="0068303E" w:rsidRPr="0068303E" w:rsidRDefault="0068303E" w:rsidP="0068303E">
            <w:pPr>
              <w:jc w:val="right"/>
              <w:rPr>
                <w:rFonts w:cs="Arial"/>
                <w:b/>
                <w:bCs/>
                <w:sz w:val="20"/>
                <w:szCs w:val="20"/>
                <w:lang w:eastAsia="en-GB"/>
              </w:rPr>
            </w:pPr>
            <w:r w:rsidRPr="0068303E">
              <w:rPr>
                <w:rFonts w:cs="Arial"/>
                <w:b/>
                <w:bCs/>
                <w:sz w:val="20"/>
                <w:szCs w:val="20"/>
                <w:lang w:eastAsia="en-GB"/>
              </w:rPr>
              <w:t xml:space="preserve">        135 </w:t>
            </w:r>
          </w:p>
        </w:tc>
        <w:tc>
          <w:tcPr>
            <w:tcW w:w="960" w:type="dxa"/>
            <w:tcBorders>
              <w:top w:val="single" w:sz="4" w:space="0" w:color="auto"/>
              <w:left w:val="nil"/>
              <w:bottom w:val="double" w:sz="6" w:space="0" w:color="auto"/>
              <w:right w:val="nil"/>
            </w:tcBorders>
            <w:shd w:val="clear" w:color="000000" w:fill="FFFFFF"/>
            <w:noWrap/>
            <w:vAlign w:val="bottom"/>
            <w:hideMark/>
          </w:tcPr>
          <w:p w14:paraId="696969EA" w14:textId="77777777" w:rsidR="0068303E" w:rsidRPr="0068303E" w:rsidRDefault="0068303E" w:rsidP="0068303E">
            <w:pPr>
              <w:jc w:val="right"/>
              <w:rPr>
                <w:rFonts w:cs="Arial"/>
                <w:b/>
                <w:bCs/>
                <w:sz w:val="20"/>
                <w:szCs w:val="20"/>
                <w:lang w:eastAsia="en-GB"/>
              </w:rPr>
            </w:pPr>
            <w:r w:rsidRPr="0068303E">
              <w:rPr>
                <w:rFonts w:cs="Arial"/>
                <w:b/>
                <w:bCs/>
                <w:sz w:val="20"/>
                <w:szCs w:val="20"/>
                <w:lang w:eastAsia="en-GB"/>
              </w:rPr>
              <w:t xml:space="preserve">          -   </w:t>
            </w:r>
          </w:p>
        </w:tc>
        <w:tc>
          <w:tcPr>
            <w:tcW w:w="960" w:type="dxa"/>
            <w:tcBorders>
              <w:top w:val="single" w:sz="4" w:space="0" w:color="auto"/>
              <w:left w:val="nil"/>
              <w:bottom w:val="double" w:sz="6" w:space="0" w:color="auto"/>
              <w:right w:val="nil"/>
            </w:tcBorders>
            <w:shd w:val="clear" w:color="000000" w:fill="FFFFFF"/>
            <w:noWrap/>
            <w:vAlign w:val="bottom"/>
            <w:hideMark/>
          </w:tcPr>
          <w:p w14:paraId="0C1134A4" w14:textId="78466AC4" w:rsidR="0068303E" w:rsidRPr="0068303E" w:rsidRDefault="0068303E" w:rsidP="0068303E">
            <w:pPr>
              <w:jc w:val="right"/>
              <w:rPr>
                <w:rFonts w:cs="Arial"/>
                <w:b/>
                <w:bCs/>
                <w:sz w:val="20"/>
                <w:szCs w:val="20"/>
                <w:lang w:eastAsia="en-GB"/>
              </w:rPr>
            </w:pPr>
            <w:r w:rsidRPr="0068303E">
              <w:rPr>
                <w:rFonts w:cs="Arial"/>
                <w:b/>
                <w:bCs/>
                <w:sz w:val="20"/>
                <w:szCs w:val="20"/>
                <w:lang w:eastAsia="en-GB"/>
              </w:rPr>
              <w:t xml:space="preserve">        2</w:t>
            </w:r>
            <w:r w:rsidR="001A6664">
              <w:rPr>
                <w:rFonts w:cs="Arial"/>
                <w:b/>
                <w:bCs/>
                <w:sz w:val="20"/>
                <w:szCs w:val="20"/>
                <w:lang w:eastAsia="en-GB"/>
              </w:rPr>
              <w:t>66</w:t>
            </w:r>
            <w:r w:rsidRPr="0068303E">
              <w:rPr>
                <w:rFonts w:cs="Arial"/>
                <w:b/>
                <w:bCs/>
                <w:sz w:val="20"/>
                <w:szCs w:val="20"/>
                <w:lang w:eastAsia="en-GB"/>
              </w:rPr>
              <w:t xml:space="preserve"> </w:t>
            </w:r>
          </w:p>
        </w:tc>
        <w:tc>
          <w:tcPr>
            <w:tcW w:w="960" w:type="dxa"/>
            <w:tcBorders>
              <w:top w:val="single" w:sz="4" w:space="0" w:color="auto"/>
              <w:left w:val="nil"/>
              <w:bottom w:val="double" w:sz="6" w:space="0" w:color="auto"/>
              <w:right w:val="single" w:sz="8" w:space="0" w:color="auto"/>
            </w:tcBorders>
            <w:shd w:val="clear" w:color="000000" w:fill="FFFFFF"/>
            <w:noWrap/>
            <w:vAlign w:val="bottom"/>
            <w:hideMark/>
          </w:tcPr>
          <w:p w14:paraId="0B1D2A02" w14:textId="77777777" w:rsidR="0068303E" w:rsidRPr="0068303E" w:rsidRDefault="0068303E" w:rsidP="0068303E">
            <w:pPr>
              <w:jc w:val="right"/>
              <w:rPr>
                <w:rFonts w:cs="Arial"/>
                <w:b/>
                <w:bCs/>
                <w:sz w:val="20"/>
                <w:szCs w:val="20"/>
                <w:lang w:eastAsia="en-GB"/>
              </w:rPr>
            </w:pPr>
            <w:r w:rsidRPr="0068303E">
              <w:rPr>
                <w:rFonts w:cs="Arial"/>
                <w:b/>
                <w:bCs/>
                <w:sz w:val="20"/>
                <w:szCs w:val="20"/>
                <w:lang w:eastAsia="en-GB"/>
              </w:rPr>
              <w:t xml:space="preserve">          22 </w:t>
            </w:r>
          </w:p>
        </w:tc>
      </w:tr>
      <w:tr w:rsidR="0068303E" w:rsidRPr="0068303E" w14:paraId="7C7C7EFD" w14:textId="77777777" w:rsidTr="0068303E">
        <w:trPr>
          <w:trHeight w:val="300"/>
        </w:trPr>
        <w:tc>
          <w:tcPr>
            <w:tcW w:w="3420" w:type="dxa"/>
            <w:tcBorders>
              <w:top w:val="nil"/>
              <w:left w:val="single" w:sz="8" w:space="0" w:color="auto"/>
              <w:bottom w:val="single" w:sz="8" w:space="0" w:color="auto"/>
              <w:right w:val="nil"/>
            </w:tcBorders>
            <w:shd w:val="clear" w:color="000000" w:fill="FFFFFF"/>
            <w:noWrap/>
            <w:vAlign w:val="bottom"/>
            <w:hideMark/>
          </w:tcPr>
          <w:p w14:paraId="761CE665" w14:textId="77777777" w:rsidR="0068303E" w:rsidRPr="0068303E" w:rsidRDefault="0068303E" w:rsidP="0068303E">
            <w:pPr>
              <w:rPr>
                <w:rFonts w:ascii="Calibri" w:hAnsi="Calibri" w:cs="Calibri"/>
                <w:color w:val="000000"/>
                <w:sz w:val="22"/>
                <w:szCs w:val="22"/>
                <w:lang w:eastAsia="en-GB"/>
              </w:rPr>
            </w:pPr>
            <w:r w:rsidRPr="0068303E">
              <w:rPr>
                <w:rFonts w:ascii="Calibri" w:hAnsi="Calibri" w:cs="Calibri"/>
                <w:color w:val="000000"/>
                <w:sz w:val="22"/>
                <w:szCs w:val="22"/>
                <w:lang w:eastAsia="en-GB"/>
              </w:rPr>
              <w:t> </w:t>
            </w:r>
          </w:p>
        </w:tc>
        <w:tc>
          <w:tcPr>
            <w:tcW w:w="1106" w:type="dxa"/>
            <w:tcBorders>
              <w:top w:val="nil"/>
              <w:left w:val="nil"/>
              <w:bottom w:val="single" w:sz="8" w:space="0" w:color="auto"/>
              <w:right w:val="nil"/>
            </w:tcBorders>
            <w:shd w:val="clear" w:color="000000" w:fill="FFFFFF"/>
            <w:noWrap/>
            <w:vAlign w:val="bottom"/>
            <w:hideMark/>
          </w:tcPr>
          <w:p w14:paraId="4DBFA01C" w14:textId="77777777" w:rsidR="0068303E" w:rsidRPr="0068303E" w:rsidRDefault="0068303E" w:rsidP="0068303E">
            <w:pPr>
              <w:rPr>
                <w:rFonts w:ascii="Calibri" w:hAnsi="Calibri" w:cs="Calibri"/>
                <w:color w:val="000000"/>
                <w:sz w:val="22"/>
                <w:szCs w:val="22"/>
                <w:lang w:eastAsia="en-GB"/>
              </w:rPr>
            </w:pPr>
            <w:r w:rsidRPr="0068303E">
              <w:rPr>
                <w:rFonts w:ascii="Calibri" w:hAnsi="Calibri" w:cs="Calibri"/>
                <w:color w:val="000000"/>
                <w:sz w:val="22"/>
                <w:szCs w:val="22"/>
                <w:lang w:eastAsia="en-GB"/>
              </w:rPr>
              <w:t> </w:t>
            </w:r>
          </w:p>
        </w:tc>
        <w:tc>
          <w:tcPr>
            <w:tcW w:w="1067" w:type="dxa"/>
            <w:tcBorders>
              <w:top w:val="nil"/>
              <w:left w:val="nil"/>
              <w:bottom w:val="single" w:sz="8" w:space="0" w:color="auto"/>
              <w:right w:val="nil"/>
            </w:tcBorders>
            <w:shd w:val="clear" w:color="000000" w:fill="FFFFFF"/>
            <w:noWrap/>
            <w:vAlign w:val="bottom"/>
            <w:hideMark/>
          </w:tcPr>
          <w:p w14:paraId="4B6E2FE8" w14:textId="77777777" w:rsidR="0068303E" w:rsidRPr="0068303E" w:rsidRDefault="0068303E" w:rsidP="0068303E">
            <w:pPr>
              <w:rPr>
                <w:rFonts w:ascii="Calibri" w:hAnsi="Calibri" w:cs="Calibri"/>
                <w:color w:val="000000"/>
                <w:sz w:val="22"/>
                <w:szCs w:val="22"/>
                <w:lang w:eastAsia="en-GB"/>
              </w:rPr>
            </w:pPr>
            <w:r w:rsidRPr="0068303E">
              <w:rPr>
                <w:rFonts w:ascii="Calibri" w:hAnsi="Calibri" w:cs="Calibri"/>
                <w:color w:val="000000"/>
                <w:sz w:val="22"/>
                <w:szCs w:val="22"/>
                <w:lang w:eastAsia="en-GB"/>
              </w:rPr>
              <w:t> </w:t>
            </w:r>
          </w:p>
        </w:tc>
        <w:tc>
          <w:tcPr>
            <w:tcW w:w="960" w:type="dxa"/>
            <w:tcBorders>
              <w:top w:val="nil"/>
              <w:left w:val="nil"/>
              <w:bottom w:val="single" w:sz="8" w:space="0" w:color="auto"/>
              <w:right w:val="nil"/>
            </w:tcBorders>
            <w:shd w:val="clear" w:color="000000" w:fill="FFFFFF"/>
            <w:noWrap/>
            <w:vAlign w:val="bottom"/>
            <w:hideMark/>
          </w:tcPr>
          <w:p w14:paraId="5D30BA09" w14:textId="77777777" w:rsidR="0068303E" w:rsidRPr="0068303E" w:rsidRDefault="0068303E" w:rsidP="0068303E">
            <w:pPr>
              <w:rPr>
                <w:rFonts w:ascii="Calibri" w:hAnsi="Calibri" w:cs="Calibri"/>
                <w:color w:val="000000"/>
                <w:sz w:val="22"/>
                <w:szCs w:val="22"/>
                <w:lang w:eastAsia="en-GB"/>
              </w:rPr>
            </w:pPr>
            <w:r w:rsidRPr="0068303E">
              <w:rPr>
                <w:rFonts w:ascii="Calibri" w:hAnsi="Calibri" w:cs="Calibri"/>
                <w:color w:val="000000"/>
                <w:sz w:val="22"/>
                <w:szCs w:val="22"/>
                <w:lang w:eastAsia="en-GB"/>
              </w:rPr>
              <w:t> </w:t>
            </w:r>
          </w:p>
        </w:tc>
        <w:tc>
          <w:tcPr>
            <w:tcW w:w="960" w:type="dxa"/>
            <w:tcBorders>
              <w:top w:val="nil"/>
              <w:left w:val="nil"/>
              <w:bottom w:val="single" w:sz="8" w:space="0" w:color="auto"/>
              <w:right w:val="nil"/>
            </w:tcBorders>
            <w:shd w:val="clear" w:color="000000" w:fill="FFFFFF"/>
            <w:noWrap/>
            <w:vAlign w:val="bottom"/>
            <w:hideMark/>
          </w:tcPr>
          <w:p w14:paraId="315DD48C" w14:textId="77777777" w:rsidR="0068303E" w:rsidRPr="0068303E" w:rsidRDefault="0068303E" w:rsidP="0068303E">
            <w:pPr>
              <w:rPr>
                <w:rFonts w:ascii="Calibri" w:hAnsi="Calibri" w:cs="Calibri"/>
                <w:color w:val="000000"/>
                <w:sz w:val="22"/>
                <w:szCs w:val="22"/>
                <w:lang w:eastAsia="en-GB"/>
              </w:rPr>
            </w:pPr>
            <w:r w:rsidRPr="0068303E">
              <w:rPr>
                <w:rFonts w:ascii="Calibri" w:hAnsi="Calibri" w:cs="Calibri"/>
                <w:color w:val="000000"/>
                <w:sz w:val="22"/>
                <w:szCs w:val="22"/>
                <w:lang w:eastAsia="en-GB"/>
              </w:rPr>
              <w:t> </w:t>
            </w:r>
          </w:p>
        </w:tc>
        <w:tc>
          <w:tcPr>
            <w:tcW w:w="960" w:type="dxa"/>
            <w:tcBorders>
              <w:top w:val="nil"/>
              <w:left w:val="nil"/>
              <w:bottom w:val="single" w:sz="8" w:space="0" w:color="auto"/>
              <w:right w:val="nil"/>
            </w:tcBorders>
            <w:shd w:val="clear" w:color="000000" w:fill="FFFFFF"/>
            <w:noWrap/>
            <w:vAlign w:val="bottom"/>
            <w:hideMark/>
          </w:tcPr>
          <w:p w14:paraId="77AFBA33" w14:textId="77777777" w:rsidR="0068303E" w:rsidRPr="0068303E" w:rsidRDefault="0068303E" w:rsidP="0068303E">
            <w:pPr>
              <w:rPr>
                <w:rFonts w:ascii="Calibri" w:hAnsi="Calibri" w:cs="Calibri"/>
                <w:color w:val="000000"/>
                <w:sz w:val="22"/>
                <w:szCs w:val="22"/>
                <w:lang w:eastAsia="en-GB"/>
              </w:rPr>
            </w:pPr>
            <w:r w:rsidRPr="0068303E">
              <w:rPr>
                <w:rFonts w:ascii="Calibri" w:hAnsi="Calibri" w:cs="Calibri"/>
                <w:color w:val="000000"/>
                <w:sz w:val="22"/>
                <w:szCs w:val="22"/>
                <w:lang w:eastAsia="en-GB"/>
              </w:rPr>
              <w:t> </w:t>
            </w:r>
          </w:p>
        </w:tc>
        <w:tc>
          <w:tcPr>
            <w:tcW w:w="960" w:type="dxa"/>
            <w:tcBorders>
              <w:top w:val="nil"/>
              <w:left w:val="nil"/>
              <w:bottom w:val="single" w:sz="8" w:space="0" w:color="auto"/>
              <w:right w:val="single" w:sz="8" w:space="0" w:color="auto"/>
            </w:tcBorders>
            <w:shd w:val="clear" w:color="000000" w:fill="FFFFFF"/>
            <w:noWrap/>
            <w:vAlign w:val="bottom"/>
            <w:hideMark/>
          </w:tcPr>
          <w:p w14:paraId="2B873156" w14:textId="77777777" w:rsidR="0068303E" w:rsidRPr="0068303E" w:rsidRDefault="0068303E" w:rsidP="0068303E">
            <w:pPr>
              <w:rPr>
                <w:rFonts w:ascii="Calibri" w:hAnsi="Calibri" w:cs="Calibri"/>
                <w:color w:val="000000"/>
                <w:sz w:val="22"/>
                <w:szCs w:val="22"/>
                <w:lang w:eastAsia="en-GB"/>
              </w:rPr>
            </w:pPr>
            <w:r w:rsidRPr="0068303E">
              <w:rPr>
                <w:rFonts w:ascii="Calibri" w:hAnsi="Calibri" w:cs="Calibri"/>
                <w:color w:val="000000"/>
                <w:sz w:val="22"/>
                <w:szCs w:val="22"/>
                <w:lang w:eastAsia="en-GB"/>
              </w:rPr>
              <w:t> </w:t>
            </w:r>
          </w:p>
        </w:tc>
      </w:tr>
    </w:tbl>
    <w:p w14:paraId="485A467B" w14:textId="567742AF" w:rsidR="004D2050" w:rsidRPr="004D5CA8" w:rsidRDefault="004D2050" w:rsidP="002C4277">
      <w:pPr>
        <w:spacing w:before="60" w:after="60" w:line="240" w:lineRule="atLeast"/>
        <w:jc w:val="center"/>
        <w:rPr>
          <w:highlight w:val="yellow"/>
        </w:rPr>
      </w:pPr>
    </w:p>
    <w:p w14:paraId="485A467C" w14:textId="26F737D7" w:rsidR="00B10E2F" w:rsidRPr="0068303E" w:rsidRDefault="001B30C6" w:rsidP="006D2EED">
      <w:pPr>
        <w:pStyle w:val="BodyTextIndent"/>
        <w:spacing w:before="60" w:after="60" w:line="240" w:lineRule="atLeast"/>
        <w:ind w:left="0" w:firstLine="720"/>
        <w:rPr>
          <w:sz w:val="22"/>
        </w:rPr>
      </w:pPr>
      <w:r w:rsidRPr="0068303E">
        <w:t>Comparative figu</w:t>
      </w:r>
      <w:r w:rsidR="004E110A" w:rsidRPr="0068303E">
        <w:t>res for 20</w:t>
      </w:r>
      <w:r w:rsidR="004817B7" w:rsidRPr="0068303E">
        <w:t>2</w:t>
      </w:r>
      <w:r w:rsidR="0068303E" w:rsidRPr="0068303E">
        <w:t>1</w:t>
      </w:r>
      <w:r w:rsidR="00627253" w:rsidRPr="0068303E">
        <w:t>/</w:t>
      </w:r>
      <w:r w:rsidR="009D7DFF" w:rsidRPr="0068303E">
        <w:t>2</w:t>
      </w:r>
      <w:r w:rsidR="0068303E" w:rsidRPr="0068303E">
        <w:t>2</w:t>
      </w:r>
      <w:r w:rsidR="00B10E2F" w:rsidRPr="0068303E">
        <w:t xml:space="preserve"> are shown below:</w:t>
      </w:r>
    </w:p>
    <w:p w14:paraId="485A467D" w14:textId="237F5F3E" w:rsidR="00B10E2F" w:rsidRPr="0068303E" w:rsidRDefault="0068303E" w:rsidP="006D2EED">
      <w:r w:rsidRPr="0068303E">
        <w:rPr>
          <w:noProof/>
        </w:rPr>
        <w:drawing>
          <wp:inline distT="0" distB="0" distL="0" distR="0" wp14:anchorId="6875A244" wp14:editId="1C3C6C78">
            <wp:extent cx="6106795" cy="2265045"/>
            <wp:effectExtent l="0" t="0" r="825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6795" cy="2265045"/>
                    </a:xfrm>
                    <a:prstGeom prst="rect">
                      <a:avLst/>
                    </a:prstGeom>
                    <a:noFill/>
                    <a:ln>
                      <a:noFill/>
                    </a:ln>
                  </pic:spPr>
                </pic:pic>
              </a:graphicData>
            </a:graphic>
          </wp:inline>
        </w:drawing>
      </w:r>
    </w:p>
    <w:p w14:paraId="485A467E" w14:textId="71888BE4" w:rsidR="009B57AB" w:rsidRPr="004D5CA8" w:rsidRDefault="009B57AB" w:rsidP="005C4E2E">
      <w:pPr>
        <w:jc w:val="center"/>
        <w:rPr>
          <w:highlight w:val="yellow"/>
        </w:rPr>
      </w:pPr>
      <w:bookmarkStart w:id="35" w:name="_MON_1558613038"/>
      <w:bookmarkEnd w:id="35"/>
    </w:p>
    <w:p w14:paraId="485A467F" w14:textId="77777777" w:rsidR="004D60E8" w:rsidRPr="004D5CA8" w:rsidRDefault="004D60E8" w:rsidP="006D2EED">
      <w:pPr>
        <w:ind w:left="1800"/>
        <w:rPr>
          <w:sz w:val="22"/>
          <w:highlight w:val="yellow"/>
        </w:rPr>
      </w:pPr>
    </w:p>
    <w:p w14:paraId="485A4680" w14:textId="2C266596" w:rsidR="00BC5EE1" w:rsidRDefault="009E61AE" w:rsidP="0082644A">
      <w:pPr>
        <w:ind w:left="720"/>
      </w:pPr>
      <w:r w:rsidRPr="00F71FFB">
        <w:rPr>
          <w:b/>
        </w:rPr>
        <w:t>Officers</w:t>
      </w:r>
      <w:r w:rsidR="00A311C9" w:rsidRPr="00F71FFB">
        <w:t xml:space="preserve"> - </w:t>
      </w:r>
      <w:r w:rsidR="008B7C4E" w:rsidRPr="00F71FFB">
        <w:t xml:space="preserve">the Authority’s </w:t>
      </w:r>
      <w:r w:rsidR="00F71FFB" w:rsidRPr="00F71FFB">
        <w:t xml:space="preserve">senior </w:t>
      </w:r>
      <w:r w:rsidR="003A0FC0" w:rsidRPr="00F71FFB">
        <w:t>managers</w:t>
      </w:r>
      <w:r w:rsidRPr="00F71FFB">
        <w:t xml:space="preserve"> were asked to declare any direct financial relationship </w:t>
      </w:r>
      <w:r w:rsidR="00061E49" w:rsidRPr="00F71FFB">
        <w:t xml:space="preserve">with the Authority </w:t>
      </w:r>
      <w:r w:rsidRPr="00F71FFB">
        <w:t xml:space="preserve">through outside bodies or companies </w:t>
      </w:r>
      <w:r w:rsidR="009D7DF1" w:rsidRPr="00F71FFB">
        <w:t xml:space="preserve">for the financial year </w:t>
      </w:r>
      <w:r w:rsidR="00627253" w:rsidRPr="00F71FFB">
        <w:t>20</w:t>
      </w:r>
      <w:r w:rsidR="009D7DFF" w:rsidRPr="00F71FFB">
        <w:t>2</w:t>
      </w:r>
      <w:r w:rsidR="00F71FFB" w:rsidRPr="00F71FFB">
        <w:t>2</w:t>
      </w:r>
      <w:r w:rsidR="00EE7546" w:rsidRPr="00F71FFB">
        <w:t>/2</w:t>
      </w:r>
      <w:r w:rsidR="00F71FFB" w:rsidRPr="00F71FFB">
        <w:t>3</w:t>
      </w:r>
      <w:r w:rsidRPr="00F71FFB">
        <w:t xml:space="preserve">. </w:t>
      </w:r>
      <w:r w:rsidR="004D60E8" w:rsidRPr="00F71FFB">
        <w:t xml:space="preserve">The Authority’s Chief Executive Officer </w:t>
      </w:r>
      <w:r w:rsidR="002C4277" w:rsidRPr="00F71FFB">
        <w:t>is a</w:t>
      </w:r>
      <w:r w:rsidR="002A4633" w:rsidRPr="00F71FFB">
        <w:t xml:space="preserve"> trustee of </w:t>
      </w:r>
      <w:r w:rsidR="00C44B5E" w:rsidRPr="00F71FFB">
        <w:t>the Lake District Foundation</w:t>
      </w:r>
      <w:r w:rsidR="00921A7E" w:rsidRPr="00F71FFB">
        <w:t>.  T</w:t>
      </w:r>
      <w:r w:rsidR="00E16E4C" w:rsidRPr="00F71FFB">
        <w:t xml:space="preserve">he Director of </w:t>
      </w:r>
      <w:r w:rsidR="00F71FFB" w:rsidRPr="00F71FFB">
        <w:t>Visitor Services and Resources</w:t>
      </w:r>
      <w:r w:rsidR="009D7DF1" w:rsidRPr="00F71FFB">
        <w:t xml:space="preserve"> is on the</w:t>
      </w:r>
      <w:r w:rsidR="00921A7E" w:rsidRPr="00F71FFB">
        <w:t xml:space="preserve"> Cumbria County Council Pensions Board</w:t>
      </w:r>
      <w:r w:rsidR="00F71FFB" w:rsidRPr="00F71FFB">
        <w:t>.</w:t>
      </w:r>
      <w:r w:rsidR="00522992" w:rsidRPr="00F71FFB">
        <w:t xml:space="preserve">  Details of the Authority’s transactions with these organisations in 202</w:t>
      </w:r>
      <w:r w:rsidR="00F71FFB" w:rsidRPr="00F71FFB">
        <w:t>2</w:t>
      </w:r>
      <w:r w:rsidR="00522992" w:rsidRPr="00F71FFB">
        <w:t>/2</w:t>
      </w:r>
      <w:r w:rsidR="00F71FFB" w:rsidRPr="00F71FFB">
        <w:t>3</w:t>
      </w:r>
      <w:r w:rsidR="00522992" w:rsidRPr="00F71FFB">
        <w:t xml:space="preserve"> are listed in the table below.</w:t>
      </w:r>
      <w:r w:rsidR="00E673B0" w:rsidRPr="00F71FFB">
        <w:t xml:space="preserve"> </w:t>
      </w:r>
      <w:r w:rsidR="00B8323D" w:rsidRPr="00F71FFB">
        <w:t>A small number of other non-material declarations were made by other Officers</w:t>
      </w:r>
      <w:r w:rsidR="00D80B41" w:rsidRPr="00F71FFB">
        <w:t>.</w:t>
      </w:r>
    </w:p>
    <w:p w14:paraId="5BE5BD6F" w14:textId="77777777" w:rsidR="0082644A" w:rsidRDefault="0082644A" w:rsidP="0082644A"/>
    <w:p w14:paraId="2034BEBA" w14:textId="77777777" w:rsidR="0082644A" w:rsidRDefault="0082644A" w:rsidP="0082644A"/>
    <w:p w14:paraId="7EC81F6D" w14:textId="77777777" w:rsidR="0082644A" w:rsidRDefault="0082644A" w:rsidP="0082644A"/>
    <w:p w14:paraId="3B2F99BD" w14:textId="77777777" w:rsidR="0082644A" w:rsidRDefault="0082644A" w:rsidP="0082644A"/>
    <w:p w14:paraId="58F9BCC8" w14:textId="77777777" w:rsidR="0082644A" w:rsidRDefault="0082644A" w:rsidP="0082644A"/>
    <w:p w14:paraId="588EF3B5" w14:textId="77777777" w:rsidR="0082644A" w:rsidRDefault="0082644A" w:rsidP="0082644A"/>
    <w:p w14:paraId="4853C118" w14:textId="77777777" w:rsidR="0082644A" w:rsidRDefault="0082644A" w:rsidP="0082644A"/>
    <w:p w14:paraId="0094A3A0" w14:textId="77777777" w:rsidR="0082644A" w:rsidRDefault="0082644A" w:rsidP="0082644A"/>
    <w:p w14:paraId="347818EB" w14:textId="77777777" w:rsidR="0082644A" w:rsidRDefault="0082644A" w:rsidP="0082644A"/>
    <w:p w14:paraId="5DF4FDC0" w14:textId="77777777" w:rsidR="0082644A" w:rsidRDefault="0082644A" w:rsidP="0082644A"/>
    <w:p w14:paraId="10613F1D" w14:textId="77777777" w:rsidR="0082644A" w:rsidRPr="00F71FFB" w:rsidRDefault="0082644A" w:rsidP="0082644A"/>
    <w:p w14:paraId="485A4681" w14:textId="77777777" w:rsidR="00BC5EE1" w:rsidRDefault="00BC5EE1" w:rsidP="006D2EED">
      <w:pPr>
        <w:rPr>
          <w:highlight w:val="yellow"/>
        </w:rPr>
      </w:pPr>
    </w:p>
    <w:tbl>
      <w:tblPr>
        <w:tblW w:w="9629" w:type="dxa"/>
        <w:tblLook w:val="04A0" w:firstRow="1" w:lastRow="0" w:firstColumn="1" w:lastColumn="0" w:noHBand="0" w:noVBand="1"/>
      </w:tblPr>
      <w:tblGrid>
        <w:gridCol w:w="4513"/>
        <w:gridCol w:w="1067"/>
        <w:gridCol w:w="960"/>
        <w:gridCol w:w="3089"/>
      </w:tblGrid>
      <w:tr w:rsidR="00F71FFB" w:rsidRPr="00F71FFB" w14:paraId="1773386F" w14:textId="77777777" w:rsidTr="008F5F09">
        <w:trPr>
          <w:trHeight w:val="460"/>
        </w:trPr>
        <w:tc>
          <w:tcPr>
            <w:tcW w:w="4513" w:type="dxa"/>
            <w:tcBorders>
              <w:top w:val="single" w:sz="4" w:space="0" w:color="auto"/>
              <w:left w:val="single" w:sz="4" w:space="0" w:color="auto"/>
              <w:bottom w:val="nil"/>
              <w:right w:val="single" w:sz="4" w:space="0" w:color="auto"/>
            </w:tcBorders>
            <w:shd w:val="clear" w:color="000000" w:fill="000000"/>
            <w:vAlign w:val="center"/>
            <w:hideMark/>
          </w:tcPr>
          <w:p w14:paraId="1074C783" w14:textId="77777777" w:rsidR="00F71FFB" w:rsidRPr="00F71FFB" w:rsidRDefault="00F71FFB" w:rsidP="00F71FFB">
            <w:pPr>
              <w:jc w:val="center"/>
              <w:rPr>
                <w:rFonts w:cs="Arial"/>
                <w:b/>
                <w:bCs/>
                <w:color w:val="FFFFFF"/>
                <w:sz w:val="18"/>
                <w:szCs w:val="18"/>
                <w:lang w:eastAsia="en-GB"/>
              </w:rPr>
            </w:pPr>
            <w:r w:rsidRPr="00F71FFB">
              <w:rPr>
                <w:rFonts w:cs="Arial"/>
                <w:b/>
                <w:bCs/>
                <w:color w:val="FFFFFF"/>
                <w:sz w:val="18"/>
                <w:szCs w:val="18"/>
                <w:lang w:eastAsia="en-GB"/>
              </w:rPr>
              <w:lastRenderedPageBreak/>
              <w:t>Related Party</w:t>
            </w:r>
          </w:p>
        </w:tc>
        <w:tc>
          <w:tcPr>
            <w:tcW w:w="1067" w:type="dxa"/>
            <w:tcBorders>
              <w:top w:val="single" w:sz="4" w:space="0" w:color="auto"/>
              <w:left w:val="single" w:sz="4" w:space="0" w:color="auto"/>
              <w:bottom w:val="nil"/>
              <w:right w:val="single" w:sz="4" w:space="0" w:color="auto"/>
            </w:tcBorders>
            <w:shd w:val="clear" w:color="000000" w:fill="000000"/>
            <w:vAlign w:val="center"/>
            <w:hideMark/>
          </w:tcPr>
          <w:p w14:paraId="6B1695F3" w14:textId="77777777" w:rsidR="00F71FFB" w:rsidRPr="00F71FFB" w:rsidRDefault="00F71FFB" w:rsidP="00F71FFB">
            <w:pPr>
              <w:jc w:val="center"/>
              <w:rPr>
                <w:rFonts w:cs="Arial"/>
                <w:b/>
                <w:bCs/>
                <w:color w:val="FFFFFF"/>
                <w:sz w:val="18"/>
                <w:szCs w:val="18"/>
                <w:lang w:eastAsia="en-GB"/>
              </w:rPr>
            </w:pPr>
            <w:r w:rsidRPr="00F71FFB">
              <w:rPr>
                <w:rFonts w:cs="Arial"/>
                <w:b/>
                <w:bCs/>
                <w:color w:val="FFFFFF"/>
                <w:sz w:val="18"/>
                <w:szCs w:val="18"/>
                <w:lang w:eastAsia="en-GB"/>
              </w:rPr>
              <w:t>Payments</w:t>
            </w:r>
          </w:p>
        </w:tc>
        <w:tc>
          <w:tcPr>
            <w:tcW w:w="960" w:type="dxa"/>
            <w:tcBorders>
              <w:top w:val="single" w:sz="4" w:space="0" w:color="auto"/>
              <w:left w:val="single" w:sz="4" w:space="0" w:color="auto"/>
              <w:bottom w:val="nil"/>
              <w:right w:val="single" w:sz="4" w:space="0" w:color="auto"/>
            </w:tcBorders>
            <w:shd w:val="clear" w:color="000000" w:fill="000000"/>
            <w:vAlign w:val="center"/>
            <w:hideMark/>
          </w:tcPr>
          <w:p w14:paraId="5C836F4E" w14:textId="77777777" w:rsidR="00F71FFB" w:rsidRPr="00F71FFB" w:rsidRDefault="00F71FFB" w:rsidP="00F71FFB">
            <w:pPr>
              <w:jc w:val="center"/>
              <w:rPr>
                <w:rFonts w:cs="Arial"/>
                <w:b/>
                <w:bCs/>
                <w:color w:val="FFFFFF"/>
                <w:sz w:val="18"/>
                <w:szCs w:val="18"/>
                <w:lang w:eastAsia="en-GB"/>
              </w:rPr>
            </w:pPr>
            <w:r w:rsidRPr="00F71FFB">
              <w:rPr>
                <w:rFonts w:cs="Arial"/>
                <w:b/>
                <w:bCs/>
                <w:color w:val="FFFFFF"/>
                <w:sz w:val="18"/>
                <w:szCs w:val="18"/>
                <w:lang w:eastAsia="en-GB"/>
              </w:rPr>
              <w:t>Income</w:t>
            </w:r>
          </w:p>
        </w:tc>
        <w:tc>
          <w:tcPr>
            <w:tcW w:w="3089" w:type="dxa"/>
            <w:tcBorders>
              <w:top w:val="single" w:sz="4" w:space="0" w:color="auto"/>
              <w:left w:val="nil"/>
              <w:bottom w:val="nil"/>
              <w:right w:val="single" w:sz="4" w:space="0" w:color="auto"/>
            </w:tcBorders>
            <w:shd w:val="clear" w:color="000000" w:fill="000000"/>
            <w:vAlign w:val="center"/>
            <w:hideMark/>
          </w:tcPr>
          <w:p w14:paraId="3951F00F" w14:textId="77777777" w:rsidR="00F71FFB" w:rsidRPr="00F71FFB" w:rsidRDefault="00F71FFB" w:rsidP="00F71FFB">
            <w:pPr>
              <w:jc w:val="center"/>
              <w:rPr>
                <w:rFonts w:cs="Arial"/>
                <w:b/>
                <w:bCs/>
                <w:color w:val="FFFFFF"/>
                <w:sz w:val="18"/>
                <w:szCs w:val="18"/>
                <w:lang w:eastAsia="en-GB"/>
              </w:rPr>
            </w:pPr>
            <w:r w:rsidRPr="00F71FFB">
              <w:rPr>
                <w:rFonts w:cs="Arial"/>
                <w:b/>
                <w:bCs/>
                <w:color w:val="FFFFFF"/>
                <w:sz w:val="18"/>
                <w:szCs w:val="18"/>
                <w:lang w:eastAsia="en-GB"/>
              </w:rPr>
              <w:t>Payment details include</w:t>
            </w:r>
          </w:p>
        </w:tc>
      </w:tr>
      <w:tr w:rsidR="00F71FFB" w:rsidRPr="00F71FFB" w14:paraId="35545890" w14:textId="77777777" w:rsidTr="008F5F09">
        <w:trPr>
          <w:trHeight w:val="233"/>
        </w:trPr>
        <w:tc>
          <w:tcPr>
            <w:tcW w:w="4513" w:type="dxa"/>
            <w:tcBorders>
              <w:top w:val="nil"/>
              <w:left w:val="single" w:sz="4" w:space="0" w:color="auto"/>
              <w:bottom w:val="single" w:sz="4" w:space="0" w:color="auto"/>
              <w:right w:val="single" w:sz="4" w:space="0" w:color="auto"/>
            </w:tcBorders>
            <w:shd w:val="clear" w:color="000000" w:fill="000000"/>
            <w:noWrap/>
            <w:vAlign w:val="center"/>
            <w:hideMark/>
          </w:tcPr>
          <w:p w14:paraId="3A48AAA7" w14:textId="77777777" w:rsidR="00F71FFB" w:rsidRPr="00F71FFB" w:rsidRDefault="00F71FFB" w:rsidP="00F71FFB">
            <w:pPr>
              <w:rPr>
                <w:rFonts w:ascii="Calibri" w:hAnsi="Calibri" w:cs="Calibri"/>
                <w:color w:val="000000"/>
                <w:sz w:val="22"/>
                <w:szCs w:val="22"/>
                <w:lang w:eastAsia="en-GB"/>
              </w:rPr>
            </w:pPr>
            <w:r w:rsidRPr="00F71FFB">
              <w:rPr>
                <w:rFonts w:ascii="Calibri" w:hAnsi="Calibri" w:cs="Calibri"/>
                <w:color w:val="000000"/>
                <w:sz w:val="22"/>
                <w:szCs w:val="22"/>
                <w:lang w:eastAsia="en-GB"/>
              </w:rPr>
              <w:t> </w:t>
            </w:r>
          </w:p>
        </w:tc>
        <w:tc>
          <w:tcPr>
            <w:tcW w:w="1067" w:type="dxa"/>
            <w:tcBorders>
              <w:top w:val="nil"/>
              <w:left w:val="single" w:sz="4" w:space="0" w:color="auto"/>
              <w:bottom w:val="single" w:sz="4" w:space="0" w:color="auto"/>
              <w:right w:val="single" w:sz="4" w:space="0" w:color="auto"/>
            </w:tcBorders>
            <w:shd w:val="clear" w:color="000000" w:fill="000000"/>
            <w:noWrap/>
            <w:vAlign w:val="center"/>
            <w:hideMark/>
          </w:tcPr>
          <w:p w14:paraId="10C7A894" w14:textId="77777777" w:rsidR="00F71FFB" w:rsidRPr="00F71FFB" w:rsidRDefault="00F71FFB" w:rsidP="00F71FFB">
            <w:pPr>
              <w:jc w:val="center"/>
              <w:rPr>
                <w:rFonts w:cs="Arial"/>
                <w:b/>
                <w:bCs/>
                <w:color w:val="FFFFFF"/>
                <w:sz w:val="18"/>
                <w:szCs w:val="18"/>
                <w:lang w:eastAsia="en-GB"/>
              </w:rPr>
            </w:pPr>
            <w:r w:rsidRPr="00F71FFB">
              <w:rPr>
                <w:rFonts w:cs="Arial"/>
                <w:b/>
                <w:bCs/>
                <w:color w:val="FFFFFF"/>
                <w:sz w:val="18"/>
                <w:szCs w:val="18"/>
                <w:lang w:eastAsia="en-GB"/>
              </w:rPr>
              <w:t>£000</w:t>
            </w:r>
          </w:p>
        </w:tc>
        <w:tc>
          <w:tcPr>
            <w:tcW w:w="960" w:type="dxa"/>
            <w:tcBorders>
              <w:top w:val="nil"/>
              <w:left w:val="single" w:sz="4" w:space="0" w:color="auto"/>
              <w:bottom w:val="single" w:sz="4" w:space="0" w:color="auto"/>
              <w:right w:val="single" w:sz="4" w:space="0" w:color="auto"/>
            </w:tcBorders>
            <w:shd w:val="clear" w:color="000000" w:fill="000000"/>
            <w:noWrap/>
            <w:vAlign w:val="center"/>
            <w:hideMark/>
          </w:tcPr>
          <w:p w14:paraId="569AFC6C" w14:textId="77777777" w:rsidR="00F71FFB" w:rsidRPr="00F71FFB" w:rsidRDefault="00F71FFB" w:rsidP="00F71FFB">
            <w:pPr>
              <w:jc w:val="center"/>
              <w:rPr>
                <w:rFonts w:cs="Arial"/>
                <w:b/>
                <w:bCs/>
                <w:color w:val="FFFFFF"/>
                <w:sz w:val="18"/>
                <w:szCs w:val="18"/>
                <w:lang w:eastAsia="en-GB"/>
              </w:rPr>
            </w:pPr>
            <w:r w:rsidRPr="00F71FFB">
              <w:rPr>
                <w:rFonts w:cs="Arial"/>
                <w:b/>
                <w:bCs/>
                <w:color w:val="FFFFFF"/>
                <w:sz w:val="18"/>
                <w:szCs w:val="18"/>
                <w:lang w:eastAsia="en-GB"/>
              </w:rPr>
              <w:t>£000</w:t>
            </w:r>
          </w:p>
        </w:tc>
        <w:tc>
          <w:tcPr>
            <w:tcW w:w="3089" w:type="dxa"/>
            <w:tcBorders>
              <w:top w:val="nil"/>
              <w:left w:val="nil"/>
              <w:bottom w:val="single" w:sz="4" w:space="0" w:color="auto"/>
              <w:right w:val="single" w:sz="4" w:space="0" w:color="auto"/>
            </w:tcBorders>
            <w:shd w:val="clear" w:color="000000" w:fill="000000"/>
            <w:noWrap/>
            <w:vAlign w:val="center"/>
            <w:hideMark/>
          </w:tcPr>
          <w:p w14:paraId="12D2A017" w14:textId="77777777" w:rsidR="00F71FFB" w:rsidRPr="00F71FFB" w:rsidRDefault="00F71FFB" w:rsidP="00F71FFB">
            <w:pPr>
              <w:jc w:val="center"/>
              <w:rPr>
                <w:rFonts w:cs="Arial"/>
                <w:b/>
                <w:bCs/>
                <w:color w:val="FFFFFF"/>
                <w:sz w:val="18"/>
                <w:szCs w:val="18"/>
                <w:lang w:eastAsia="en-GB"/>
              </w:rPr>
            </w:pPr>
            <w:r w:rsidRPr="00F71FFB">
              <w:rPr>
                <w:rFonts w:cs="Arial"/>
                <w:b/>
                <w:bCs/>
                <w:color w:val="FFFFFF"/>
                <w:sz w:val="18"/>
                <w:szCs w:val="18"/>
                <w:lang w:eastAsia="en-GB"/>
              </w:rPr>
              <w:t> </w:t>
            </w:r>
          </w:p>
        </w:tc>
      </w:tr>
      <w:tr w:rsidR="00F71FFB" w:rsidRPr="00F71FFB" w14:paraId="4D92C7D9" w14:textId="77777777" w:rsidTr="008F5F09">
        <w:trPr>
          <w:trHeight w:val="290"/>
        </w:trPr>
        <w:tc>
          <w:tcPr>
            <w:tcW w:w="4513" w:type="dxa"/>
            <w:tcBorders>
              <w:top w:val="nil"/>
              <w:left w:val="single" w:sz="4" w:space="0" w:color="auto"/>
              <w:bottom w:val="nil"/>
              <w:right w:val="single" w:sz="4" w:space="0" w:color="auto"/>
            </w:tcBorders>
            <w:shd w:val="clear" w:color="000000" w:fill="FFFFFF"/>
            <w:noWrap/>
            <w:vAlign w:val="center"/>
            <w:hideMark/>
          </w:tcPr>
          <w:p w14:paraId="7FD66DB7" w14:textId="77777777" w:rsidR="00F71FFB" w:rsidRPr="00F71FFB" w:rsidRDefault="00F71FFB" w:rsidP="00F71FFB">
            <w:pPr>
              <w:rPr>
                <w:rFonts w:ascii="Calibri" w:hAnsi="Calibri" w:cs="Calibri"/>
                <w:color w:val="000000"/>
                <w:sz w:val="22"/>
                <w:szCs w:val="22"/>
                <w:lang w:eastAsia="en-GB"/>
              </w:rPr>
            </w:pPr>
            <w:r w:rsidRPr="00F71FFB">
              <w:rPr>
                <w:rFonts w:ascii="Calibri" w:hAnsi="Calibri" w:cs="Calibri"/>
                <w:color w:val="000000"/>
                <w:sz w:val="22"/>
                <w:szCs w:val="22"/>
                <w:lang w:eastAsia="en-GB"/>
              </w:rPr>
              <w:t> </w:t>
            </w:r>
          </w:p>
        </w:tc>
        <w:tc>
          <w:tcPr>
            <w:tcW w:w="1067" w:type="dxa"/>
            <w:tcBorders>
              <w:top w:val="nil"/>
              <w:left w:val="single" w:sz="4" w:space="0" w:color="auto"/>
              <w:bottom w:val="nil"/>
              <w:right w:val="single" w:sz="4" w:space="0" w:color="auto"/>
            </w:tcBorders>
            <w:shd w:val="clear" w:color="000000" w:fill="FFFFFF"/>
            <w:noWrap/>
            <w:vAlign w:val="center"/>
            <w:hideMark/>
          </w:tcPr>
          <w:p w14:paraId="603C0AC7" w14:textId="77777777" w:rsidR="00F71FFB" w:rsidRPr="00F71FFB" w:rsidRDefault="00F71FFB" w:rsidP="00F71FFB">
            <w:pPr>
              <w:rPr>
                <w:rFonts w:ascii="Calibri" w:hAnsi="Calibri" w:cs="Calibri"/>
                <w:color w:val="000000"/>
                <w:sz w:val="22"/>
                <w:szCs w:val="22"/>
                <w:lang w:eastAsia="en-GB"/>
              </w:rPr>
            </w:pPr>
            <w:r w:rsidRPr="00F71FFB">
              <w:rPr>
                <w:rFonts w:ascii="Calibri" w:hAnsi="Calibri" w:cs="Calibri"/>
                <w:color w:val="000000"/>
                <w:sz w:val="22"/>
                <w:szCs w:val="22"/>
                <w:lang w:eastAsia="en-GB"/>
              </w:rPr>
              <w:t> </w:t>
            </w:r>
          </w:p>
        </w:tc>
        <w:tc>
          <w:tcPr>
            <w:tcW w:w="960" w:type="dxa"/>
            <w:tcBorders>
              <w:top w:val="nil"/>
              <w:left w:val="single" w:sz="4" w:space="0" w:color="auto"/>
              <w:bottom w:val="nil"/>
              <w:right w:val="single" w:sz="4" w:space="0" w:color="auto"/>
            </w:tcBorders>
            <w:shd w:val="clear" w:color="000000" w:fill="FFFFFF"/>
            <w:noWrap/>
            <w:vAlign w:val="center"/>
            <w:hideMark/>
          </w:tcPr>
          <w:p w14:paraId="7A765386" w14:textId="77777777" w:rsidR="00F71FFB" w:rsidRPr="00F71FFB" w:rsidRDefault="00F71FFB" w:rsidP="00F71FFB">
            <w:pPr>
              <w:rPr>
                <w:rFonts w:ascii="Calibri" w:hAnsi="Calibri" w:cs="Calibri"/>
                <w:color w:val="000000"/>
                <w:sz w:val="22"/>
                <w:szCs w:val="22"/>
                <w:lang w:eastAsia="en-GB"/>
              </w:rPr>
            </w:pPr>
            <w:r w:rsidRPr="00F71FFB">
              <w:rPr>
                <w:rFonts w:ascii="Calibri" w:hAnsi="Calibri" w:cs="Calibri"/>
                <w:color w:val="000000"/>
                <w:sz w:val="22"/>
                <w:szCs w:val="22"/>
                <w:lang w:eastAsia="en-GB"/>
              </w:rPr>
              <w:t> </w:t>
            </w:r>
          </w:p>
        </w:tc>
        <w:tc>
          <w:tcPr>
            <w:tcW w:w="3089" w:type="dxa"/>
            <w:tcBorders>
              <w:top w:val="nil"/>
              <w:left w:val="single" w:sz="4" w:space="0" w:color="auto"/>
              <w:bottom w:val="nil"/>
              <w:right w:val="single" w:sz="4" w:space="0" w:color="auto"/>
            </w:tcBorders>
            <w:shd w:val="clear" w:color="000000" w:fill="FFFFFF"/>
            <w:noWrap/>
            <w:vAlign w:val="center"/>
            <w:hideMark/>
          </w:tcPr>
          <w:p w14:paraId="286F36B7" w14:textId="77777777" w:rsidR="00F71FFB" w:rsidRPr="00F71FFB" w:rsidRDefault="00F71FFB" w:rsidP="00F71FFB">
            <w:pPr>
              <w:rPr>
                <w:rFonts w:ascii="Calibri" w:hAnsi="Calibri" w:cs="Calibri"/>
                <w:color w:val="000000"/>
                <w:sz w:val="22"/>
                <w:szCs w:val="22"/>
                <w:lang w:eastAsia="en-GB"/>
              </w:rPr>
            </w:pPr>
            <w:r w:rsidRPr="00F71FFB">
              <w:rPr>
                <w:rFonts w:ascii="Calibri" w:hAnsi="Calibri" w:cs="Calibri"/>
                <w:color w:val="000000"/>
                <w:sz w:val="22"/>
                <w:szCs w:val="22"/>
                <w:lang w:eastAsia="en-GB"/>
              </w:rPr>
              <w:t> </w:t>
            </w:r>
          </w:p>
        </w:tc>
      </w:tr>
      <w:tr w:rsidR="00F71FFB" w:rsidRPr="008F5F09" w14:paraId="17F63C79" w14:textId="77777777" w:rsidTr="008F5F09">
        <w:trPr>
          <w:trHeight w:val="290"/>
        </w:trPr>
        <w:tc>
          <w:tcPr>
            <w:tcW w:w="4513" w:type="dxa"/>
            <w:tcBorders>
              <w:top w:val="nil"/>
              <w:left w:val="single" w:sz="4" w:space="0" w:color="auto"/>
              <w:bottom w:val="nil"/>
              <w:right w:val="single" w:sz="4" w:space="0" w:color="auto"/>
            </w:tcBorders>
            <w:shd w:val="clear" w:color="000000" w:fill="FFFFFF"/>
            <w:noWrap/>
            <w:vAlign w:val="center"/>
            <w:hideMark/>
          </w:tcPr>
          <w:p w14:paraId="1309A09C" w14:textId="77777777" w:rsidR="00F71FFB" w:rsidRPr="008F5F09" w:rsidRDefault="00F71FFB" w:rsidP="00F71FFB">
            <w:pPr>
              <w:rPr>
                <w:rFonts w:cs="Arial"/>
                <w:color w:val="000000"/>
                <w:sz w:val="22"/>
                <w:szCs w:val="22"/>
                <w:lang w:eastAsia="en-GB"/>
              </w:rPr>
            </w:pPr>
            <w:r w:rsidRPr="008F5F09">
              <w:rPr>
                <w:rFonts w:cs="Arial"/>
                <w:color w:val="000000"/>
                <w:sz w:val="22"/>
                <w:szCs w:val="22"/>
                <w:lang w:eastAsia="en-GB"/>
              </w:rPr>
              <w:t>Lake District Foundation</w:t>
            </w:r>
          </w:p>
        </w:tc>
        <w:tc>
          <w:tcPr>
            <w:tcW w:w="1067" w:type="dxa"/>
            <w:tcBorders>
              <w:top w:val="nil"/>
              <w:left w:val="single" w:sz="4" w:space="0" w:color="auto"/>
              <w:bottom w:val="nil"/>
              <w:right w:val="single" w:sz="4" w:space="0" w:color="auto"/>
            </w:tcBorders>
            <w:shd w:val="clear" w:color="000000" w:fill="FFFFFF"/>
            <w:noWrap/>
            <w:vAlign w:val="center"/>
            <w:hideMark/>
          </w:tcPr>
          <w:p w14:paraId="73632CCD" w14:textId="77777777" w:rsidR="00F71FFB" w:rsidRPr="008F5F09" w:rsidRDefault="00F71FFB" w:rsidP="00F71FFB">
            <w:pPr>
              <w:jc w:val="right"/>
              <w:rPr>
                <w:rFonts w:cs="Arial"/>
                <w:color w:val="000000"/>
                <w:sz w:val="22"/>
                <w:szCs w:val="22"/>
                <w:lang w:eastAsia="en-GB"/>
              </w:rPr>
            </w:pPr>
            <w:r w:rsidRPr="008F5F09">
              <w:rPr>
                <w:rFonts w:cs="Arial"/>
                <w:color w:val="000000"/>
                <w:sz w:val="22"/>
                <w:szCs w:val="22"/>
                <w:lang w:eastAsia="en-GB"/>
              </w:rPr>
              <w:t>472</w:t>
            </w:r>
          </w:p>
        </w:tc>
        <w:tc>
          <w:tcPr>
            <w:tcW w:w="960" w:type="dxa"/>
            <w:tcBorders>
              <w:top w:val="nil"/>
              <w:left w:val="single" w:sz="4" w:space="0" w:color="auto"/>
              <w:bottom w:val="nil"/>
              <w:right w:val="single" w:sz="4" w:space="0" w:color="auto"/>
            </w:tcBorders>
            <w:shd w:val="clear" w:color="000000" w:fill="FFFFFF"/>
            <w:noWrap/>
            <w:vAlign w:val="center"/>
            <w:hideMark/>
          </w:tcPr>
          <w:p w14:paraId="3EBAB427" w14:textId="77777777" w:rsidR="00F71FFB" w:rsidRPr="008F5F09" w:rsidRDefault="00F71FFB" w:rsidP="00F71FFB">
            <w:pPr>
              <w:jc w:val="right"/>
              <w:rPr>
                <w:rFonts w:cs="Arial"/>
                <w:color w:val="000000"/>
                <w:sz w:val="22"/>
                <w:szCs w:val="22"/>
                <w:lang w:eastAsia="en-GB"/>
              </w:rPr>
            </w:pPr>
            <w:r w:rsidRPr="008F5F09">
              <w:rPr>
                <w:rFonts w:cs="Arial"/>
                <w:color w:val="000000"/>
                <w:sz w:val="22"/>
                <w:szCs w:val="22"/>
                <w:lang w:eastAsia="en-GB"/>
              </w:rPr>
              <w:t> </w:t>
            </w:r>
          </w:p>
        </w:tc>
        <w:tc>
          <w:tcPr>
            <w:tcW w:w="3089" w:type="dxa"/>
            <w:tcBorders>
              <w:top w:val="nil"/>
              <w:left w:val="single" w:sz="4" w:space="0" w:color="auto"/>
              <w:bottom w:val="nil"/>
              <w:right w:val="single" w:sz="4" w:space="0" w:color="auto"/>
            </w:tcBorders>
            <w:shd w:val="clear" w:color="000000" w:fill="FFFFFF"/>
            <w:noWrap/>
            <w:vAlign w:val="center"/>
            <w:hideMark/>
          </w:tcPr>
          <w:p w14:paraId="1B9E036D" w14:textId="77777777" w:rsidR="00F71FFB" w:rsidRPr="008F5F09" w:rsidRDefault="00F71FFB" w:rsidP="00F71FFB">
            <w:pPr>
              <w:rPr>
                <w:rFonts w:cs="Arial"/>
                <w:color w:val="000000"/>
                <w:sz w:val="22"/>
                <w:szCs w:val="22"/>
                <w:lang w:eastAsia="en-GB"/>
              </w:rPr>
            </w:pPr>
            <w:r w:rsidRPr="008F5F09">
              <w:rPr>
                <w:rFonts w:cs="Arial"/>
                <w:color w:val="000000"/>
                <w:sz w:val="22"/>
                <w:szCs w:val="22"/>
                <w:lang w:eastAsia="en-GB"/>
              </w:rPr>
              <w:t xml:space="preserve">ERDF Grant funding </w:t>
            </w:r>
          </w:p>
        </w:tc>
      </w:tr>
      <w:tr w:rsidR="00F71FFB" w:rsidRPr="008F5F09" w14:paraId="1B178802" w14:textId="77777777" w:rsidTr="008F5F09">
        <w:trPr>
          <w:trHeight w:val="580"/>
        </w:trPr>
        <w:tc>
          <w:tcPr>
            <w:tcW w:w="4513" w:type="dxa"/>
            <w:tcBorders>
              <w:top w:val="nil"/>
              <w:left w:val="single" w:sz="4" w:space="0" w:color="auto"/>
              <w:bottom w:val="nil"/>
              <w:right w:val="single" w:sz="4" w:space="0" w:color="auto"/>
            </w:tcBorders>
            <w:shd w:val="clear" w:color="000000" w:fill="FFFFFF"/>
            <w:noWrap/>
            <w:vAlign w:val="center"/>
            <w:hideMark/>
          </w:tcPr>
          <w:p w14:paraId="5C7AB98F" w14:textId="77777777" w:rsidR="00F71FFB" w:rsidRPr="008F5F09" w:rsidRDefault="00F71FFB" w:rsidP="00F71FFB">
            <w:pPr>
              <w:rPr>
                <w:rFonts w:cs="Arial"/>
                <w:color w:val="000000"/>
                <w:sz w:val="22"/>
                <w:szCs w:val="22"/>
                <w:lang w:eastAsia="en-GB"/>
              </w:rPr>
            </w:pPr>
            <w:r w:rsidRPr="008F5F09">
              <w:rPr>
                <w:rFonts w:cs="Arial"/>
                <w:color w:val="000000"/>
                <w:sz w:val="22"/>
                <w:szCs w:val="22"/>
                <w:lang w:eastAsia="en-GB"/>
              </w:rPr>
              <w:t>Lake District Foundation</w:t>
            </w:r>
          </w:p>
        </w:tc>
        <w:tc>
          <w:tcPr>
            <w:tcW w:w="1067" w:type="dxa"/>
            <w:tcBorders>
              <w:top w:val="nil"/>
              <w:left w:val="single" w:sz="4" w:space="0" w:color="auto"/>
              <w:bottom w:val="nil"/>
              <w:right w:val="single" w:sz="4" w:space="0" w:color="auto"/>
            </w:tcBorders>
            <w:shd w:val="clear" w:color="000000" w:fill="FFFFFF"/>
            <w:noWrap/>
            <w:vAlign w:val="center"/>
            <w:hideMark/>
          </w:tcPr>
          <w:p w14:paraId="6B2D875A" w14:textId="77777777" w:rsidR="00F71FFB" w:rsidRPr="008F5F09" w:rsidRDefault="00F71FFB" w:rsidP="00F71FFB">
            <w:pPr>
              <w:jc w:val="right"/>
              <w:rPr>
                <w:rFonts w:cs="Arial"/>
                <w:color w:val="000000"/>
                <w:sz w:val="22"/>
                <w:szCs w:val="22"/>
                <w:lang w:eastAsia="en-GB"/>
              </w:rPr>
            </w:pPr>
            <w:r w:rsidRPr="008F5F09">
              <w:rPr>
                <w:rFonts w:cs="Arial"/>
                <w:color w:val="000000"/>
                <w:sz w:val="22"/>
                <w:szCs w:val="22"/>
                <w:lang w:eastAsia="en-GB"/>
              </w:rPr>
              <w:t> </w:t>
            </w:r>
          </w:p>
        </w:tc>
        <w:tc>
          <w:tcPr>
            <w:tcW w:w="960" w:type="dxa"/>
            <w:tcBorders>
              <w:top w:val="nil"/>
              <w:left w:val="single" w:sz="4" w:space="0" w:color="auto"/>
              <w:bottom w:val="nil"/>
              <w:right w:val="single" w:sz="4" w:space="0" w:color="auto"/>
            </w:tcBorders>
            <w:shd w:val="clear" w:color="000000" w:fill="FFFFFF"/>
            <w:noWrap/>
            <w:vAlign w:val="center"/>
            <w:hideMark/>
          </w:tcPr>
          <w:p w14:paraId="4CAE70D2" w14:textId="77777777" w:rsidR="00F71FFB" w:rsidRPr="008F5F09" w:rsidRDefault="00F71FFB" w:rsidP="00F71FFB">
            <w:pPr>
              <w:jc w:val="right"/>
              <w:rPr>
                <w:rFonts w:cs="Arial"/>
                <w:color w:val="000000"/>
                <w:sz w:val="22"/>
                <w:szCs w:val="22"/>
                <w:lang w:eastAsia="en-GB"/>
              </w:rPr>
            </w:pPr>
            <w:r w:rsidRPr="008F5F09">
              <w:rPr>
                <w:rFonts w:cs="Arial"/>
                <w:color w:val="000000"/>
                <w:sz w:val="22"/>
                <w:szCs w:val="22"/>
                <w:lang w:eastAsia="en-GB"/>
              </w:rPr>
              <w:t>181</w:t>
            </w:r>
          </w:p>
        </w:tc>
        <w:tc>
          <w:tcPr>
            <w:tcW w:w="3089" w:type="dxa"/>
            <w:tcBorders>
              <w:top w:val="nil"/>
              <w:left w:val="single" w:sz="4" w:space="0" w:color="auto"/>
              <w:bottom w:val="nil"/>
              <w:right w:val="single" w:sz="4" w:space="0" w:color="auto"/>
            </w:tcBorders>
            <w:shd w:val="clear" w:color="000000" w:fill="FFFFFF"/>
            <w:noWrap/>
            <w:vAlign w:val="center"/>
            <w:hideMark/>
          </w:tcPr>
          <w:p w14:paraId="5B2AFC22" w14:textId="77777777" w:rsidR="00F71FFB" w:rsidRPr="008F5F09" w:rsidRDefault="00F71FFB" w:rsidP="00F71FFB">
            <w:pPr>
              <w:rPr>
                <w:rFonts w:cs="Arial"/>
                <w:color w:val="000000"/>
                <w:sz w:val="22"/>
                <w:szCs w:val="22"/>
                <w:lang w:eastAsia="en-GB"/>
              </w:rPr>
            </w:pPr>
            <w:r w:rsidRPr="008F5F09">
              <w:rPr>
                <w:rFonts w:cs="Arial"/>
                <w:color w:val="000000"/>
                <w:sz w:val="22"/>
                <w:szCs w:val="22"/>
                <w:lang w:eastAsia="en-GB"/>
              </w:rPr>
              <w:t>Cumbria Woodland projects and stone for paths</w:t>
            </w:r>
          </w:p>
        </w:tc>
      </w:tr>
      <w:tr w:rsidR="008F5F09" w:rsidRPr="008F5F09" w14:paraId="0D36411E" w14:textId="77777777" w:rsidTr="008F5F09">
        <w:trPr>
          <w:trHeight w:val="870"/>
        </w:trPr>
        <w:tc>
          <w:tcPr>
            <w:tcW w:w="4513" w:type="dxa"/>
            <w:tcBorders>
              <w:top w:val="nil"/>
              <w:left w:val="single" w:sz="4" w:space="0" w:color="auto"/>
              <w:bottom w:val="nil"/>
              <w:right w:val="nil"/>
            </w:tcBorders>
            <w:shd w:val="clear" w:color="000000" w:fill="FFFFFF"/>
            <w:noWrap/>
            <w:vAlign w:val="center"/>
            <w:hideMark/>
          </w:tcPr>
          <w:p w14:paraId="511413E1" w14:textId="77777777" w:rsidR="008F5F09" w:rsidRPr="008F5F09" w:rsidRDefault="008F5F09" w:rsidP="00F71FFB">
            <w:pPr>
              <w:rPr>
                <w:rFonts w:cs="Arial"/>
                <w:color w:val="000000"/>
                <w:sz w:val="22"/>
                <w:szCs w:val="22"/>
                <w:lang w:eastAsia="en-GB"/>
              </w:rPr>
            </w:pPr>
            <w:r w:rsidRPr="008F5F09">
              <w:rPr>
                <w:rFonts w:cs="Arial"/>
                <w:color w:val="000000"/>
                <w:sz w:val="22"/>
                <w:szCs w:val="22"/>
                <w:lang w:eastAsia="en-GB"/>
              </w:rPr>
              <w:t>Discover England  (led by Peak District NPA)</w:t>
            </w:r>
          </w:p>
        </w:tc>
        <w:tc>
          <w:tcPr>
            <w:tcW w:w="1067" w:type="dxa"/>
            <w:tcBorders>
              <w:top w:val="nil"/>
              <w:left w:val="single" w:sz="4" w:space="0" w:color="auto"/>
              <w:bottom w:val="nil"/>
              <w:right w:val="single" w:sz="4" w:space="0" w:color="auto"/>
            </w:tcBorders>
            <w:shd w:val="clear" w:color="000000" w:fill="FFFFFF"/>
            <w:vAlign w:val="center"/>
          </w:tcPr>
          <w:p w14:paraId="70C97E87" w14:textId="04411D77" w:rsidR="008F5F09" w:rsidRPr="008F5F09" w:rsidRDefault="008F5F09" w:rsidP="00F71FFB">
            <w:pPr>
              <w:rPr>
                <w:rFonts w:cs="Arial"/>
                <w:color w:val="000000"/>
                <w:sz w:val="22"/>
                <w:szCs w:val="22"/>
                <w:lang w:eastAsia="en-GB"/>
              </w:rPr>
            </w:pPr>
          </w:p>
        </w:tc>
        <w:tc>
          <w:tcPr>
            <w:tcW w:w="960" w:type="dxa"/>
            <w:tcBorders>
              <w:top w:val="nil"/>
              <w:left w:val="single" w:sz="4" w:space="0" w:color="auto"/>
              <w:bottom w:val="nil"/>
              <w:right w:val="single" w:sz="4" w:space="0" w:color="auto"/>
            </w:tcBorders>
            <w:shd w:val="clear" w:color="000000" w:fill="FFFFFF"/>
            <w:noWrap/>
            <w:vAlign w:val="center"/>
            <w:hideMark/>
          </w:tcPr>
          <w:p w14:paraId="7D07FE05" w14:textId="77777777" w:rsidR="008F5F09" w:rsidRPr="008F5F09" w:rsidRDefault="008F5F09" w:rsidP="00F71FFB">
            <w:pPr>
              <w:jc w:val="right"/>
              <w:rPr>
                <w:rFonts w:cs="Arial"/>
                <w:color w:val="000000"/>
                <w:sz w:val="22"/>
                <w:szCs w:val="22"/>
                <w:lang w:eastAsia="en-GB"/>
              </w:rPr>
            </w:pPr>
            <w:r w:rsidRPr="008F5F09">
              <w:rPr>
                <w:rFonts w:cs="Arial"/>
                <w:color w:val="000000"/>
                <w:sz w:val="22"/>
                <w:szCs w:val="22"/>
                <w:lang w:eastAsia="en-GB"/>
              </w:rPr>
              <w:t>13</w:t>
            </w:r>
          </w:p>
        </w:tc>
        <w:tc>
          <w:tcPr>
            <w:tcW w:w="3089" w:type="dxa"/>
            <w:tcBorders>
              <w:top w:val="nil"/>
              <w:left w:val="single" w:sz="4" w:space="0" w:color="auto"/>
              <w:bottom w:val="nil"/>
              <w:right w:val="single" w:sz="4" w:space="0" w:color="auto"/>
            </w:tcBorders>
            <w:shd w:val="clear" w:color="000000" w:fill="FFFFFF"/>
            <w:noWrap/>
            <w:vAlign w:val="center"/>
            <w:hideMark/>
          </w:tcPr>
          <w:p w14:paraId="36A9051F" w14:textId="77777777" w:rsidR="008F5F09" w:rsidRPr="008F5F09" w:rsidRDefault="008F5F09" w:rsidP="00F71FFB">
            <w:pPr>
              <w:rPr>
                <w:rFonts w:cs="Arial"/>
                <w:color w:val="000000"/>
                <w:sz w:val="22"/>
                <w:szCs w:val="22"/>
                <w:lang w:eastAsia="en-GB"/>
              </w:rPr>
            </w:pPr>
            <w:r w:rsidRPr="008F5F09">
              <w:rPr>
                <w:rFonts w:cs="Arial"/>
                <w:color w:val="000000"/>
                <w:sz w:val="22"/>
                <w:szCs w:val="22"/>
                <w:lang w:eastAsia="en-GB"/>
              </w:rPr>
              <w:t>Partnership costs</w:t>
            </w:r>
          </w:p>
        </w:tc>
      </w:tr>
      <w:tr w:rsidR="00F71FFB" w:rsidRPr="008F5F09" w14:paraId="6588398C" w14:textId="77777777" w:rsidTr="008F5F09">
        <w:trPr>
          <w:trHeight w:val="290"/>
        </w:trPr>
        <w:tc>
          <w:tcPr>
            <w:tcW w:w="4513" w:type="dxa"/>
            <w:tcBorders>
              <w:top w:val="nil"/>
              <w:left w:val="single" w:sz="4" w:space="0" w:color="auto"/>
              <w:bottom w:val="nil"/>
              <w:right w:val="single" w:sz="4" w:space="0" w:color="auto"/>
            </w:tcBorders>
            <w:shd w:val="clear" w:color="000000" w:fill="FFFFFF"/>
            <w:noWrap/>
            <w:vAlign w:val="center"/>
            <w:hideMark/>
          </w:tcPr>
          <w:p w14:paraId="756CE0FB" w14:textId="77777777" w:rsidR="00F71FFB" w:rsidRPr="008F5F09" w:rsidRDefault="00F71FFB" w:rsidP="00F71FFB">
            <w:pPr>
              <w:rPr>
                <w:rFonts w:cs="Arial"/>
                <w:color w:val="000000"/>
                <w:sz w:val="22"/>
                <w:szCs w:val="22"/>
                <w:lang w:eastAsia="en-GB"/>
              </w:rPr>
            </w:pPr>
            <w:r w:rsidRPr="008F5F09">
              <w:rPr>
                <w:rFonts w:cs="Arial"/>
                <w:color w:val="000000"/>
                <w:sz w:val="22"/>
                <w:szCs w:val="22"/>
                <w:lang w:eastAsia="en-GB"/>
              </w:rPr>
              <w:t>Cumbria County Council</w:t>
            </w:r>
          </w:p>
        </w:tc>
        <w:tc>
          <w:tcPr>
            <w:tcW w:w="1067" w:type="dxa"/>
            <w:tcBorders>
              <w:top w:val="nil"/>
              <w:left w:val="single" w:sz="4" w:space="0" w:color="auto"/>
              <w:bottom w:val="nil"/>
              <w:right w:val="single" w:sz="4" w:space="0" w:color="auto"/>
            </w:tcBorders>
            <w:shd w:val="clear" w:color="000000" w:fill="FFFFFF"/>
            <w:noWrap/>
            <w:vAlign w:val="center"/>
            <w:hideMark/>
          </w:tcPr>
          <w:p w14:paraId="6CFFE927" w14:textId="77777777" w:rsidR="00F71FFB" w:rsidRPr="008F5F09" w:rsidRDefault="00F71FFB" w:rsidP="00F71FFB">
            <w:pPr>
              <w:jc w:val="right"/>
              <w:rPr>
                <w:rFonts w:cs="Arial"/>
                <w:color w:val="000000"/>
                <w:sz w:val="22"/>
                <w:szCs w:val="22"/>
                <w:lang w:eastAsia="en-GB"/>
              </w:rPr>
            </w:pPr>
            <w:r w:rsidRPr="008F5F09">
              <w:rPr>
                <w:rFonts w:cs="Arial"/>
                <w:color w:val="000000"/>
                <w:sz w:val="22"/>
                <w:szCs w:val="22"/>
                <w:lang w:eastAsia="en-GB"/>
              </w:rPr>
              <w:t> </w:t>
            </w:r>
          </w:p>
        </w:tc>
        <w:tc>
          <w:tcPr>
            <w:tcW w:w="960" w:type="dxa"/>
            <w:tcBorders>
              <w:top w:val="nil"/>
              <w:left w:val="single" w:sz="4" w:space="0" w:color="auto"/>
              <w:bottom w:val="nil"/>
              <w:right w:val="single" w:sz="4" w:space="0" w:color="auto"/>
            </w:tcBorders>
            <w:shd w:val="clear" w:color="000000" w:fill="FFFFFF"/>
            <w:noWrap/>
            <w:vAlign w:val="center"/>
            <w:hideMark/>
          </w:tcPr>
          <w:p w14:paraId="30A073A2" w14:textId="77777777" w:rsidR="00F71FFB" w:rsidRPr="008F5F09" w:rsidRDefault="00F71FFB" w:rsidP="00F71FFB">
            <w:pPr>
              <w:jc w:val="right"/>
              <w:rPr>
                <w:rFonts w:cs="Arial"/>
                <w:color w:val="000000"/>
                <w:sz w:val="22"/>
                <w:szCs w:val="22"/>
                <w:lang w:eastAsia="en-GB"/>
              </w:rPr>
            </w:pPr>
            <w:r w:rsidRPr="008F5F09">
              <w:rPr>
                <w:rFonts w:cs="Arial"/>
                <w:color w:val="000000"/>
                <w:sz w:val="22"/>
                <w:szCs w:val="22"/>
                <w:lang w:eastAsia="en-GB"/>
              </w:rPr>
              <w:t>54</w:t>
            </w:r>
          </w:p>
        </w:tc>
        <w:tc>
          <w:tcPr>
            <w:tcW w:w="3089" w:type="dxa"/>
            <w:tcBorders>
              <w:top w:val="nil"/>
              <w:left w:val="single" w:sz="4" w:space="0" w:color="auto"/>
              <w:bottom w:val="nil"/>
              <w:right w:val="single" w:sz="4" w:space="0" w:color="auto"/>
            </w:tcBorders>
            <w:shd w:val="clear" w:color="000000" w:fill="FFFFFF"/>
            <w:noWrap/>
            <w:vAlign w:val="center"/>
            <w:hideMark/>
          </w:tcPr>
          <w:p w14:paraId="1680C813" w14:textId="77777777" w:rsidR="00F71FFB" w:rsidRPr="008F5F09" w:rsidRDefault="00F71FFB" w:rsidP="00F71FFB">
            <w:pPr>
              <w:rPr>
                <w:rFonts w:cs="Arial"/>
                <w:color w:val="000000"/>
                <w:sz w:val="22"/>
                <w:szCs w:val="22"/>
                <w:lang w:eastAsia="en-GB"/>
              </w:rPr>
            </w:pPr>
            <w:r w:rsidRPr="008F5F09">
              <w:rPr>
                <w:rFonts w:cs="Arial"/>
                <w:color w:val="000000"/>
                <w:sz w:val="22"/>
                <w:szCs w:val="22"/>
                <w:lang w:eastAsia="en-GB"/>
              </w:rPr>
              <w:t xml:space="preserve">ROW agreement </w:t>
            </w:r>
          </w:p>
        </w:tc>
      </w:tr>
      <w:tr w:rsidR="00F71FFB" w:rsidRPr="008F5F09" w14:paraId="2169B75A" w14:textId="77777777" w:rsidTr="008F5F09">
        <w:trPr>
          <w:trHeight w:val="290"/>
        </w:trPr>
        <w:tc>
          <w:tcPr>
            <w:tcW w:w="4513" w:type="dxa"/>
            <w:tcBorders>
              <w:top w:val="nil"/>
              <w:left w:val="single" w:sz="4" w:space="0" w:color="auto"/>
              <w:bottom w:val="nil"/>
              <w:right w:val="single" w:sz="4" w:space="0" w:color="auto"/>
            </w:tcBorders>
            <w:shd w:val="clear" w:color="000000" w:fill="FFFFFF"/>
            <w:noWrap/>
            <w:vAlign w:val="center"/>
            <w:hideMark/>
          </w:tcPr>
          <w:p w14:paraId="361495FD" w14:textId="77777777" w:rsidR="00F71FFB" w:rsidRPr="008F5F09" w:rsidRDefault="00F71FFB" w:rsidP="00F71FFB">
            <w:pPr>
              <w:rPr>
                <w:rFonts w:cs="Arial"/>
                <w:color w:val="000000"/>
                <w:sz w:val="22"/>
                <w:szCs w:val="22"/>
                <w:lang w:eastAsia="en-GB"/>
              </w:rPr>
            </w:pPr>
            <w:r w:rsidRPr="008F5F09">
              <w:rPr>
                <w:rFonts w:cs="Arial"/>
                <w:color w:val="000000"/>
                <w:sz w:val="22"/>
                <w:szCs w:val="22"/>
                <w:lang w:eastAsia="en-GB"/>
              </w:rPr>
              <w:t>Cumbria County Council</w:t>
            </w:r>
          </w:p>
        </w:tc>
        <w:tc>
          <w:tcPr>
            <w:tcW w:w="1067" w:type="dxa"/>
            <w:tcBorders>
              <w:top w:val="nil"/>
              <w:left w:val="single" w:sz="4" w:space="0" w:color="auto"/>
              <w:bottom w:val="nil"/>
              <w:right w:val="single" w:sz="4" w:space="0" w:color="auto"/>
            </w:tcBorders>
            <w:shd w:val="clear" w:color="000000" w:fill="FFFFFF"/>
            <w:noWrap/>
            <w:vAlign w:val="center"/>
            <w:hideMark/>
          </w:tcPr>
          <w:p w14:paraId="4ECAD47D" w14:textId="77777777" w:rsidR="00F71FFB" w:rsidRPr="008F5F09" w:rsidRDefault="00F71FFB" w:rsidP="00F71FFB">
            <w:pPr>
              <w:jc w:val="right"/>
              <w:rPr>
                <w:rFonts w:cs="Arial"/>
                <w:color w:val="000000"/>
                <w:sz w:val="22"/>
                <w:szCs w:val="22"/>
                <w:lang w:eastAsia="en-GB"/>
              </w:rPr>
            </w:pPr>
            <w:r w:rsidRPr="008F5F09">
              <w:rPr>
                <w:rFonts w:cs="Arial"/>
                <w:color w:val="000000"/>
                <w:sz w:val="22"/>
                <w:szCs w:val="22"/>
                <w:lang w:eastAsia="en-GB"/>
              </w:rPr>
              <w:t> </w:t>
            </w:r>
          </w:p>
        </w:tc>
        <w:tc>
          <w:tcPr>
            <w:tcW w:w="960" w:type="dxa"/>
            <w:tcBorders>
              <w:top w:val="nil"/>
              <w:left w:val="single" w:sz="4" w:space="0" w:color="auto"/>
              <w:bottom w:val="nil"/>
              <w:right w:val="single" w:sz="4" w:space="0" w:color="auto"/>
            </w:tcBorders>
            <w:shd w:val="clear" w:color="000000" w:fill="FFFFFF"/>
            <w:noWrap/>
            <w:vAlign w:val="center"/>
            <w:hideMark/>
          </w:tcPr>
          <w:p w14:paraId="5646A77C" w14:textId="77777777" w:rsidR="00F71FFB" w:rsidRPr="008F5F09" w:rsidRDefault="00F71FFB" w:rsidP="00F71FFB">
            <w:pPr>
              <w:jc w:val="right"/>
              <w:rPr>
                <w:rFonts w:cs="Arial"/>
                <w:color w:val="000000"/>
                <w:sz w:val="22"/>
                <w:szCs w:val="22"/>
                <w:lang w:eastAsia="en-GB"/>
              </w:rPr>
            </w:pPr>
            <w:r w:rsidRPr="008F5F09">
              <w:rPr>
                <w:rFonts w:cs="Arial"/>
                <w:color w:val="000000"/>
                <w:sz w:val="22"/>
                <w:szCs w:val="22"/>
                <w:lang w:eastAsia="en-GB"/>
              </w:rPr>
              <w:t>50</w:t>
            </w:r>
          </w:p>
        </w:tc>
        <w:tc>
          <w:tcPr>
            <w:tcW w:w="3089" w:type="dxa"/>
            <w:tcBorders>
              <w:top w:val="nil"/>
              <w:left w:val="single" w:sz="4" w:space="0" w:color="auto"/>
              <w:bottom w:val="nil"/>
              <w:right w:val="single" w:sz="4" w:space="0" w:color="auto"/>
            </w:tcBorders>
            <w:shd w:val="clear" w:color="000000" w:fill="FFFFFF"/>
            <w:noWrap/>
            <w:vAlign w:val="center"/>
            <w:hideMark/>
          </w:tcPr>
          <w:p w14:paraId="6F942559" w14:textId="77777777" w:rsidR="00F71FFB" w:rsidRPr="008F5F09" w:rsidRDefault="00F71FFB" w:rsidP="00F71FFB">
            <w:pPr>
              <w:rPr>
                <w:rFonts w:cs="Arial"/>
                <w:color w:val="000000"/>
                <w:sz w:val="22"/>
                <w:szCs w:val="22"/>
                <w:lang w:eastAsia="en-GB"/>
              </w:rPr>
            </w:pPr>
            <w:r w:rsidRPr="008F5F09">
              <w:rPr>
                <w:rFonts w:cs="Arial"/>
                <w:color w:val="000000"/>
                <w:sz w:val="22"/>
                <w:szCs w:val="22"/>
                <w:lang w:eastAsia="en-GB"/>
              </w:rPr>
              <w:t>Cumbria Coastal community forest grant</w:t>
            </w:r>
          </w:p>
        </w:tc>
      </w:tr>
      <w:tr w:rsidR="00F71FFB" w:rsidRPr="008F5F09" w14:paraId="2FD58232" w14:textId="77777777" w:rsidTr="008F5F09">
        <w:trPr>
          <w:trHeight w:val="290"/>
        </w:trPr>
        <w:tc>
          <w:tcPr>
            <w:tcW w:w="4513" w:type="dxa"/>
            <w:tcBorders>
              <w:top w:val="nil"/>
              <w:left w:val="single" w:sz="4" w:space="0" w:color="auto"/>
              <w:bottom w:val="nil"/>
              <w:right w:val="single" w:sz="4" w:space="0" w:color="auto"/>
            </w:tcBorders>
            <w:shd w:val="clear" w:color="000000" w:fill="FFFFFF"/>
            <w:noWrap/>
            <w:vAlign w:val="center"/>
            <w:hideMark/>
          </w:tcPr>
          <w:p w14:paraId="6FABC073" w14:textId="77777777" w:rsidR="00F71FFB" w:rsidRPr="008F5F09" w:rsidRDefault="00F71FFB" w:rsidP="00F71FFB">
            <w:pPr>
              <w:rPr>
                <w:rFonts w:cs="Arial"/>
                <w:color w:val="000000"/>
                <w:sz w:val="22"/>
                <w:szCs w:val="22"/>
                <w:lang w:eastAsia="en-GB"/>
              </w:rPr>
            </w:pPr>
            <w:r w:rsidRPr="008F5F09">
              <w:rPr>
                <w:rFonts w:cs="Arial"/>
                <w:color w:val="000000"/>
                <w:sz w:val="22"/>
                <w:szCs w:val="22"/>
                <w:lang w:eastAsia="en-GB"/>
              </w:rPr>
              <w:t>Cumbria Tourism</w:t>
            </w:r>
          </w:p>
        </w:tc>
        <w:tc>
          <w:tcPr>
            <w:tcW w:w="1067" w:type="dxa"/>
            <w:tcBorders>
              <w:top w:val="nil"/>
              <w:left w:val="single" w:sz="4" w:space="0" w:color="auto"/>
              <w:bottom w:val="nil"/>
              <w:right w:val="single" w:sz="4" w:space="0" w:color="auto"/>
            </w:tcBorders>
            <w:shd w:val="clear" w:color="000000" w:fill="FFFFFF"/>
            <w:noWrap/>
            <w:vAlign w:val="center"/>
            <w:hideMark/>
          </w:tcPr>
          <w:p w14:paraId="2B02E3EE" w14:textId="77777777" w:rsidR="00F71FFB" w:rsidRPr="008F5F09" w:rsidRDefault="00F71FFB" w:rsidP="00F71FFB">
            <w:pPr>
              <w:jc w:val="right"/>
              <w:rPr>
                <w:rFonts w:cs="Arial"/>
                <w:color w:val="000000"/>
                <w:sz w:val="22"/>
                <w:szCs w:val="22"/>
                <w:lang w:eastAsia="en-GB"/>
              </w:rPr>
            </w:pPr>
            <w:r w:rsidRPr="008F5F09">
              <w:rPr>
                <w:rFonts w:cs="Arial"/>
                <w:color w:val="000000"/>
                <w:sz w:val="22"/>
                <w:szCs w:val="22"/>
                <w:lang w:eastAsia="en-GB"/>
              </w:rPr>
              <w:t>35</w:t>
            </w:r>
          </w:p>
        </w:tc>
        <w:tc>
          <w:tcPr>
            <w:tcW w:w="960" w:type="dxa"/>
            <w:tcBorders>
              <w:top w:val="nil"/>
              <w:left w:val="single" w:sz="4" w:space="0" w:color="auto"/>
              <w:bottom w:val="nil"/>
              <w:right w:val="single" w:sz="4" w:space="0" w:color="auto"/>
            </w:tcBorders>
            <w:shd w:val="clear" w:color="000000" w:fill="FFFFFF"/>
            <w:noWrap/>
            <w:vAlign w:val="center"/>
            <w:hideMark/>
          </w:tcPr>
          <w:p w14:paraId="28EEE785" w14:textId="77777777" w:rsidR="00F71FFB" w:rsidRPr="008F5F09" w:rsidRDefault="00F71FFB" w:rsidP="00F71FFB">
            <w:pPr>
              <w:jc w:val="right"/>
              <w:rPr>
                <w:rFonts w:cs="Arial"/>
                <w:color w:val="000000"/>
                <w:sz w:val="22"/>
                <w:szCs w:val="22"/>
                <w:lang w:eastAsia="en-GB"/>
              </w:rPr>
            </w:pPr>
            <w:r w:rsidRPr="008F5F09">
              <w:rPr>
                <w:rFonts w:cs="Arial"/>
                <w:color w:val="000000"/>
                <w:sz w:val="22"/>
                <w:szCs w:val="22"/>
                <w:lang w:eastAsia="en-GB"/>
              </w:rPr>
              <w:t> </w:t>
            </w:r>
          </w:p>
        </w:tc>
        <w:tc>
          <w:tcPr>
            <w:tcW w:w="3089" w:type="dxa"/>
            <w:tcBorders>
              <w:top w:val="nil"/>
              <w:left w:val="single" w:sz="4" w:space="0" w:color="auto"/>
              <w:bottom w:val="nil"/>
              <w:right w:val="single" w:sz="4" w:space="0" w:color="auto"/>
            </w:tcBorders>
            <w:shd w:val="clear" w:color="000000" w:fill="FFFFFF"/>
            <w:noWrap/>
            <w:vAlign w:val="center"/>
            <w:hideMark/>
          </w:tcPr>
          <w:p w14:paraId="7034ACC9" w14:textId="77777777" w:rsidR="00F71FFB" w:rsidRPr="008F5F09" w:rsidRDefault="00F71FFB" w:rsidP="00F71FFB">
            <w:pPr>
              <w:rPr>
                <w:rFonts w:cs="Arial"/>
                <w:color w:val="000000"/>
                <w:sz w:val="22"/>
                <w:szCs w:val="22"/>
                <w:lang w:eastAsia="en-GB"/>
              </w:rPr>
            </w:pPr>
            <w:r w:rsidRPr="008F5F09">
              <w:rPr>
                <w:rFonts w:cs="Arial"/>
                <w:color w:val="000000"/>
                <w:sz w:val="22"/>
                <w:szCs w:val="22"/>
                <w:lang w:eastAsia="en-GB"/>
              </w:rPr>
              <w:t xml:space="preserve">Contributions to projects and TVMG funding </w:t>
            </w:r>
          </w:p>
        </w:tc>
      </w:tr>
      <w:tr w:rsidR="00F71FFB" w:rsidRPr="008F5F09" w14:paraId="0F0E1165" w14:textId="77777777" w:rsidTr="008F5F09">
        <w:trPr>
          <w:trHeight w:val="290"/>
        </w:trPr>
        <w:tc>
          <w:tcPr>
            <w:tcW w:w="4513" w:type="dxa"/>
            <w:tcBorders>
              <w:top w:val="nil"/>
              <w:left w:val="single" w:sz="4" w:space="0" w:color="auto"/>
              <w:bottom w:val="nil"/>
              <w:right w:val="single" w:sz="4" w:space="0" w:color="auto"/>
            </w:tcBorders>
            <w:shd w:val="clear" w:color="000000" w:fill="FFFFFF"/>
            <w:noWrap/>
            <w:vAlign w:val="center"/>
            <w:hideMark/>
          </w:tcPr>
          <w:p w14:paraId="2CF096A6" w14:textId="77777777" w:rsidR="00F71FFB" w:rsidRPr="008F5F09" w:rsidRDefault="00F71FFB" w:rsidP="00F71FFB">
            <w:pPr>
              <w:rPr>
                <w:rFonts w:cs="Arial"/>
                <w:color w:val="000000"/>
                <w:sz w:val="22"/>
                <w:szCs w:val="22"/>
                <w:lang w:eastAsia="en-GB"/>
              </w:rPr>
            </w:pPr>
            <w:r w:rsidRPr="008F5F09">
              <w:rPr>
                <w:rFonts w:cs="Arial"/>
                <w:color w:val="000000"/>
                <w:sz w:val="22"/>
                <w:szCs w:val="22"/>
                <w:lang w:eastAsia="en-GB"/>
              </w:rPr>
              <w:t>Great Place</w:t>
            </w:r>
          </w:p>
        </w:tc>
        <w:tc>
          <w:tcPr>
            <w:tcW w:w="1067" w:type="dxa"/>
            <w:tcBorders>
              <w:top w:val="nil"/>
              <w:left w:val="single" w:sz="4" w:space="0" w:color="auto"/>
              <w:bottom w:val="nil"/>
              <w:right w:val="single" w:sz="4" w:space="0" w:color="auto"/>
            </w:tcBorders>
            <w:shd w:val="clear" w:color="000000" w:fill="FFFFFF"/>
            <w:noWrap/>
            <w:vAlign w:val="center"/>
            <w:hideMark/>
          </w:tcPr>
          <w:p w14:paraId="24D03A05" w14:textId="77777777" w:rsidR="00F71FFB" w:rsidRPr="008F5F09" w:rsidRDefault="00F71FFB" w:rsidP="00F71FFB">
            <w:pPr>
              <w:jc w:val="right"/>
              <w:rPr>
                <w:rFonts w:cs="Arial"/>
                <w:color w:val="000000"/>
                <w:sz w:val="22"/>
                <w:szCs w:val="22"/>
                <w:lang w:eastAsia="en-GB"/>
              </w:rPr>
            </w:pPr>
            <w:r w:rsidRPr="008F5F09">
              <w:rPr>
                <w:rFonts w:cs="Arial"/>
                <w:color w:val="000000"/>
                <w:sz w:val="22"/>
                <w:szCs w:val="22"/>
                <w:lang w:eastAsia="en-GB"/>
              </w:rPr>
              <w:t>5</w:t>
            </w:r>
          </w:p>
        </w:tc>
        <w:tc>
          <w:tcPr>
            <w:tcW w:w="960" w:type="dxa"/>
            <w:tcBorders>
              <w:top w:val="nil"/>
              <w:left w:val="single" w:sz="4" w:space="0" w:color="auto"/>
              <w:bottom w:val="nil"/>
              <w:right w:val="single" w:sz="4" w:space="0" w:color="auto"/>
            </w:tcBorders>
            <w:shd w:val="clear" w:color="000000" w:fill="FFFFFF"/>
            <w:noWrap/>
            <w:vAlign w:val="center"/>
            <w:hideMark/>
          </w:tcPr>
          <w:p w14:paraId="634E91E1" w14:textId="77777777" w:rsidR="00F71FFB" w:rsidRPr="008F5F09" w:rsidRDefault="00F71FFB" w:rsidP="00F71FFB">
            <w:pPr>
              <w:jc w:val="right"/>
              <w:rPr>
                <w:rFonts w:cs="Arial"/>
                <w:color w:val="000000"/>
                <w:sz w:val="22"/>
                <w:szCs w:val="22"/>
                <w:lang w:eastAsia="en-GB"/>
              </w:rPr>
            </w:pPr>
            <w:r w:rsidRPr="008F5F09">
              <w:rPr>
                <w:rFonts w:cs="Arial"/>
                <w:color w:val="000000"/>
                <w:sz w:val="22"/>
                <w:szCs w:val="22"/>
                <w:lang w:eastAsia="en-GB"/>
              </w:rPr>
              <w:t> </w:t>
            </w:r>
          </w:p>
        </w:tc>
        <w:tc>
          <w:tcPr>
            <w:tcW w:w="3089" w:type="dxa"/>
            <w:tcBorders>
              <w:top w:val="nil"/>
              <w:left w:val="single" w:sz="4" w:space="0" w:color="auto"/>
              <w:bottom w:val="nil"/>
              <w:right w:val="single" w:sz="4" w:space="0" w:color="auto"/>
            </w:tcBorders>
            <w:shd w:val="clear" w:color="000000" w:fill="FFFFFF"/>
            <w:noWrap/>
            <w:vAlign w:val="center"/>
            <w:hideMark/>
          </w:tcPr>
          <w:p w14:paraId="583F4A31" w14:textId="77777777" w:rsidR="00F71FFB" w:rsidRPr="008F5F09" w:rsidRDefault="00F71FFB" w:rsidP="00F71FFB">
            <w:pPr>
              <w:rPr>
                <w:rFonts w:cs="Arial"/>
                <w:color w:val="000000"/>
                <w:sz w:val="22"/>
                <w:szCs w:val="22"/>
                <w:lang w:eastAsia="en-GB"/>
              </w:rPr>
            </w:pPr>
            <w:r w:rsidRPr="008F5F09">
              <w:rPr>
                <w:rFonts w:cs="Arial"/>
                <w:color w:val="000000"/>
                <w:sz w:val="22"/>
                <w:szCs w:val="22"/>
                <w:lang w:eastAsia="en-GB"/>
              </w:rPr>
              <w:t>Subscription</w:t>
            </w:r>
          </w:p>
        </w:tc>
      </w:tr>
      <w:tr w:rsidR="00F71FFB" w:rsidRPr="008F5F09" w14:paraId="25527C62" w14:textId="77777777" w:rsidTr="008F5F09">
        <w:trPr>
          <w:trHeight w:val="290"/>
        </w:trPr>
        <w:tc>
          <w:tcPr>
            <w:tcW w:w="4513" w:type="dxa"/>
            <w:tcBorders>
              <w:top w:val="nil"/>
              <w:left w:val="single" w:sz="4" w:space="0" w:color="auto"/>
              <w:bottom w:val="nil"/>
              <w:right w:val="single" w:sz="4" w:space="0" w:color="auto"/>
            </w:tcBorders>
            <w:shd w:val="clear" w:color="000000" w:fill="FFFFFF"/>
            <w:noWrap/>
            <w:vAlign w:val="center"/>
            <w:hideMark/>
          </w:tcPr>
          <w:p w14:paraId="29BE1022" w14:textId="77777777" w:rsidR="00F71FFB" w:rsidRPr="008F5F09" w:rsidRDefault="00F71FFB" w:rsidP="00F71FFB">
            <w:pPr>
              <w:rPr>
                <w:rFonts w:cs="Arial"/>
                <w:color w:val="000000"/>
                <w:sz w:val="22"/>
                <w:szCs w:val="22"/>
                <w:lang w:eastAsia="en-GB"/>
              </w:rPr>
            </w:pPr>
            <w:r w:rsidRPr="008F5F09">
              <w:rPr>
                <w:rFonts w:cs="Arial"/>
                <w:color w:val="000000"/>
                <w:sz w:val="22"/>
                <w:szCs w:val="22"/>
                <w:lang w:eastAsia="en-GB"/>
              </w:rPr>
              <w:t>Cumbria Living Heritage</w:t>
            </w:r>
          </w:p>
        </w:tc>
        <w:tc>
          <w:tcPr>
            <w:tcW w:w="1067" w:type="dxa"/>
            <w:tcBorders>
              <w:top w:val="nil"/>
              <w:left w:val="single" w:sz="4" w:space="0" w:color="auto"/>
              <w:bottom w:val="nil"/>
              <w:right w:val="single" w:sz="4" w:space="0" w:color="auto"/>
            </w:tcBorders>
            <w:shd w:val="clear" w:color="000000" w:fill="FFFFFF"/>
            <w:noWrap/>
            <w:vAlign w:val="center"/>
            <w:hideMark/>
          </w:tcPr>
          <w:p w14:paraId="7B7DA3EB" w14:textId="77777777" w:rsidR="00F71FFB" w:rsidRPr="008F5F09" w:rsidRDefault="00F71FFB" w:rsidP="00F71FFB">
            <w:pPr>
              <w:jc w:val="right"/>
              <w:rPr>
                <w:rFonts w:cs="Arial"/>
                <w:color w:val="000000"/>
                <w:sz w:val="22"/>
                <w:szCs w:val="22"/>
                <w:lang w:eastAsia="en-GB"/>
              </w:rPr>
            </w:pPr>
            <w:r w:rsidRPr="008F5F09">
              <w:rPr>
                <w:rFonts w:cs="Arial"/>
                <w:color w:val="000000"/>
                <w:sz w:val="22"/>
                <w:szCs w:val="22"/>
                <w:lang w:eastAsia="en-GB"/>
              </w:rPr>
              <w:t>4</w:t>
            </w:r>
          </w:p>
        </w:tc>
        <w:tc>
          <w:tcPr>
            <w:tcW w:w="960" w:type="dxa"/>
            <w:tcBorders>
              <w:top w:val="nil"/>
              <w:left w:val="single" w:sz="4" w:space="0" w:color="auto"/>
              <w:bottom w:val="nil"/>
              <w:right w:val="single" w:sz="4" w:space="0" w:color="auto"/>
            </w:tcBorders>
            <w:shd w:val="clear" w:color="000000" w:fill="FFFFFF"/>
            <w:noWrap/>
            <w:vAlign w:val="center"/>
            <w:hideMark/>
          </w:tcPr>
          <w:p w14:paraId="1E0657B9" w14:textId="77777777" w:rsidR="00F71FFB" w:rsidRPr="008F5F09" w:rsidRDefault="00F71FFB" w:rsidP="00F71FFB">
            <w:pPr>
              <w:jc w:val="right"/>
              <w:rPr>
                <w:rFonts w:cs="Arial"/>
                <w:color w:val="000000"/>
                <w:sz w:val="22"/>
                <w:szCs w:val="22"/>
                <w:lang w:eastAsia="en-GB"/>
              </w:rPr>
            </w:pPr>
            <w:r w:rsidRPr="008F5F09">
              <w:rPr>
                <w:rFonts w:cs="Arial"/>
                <w:color w:val="000000"/>
                <w:sz w:val="22"/>
                <w:szCs w:val="22"/>
                <w:lang w:eastAsia="en-GB"/>
              </w:rPr>
              <w:t> </w:t>
            </w:r>
          </w:p>
        </w:tc>
        <w:tc>
          <w:tcPr>
            <w:tcW w:w="3089" w:type="dxa"/>
            <w:tcBorders>
              <w:top w:val="nil"/>
              <w:left w:val="single" w:sz="4" w:space="0" w:color="auto"/>
              <w:bottom w:val="nil"/>
              <w:right w:val="single" w:sz="4" w:space="0" w:color="auto"/>
            </w:tcBorders>
            <w:shd w:val="clear" w:color="000000" w:fill="FFFFFF"/>
            <w:noWrap/>
            <w:vAlign w:val="center"/>
            <w:hideMark/>
          </w:tcPr>
          <w:p w14:paraId="746016AA" w14:textId="77777777" w:rsidR="00F71FFB" w:rsidRPr="008F5F09" w:rsidRDefault="00F71FFB" w:rsidP="00F71FFB">
            <w:pPr>
              <w:rPr>
                <w:rFonts w:cs="Arial"/>
                <w:color w:val="000000"/>
                <w:sz w:val="22"/>
                <w:szCs w:val="22"/>
                <w:lang w:eastAsia="en-GB"/>
              </w:rPr>
            </w:pPr>
            <w:r w:rsidRPr="008F5F09">
              <w:rPr>
                <w:rFonts w:cs="Arial"/>
                <w:color w:val="000000"/>
                <w:sz w:val="22"/>
                <w:szCs w:val="22"/>
                <w:lang w:eastAsia="en-GB"/>
              </w:rPr>
              <w:t>Subscription</w:t>
            </w:r>
          </w:p>
        </w:tc>
      </w:tr>
      <w:tr w:rsidR="00F71FFB" w:rsidRPr="008F5F09" w14:paraId="36D4C5F7" w14:textId="77777777" w:rsidTr="008F5F09">
        <w:trPr>
          <w:trHeight w:val="290"/>
        </w:trPr>
        <w:tc>
          <w:tcPr>
            <w:tcW w:w="4513" w:type="dxa"/>
            <w:tcBorders>
              <w:top w:val="nil"/>
              <w:left w:val="single" w:sz="4" w:space="0" w:color="auto"/>
              <w:bottom w:val="nil"/>
              <w:right w:val="single" w:sz="4" w:space="0" w:color="auto"/>
            </w:tcBorders>
            <w:shd w:val="clear" w:color="000000" w:fill="FFFFFF"/>
            <w:noWrap/>
            <w:vAlign w:val="center"/>
            <w:hideMark/>
          </w:tcPr>
          <w:p w14:paraId="687A828E" w14:textId="77777777" w:rsidR="00F71FFB" w:rsidRPr="008F5F09" w:rsidRDefault="00F71FFB" w:rsidP="00F71FFB">
            <w:pPr>
              <w:rPr>
                <w:rFonts w:cs="Arial"/>
                <w:color w:val="000000"/>
                <w:sz w:val="22"/>
                <w:szCs w:val="22"/>
                <w:lang w:eastAsia="en-GB"/>
              </w:rPr>
            </w:pPr>
            <w:r w:rsidRPr="008F5F09">
              <w:rPr>
                <w:rFonts w:cs="Arial"/>
                <w:color w:val="000000"/>
                <w:sz w:val="22"/>
                <w:szCs w:val="22"/>
                <w:lang w:eastAsia="en-GB"/>
              </w:rPr>
              <w:t>World Heritage</w:t>
            </w:r>
          </w:p>
        </w:tc>
        <w:tc>
          <w:tcPr>
            <w:tcW w:w="1067" w:type="dxa"/>
            <w:tcBorders>
              <w:top w:val="nil"/>
              <w:left w:val="single" w:sz="4" w:space="0" w:color="auto"/>
              <w:bottom w:val="nil"/>
              <w:right w:val="single" w:sz="4" w:space="0" w:color="auto"/>
            </w:tcBorders>
            <w:shd w:val="clear" w:color="000000" w:fill="FFFFFF"/>
            <w:noWrap/>
            <w:vAlign w:val="center"/>
            <w:hideMark/>
          </w:tcPr>
          <w:p w14:paraId="3EEF8250" w14:textId="77777777" w:rsidR="00F71FFB" w:rsidRPr="008F5F09" w:rsidRDefault="00F71FFB" w:rsidP="00F71FFB">
            <w:pPr>
              <w:jc w:val="right"/>
              <w:rPr>
                <w:rFonts w:cs="Arial"/>
                <w:color w:val="000000"/>
                <w:sz w:val="22"/>
                <w:szCs w:val="22"/>
                <w:lang w:eastAsia="en-GB"/>
              </w:rPr>
            </w:pPr>
            <w:r w:rsidRPr="008F5F09">
              <w:rPr>
                <w:rFonts w:cs="Arial"/>
                <w:color w:val="000000"/>
                <w:sz w:val="22"/>
                <w:szCs w:val="22"/>
                <w:lang w:eastAsia="en-GB"/>
              </w:rPr>
              <w:t>1</w:t>
            </w:r>
          </w:p>
        </w:tc>
        <w:tc>
          <w:tcPr>
            <w:tcW w:w="960" w:type="dxa"/>
            <w:tcBorders>
              <w:top w:val="nil"/>
              <w:left w:val="single" w:sz="4" w:space="0" w:color="auto"/>
              <w:bottom w:val="nil"/>
              <w:right w:val="single" w:sz="4" w:space="0" w:color="auto"/>
            </w:tcBorders>
            <w:shd w:val="clear" w:color="000000" w:fill="FFFFFF"/>
            <w:noWrap/>
            <w:vAlign w:val="center"/>
            <w:hideMark/>
          </w:tcPr>
          <w:p w14:paraId="05671327" w14:textId="77777777" w:rsidR="00F71FFB" w:rsidRPr="008F5F09" w:rsidRDefault="00F71FFB" w:rsidP="00F71FFB">
            <w:pPr>
              <w:jc w:val="right"/>
              <w:rPr>
                <w:rFonts w:cs="Arial"/>
                <w:color w:val="000000"/>
                <w:sz w:val="22"/>
                <w:szCs w:val="22"/>
                <w:lang w:eastAsia="en-GB"/>
              </w:rPr>
            </w:pPr>
            <w:r w:rsidRPr="008F5F09">
              <w:rPr>
                <w:rFonts w:cs="Arial"/>
                <w:color w:val="000000"/>
                <w:sz w:val="22"/>
                <w:szCs w:val="22"/>
                <w:lang w:eastAsia="en-GB"/>
              </w:rPr>
              <w:t> </w:t>
            </w:r>
          </w:p>
        </w:tc>
        <w:tc>
          <w:tcPr>
            <w:tcW w:w="3089" w:type="dxa"/>
            <w:tcBorders>
              <w:top w:val="nil"/>
              <w:left w:val="single" w:sz="4" w:space="0" w:color="auto"/>
              <w:bottom w:val="nil"/>
              <w:right w:val="single" w:sz="4" w:space="0" w:color="auto"/>
            </w:tcBorders>
            <w:shd w:val="clear" w:color="000000" w:fill="FFFFFF"/>
            <w:noWrap/>
            <w:vAlign w:val="center"/>
            <w:hideMark/>
          </w:tcPr>
          <w:p w14:paraId="5E567BB5" w14:textId="77777777" w:rsidR="00F71FFB" w:rsidRPr="008F5F09" w:rsidRDefault="00F71FFB" w:rsidP="00F71FFB">
            <w:pPr>
              <w:rPr>
                <w:rFonts w:cs="Arial"/>
                <w:color w:val="000000"/>
                <w:sz w:val="22"/>
                <w:szCs w:val="22"/>
                <w:lang w:eastAsia="en-GB"/>
              </w:rPr>
            </w:pPr>
            <w:r w:rsidRPr="008F5F09">
              <w:rPr>
                <w:rFonts w:cs="Arial"/>
                <w:color w:val="000000"/>
                <w:sz w:val="22"/>
                <w:szCs w:val="22"/>
                <w:lang w:eastAsia="en-GB"/>
              </w:rPr>
              <w:t>Subscription</w:t>
            </w:r>
          </w:p>
        </w:tc>
      </w:tr>
      <w:tr w:rsidR="00F71FFB" w:rsidRPr="008F5F09" w14:paraId="57F2288C" w14:textId="77777777" w:rsidTr="008F5F09">
        <w:trPr>
          <w:trHeight w:val="95"/>
        </w:trPr>
        <w:tc>
          <w:tcPr>
            <w:tcW w:w="4513" w:type="dxa"/>
            <w:tcBorders>
              <w:top w:val="nil"/>
              <w:left w:val="single" w:sz="4" w:space="0" w:color="auto"/>
              <w:bottom w:val="single" w:sz="4" w:space="0" w:color="auto"/>
              <w:right w:val="single" w:sz="4" w:space="0" w:color="auto"/>
            </w:tcBorders>
            <w:shd w:val="clear" w:color="auto" w:fill="auto"/>
            <w:noWrap/>
            <w:vAlign w:val="center"/>
            <w:hideMark/>
          </w:tcPr>
          <w:p w14:paraId="1BBB6E33" w14:textId="77777777" w:rsidR="00F71FFB" w:rsidRPr="008F5F09" w:rsidRDefault="00F71FFB" w:rsidP="00F71FFB">
            <w:pPr>
              <w:rPr>
                <w:rFonts w:cs="Arial"/>
                <w:color w:val="000000"/>
                <w:sz w:val="22"/>
                <w:szCs w:val="22"/>
                <w:lang w:eastAsia="en-GB"/>
              </w:rPr>
            </w:pPr>
            <w:r w:rsidRPr="008F5F09">
              <w:rPr>
                <w:rFonts w:cs="Arial"/>
                <w:color w:val="000000"/>
                <w:sz w:val="22"/>
                <w:szCs w:val="22"/>
                <w:lang w:eastAsia="en-GB"/>
              </w:rPr>
              <w:t> </w:t>
            </w:r>
          </w:p>
        </w:tc>
        <w:tc>
          <w:tcPr>
            <w:tcW w:w="1067" w:type="dxa"/>
            <w:tcBorders>
              <w:top w:val="nil"/>
              <w:left w:val="single" w:sz="4" w:space="0" w:color="auto"/>
              <w:bottom w:val="single" w:sz="4" w:space="0" w:color="auto"/>
              <w:right w:val="single" w:sz="4" w:space="0" w:color="auto"/>
            </w:tcBorders>
            <w:shd w:val="clear" w:color="auto" w:fill="auto"/>
            <w:noWrap/>
            <w:vAlign w:val="center"/>
            <w:hideMark/>
          </w:tcPr>
          <w:p w14:paraId="007F495D" w14:textId="77777777" w:rsidR="00F71FFB" w:rsidRPr="008F5F09" w:rsidRDefault="00F71FFB" w:rsidP="00F71FFB">
            <w:pPr>
              <w:rPr>
                <w:rFonts w:cs="Arial"/>
                <w:color w:val="000000"/>
                <w:sz w:val="22"/>
                <w:szCs w:val="22"/>
                <w:lang w:eastAsia="en-GB"/>
              </w:rPr>
            </w:pPr>
            <w:r w:rsidRPr="008F5F09">
              <w:rPr>
                <w:rFonts w:cs="Arial"/>
                <w:color w:val="000000"/>
                <w:sz w:val="22"/>
                <w:szCs w:val="22"/>
                <w:lang w:eastAsia="en-GB"/>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2E160E" w14:textId="77777777" w:rsidR="00F71FFB" w:rsidRPr="008F5F09" w:rsidRDefault="00F71FFB" w:rsidP="00F71FFB">
            <w:pPr>
              <w:rPr>
                <w:rFonts w:cs="Arial"/>
                <w:color w:val="000000"/>
                <w:sz w:val="22"/>
                <w:szCs w:val="22"/>
                <w:lang w:eastAsia="en-GB"/>
              </w:rPr>
            </w:pPr>
            <w:r w:rsidRPr="008F5F09">
              <w:rPr>
                <w:rFonts w:cs="Arial"/>
                <w:color w:val="000000"/>
                <w:sz w:val="22"/>
                <w:szCs w:val="22"/>
                <w:lang w:eastAsia="en-GB"/>
              </w:rPr>
              <w:t> </w:t>
            </w:r>
          </w:p>
        </w:tc>
        <w:tc>
          <w:tcPr>
            <w:tcW w:w="3089" w:type="dxa"/>
            <w:tcBorders>
              <w:top w:val="nil"/>
              <w:left w:val="single" w:sz="4" w:space="0" w:color="auto"/>
              <w:bottom w:val="single" w:sz="4" w:space="0" w:color="auto"/>
              <w:right w:val="single" w:sz="4" w:space="0" w:color="auto"/>
            </w:tcBorders>
            <w:shd w:val="clear" w:color="auto" w:fill="auto"/>
            <w:noWrap/>
            <w:vAlign w:val="center"/>
            <w:hideMark/>
          </w:tcPr>
          <w:p w14:paraId="3910E371" w14:textId="77777777" w:rsidR="00F71FFB" w:rsidRPr="008F5F09" w:rsidRDefault="00F71FFB" w:rsidP="00F71FFB">
            <w:pPr>
              <w:rPr>
                <w:rFonts w:cs="Arial"/>
                <w:color w:val="000000"/>
                <w:sz w:val="22"/>
                <w:szCs w:val="22"/>
                <w:lang w:eastAsia="en-GB"/>
              </w:rPr>
            </w:pPr>
            <w:r w:rsidRPr="008F5F09">
              <w:rPr>
                <w:rFonts w:cs="Arial"/>
                <w:color w:val="000000"/>
                <w:sz w:val="22"/>
                <w:szCs w:val="22"/>
                <w:lang w:eastAsia="en-GB"/>
              </w:rPr>
              <w:t> </w:t>
            </w:r>
          </w:p>
        </w:tc>
      </w:tr>
    </w:tbl>
    <w:p w14:paraId="485A4684" w14:textId="77777777" w:rsidR="00B51EA9" w:rsidRPr="004D5CA8" w:rsidRDefault="00B51EA9" w:rsidP="006D2EED">
      <w:pPr>
        <w:ind w:left="720"/>
        <w:rPr>
          <w:color w:val="FFFFFF" w:themeColor="background1"/>
          <w:highlight w:val="yellow"/>
        </w:rPr>
      </w:pPr>
    </w:p>
    <w:p w14:paraId="485A4686" w14:textId="0F6936E9" w:rsidR="00145F56" w:rsidRPr="00F71FFB" w:rsidRDefault="004E110A" w:rsidP="0082644A">
      <w:pPr>
        <w:ind w:firstLine="284"/>
      </w:pPr>
      <w:r w:rsidRPr="00F71FFB">
        <w:t>Comparative figures for 20</w:t>
      </w:r>
      <w:r w:rsidR="004817B7" w:rsidRPr="00F71FFB">
        <w:t>2</w:t>
      </w:r>
      <w:r w:rsidR="00F71FFB" w:rsidRPr="00F71FFB">
        <w:t>1</w:t>
      </w:r>
      <w:r w:rsidR="00627253" w:rsidRPr="00F71FFB">
        <w:t>/</w:t>
      </w:r>
      <w:r w:rsidR="001C0E71" w:rsidRPr="00F71FFB">
        <w:t>2</w:t>
      </w:r>
      <w:r w:rsidR="00F71FFB" w:rsidRPr="00F71FFB">
        <w:t>2</w:t>
      </w:r>
      <w:r w:rsidR="00145F56" w:rsidRPr="00F71FFB">
        <w:t xml:space="preserve"> are shown below:</w:t>
      </w:r>
    </w:p>
    <w:p w14:paraId="5B92630C" w14:textId="77777777" w:rsidR="004817B7" w:rsidRPr="00F71FFB" w:rsidRDefault="004817B7" w:rsidP="00614918"/>
    <w:p w14:paraId="485A4687" w14:textId="571FCF82" w:rsidR="009D538A" w:rsidRPr="00F71FFB" w:rsidRDefault="00F71FFB" w:rsidP="008F5F09">
      <w:pPr>
        <w:ind w:left="284" w:hanging="284"/>
        <w:jc w:val="center"/>
        <w:rPr>
          <w:b/>
          <w:sz w:val="22"/>
        </w:rPr>
      </w:pPr>
      <w:r w:rsidRPr="00F71FFB">
        <w:rPr>
          <w:noProof/>
        </w:rPr>
        <w:drawing>
          <wp:inline distT="0" distB="0" distL="0" distR="0" wp14:anchorId="7A688524" wp14:editId="076A06D2">
            <wp:extent cx="6183163" cy="1801504"/>
            <wp:effectExtent l="0" t="0" r="825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50076" cy="1820999"/>
                    </a:xfrm>
                    <a:prstGeom prst="rect">
                      <a:avLst/>
                    </a:prstGeom>
                    <a:noFill/>
                    <a:ln>
                      <a:noFill/>
                    </a:ln>
                  </pic:spPr>
                </pic:pic>
              </a:graphicData>
            </a:graphic>
          </wp:inline>
        </w:drawing>
      </w:r>
    </w:p>
    <w:p w14:paraId="485A4688" w14:textId="57030251" w:rsidR="009D538A" w:rsidRPr="00F71FFB" w:rsidRDefault="009D538A" w:rsidP="00843CBA">
      <w:pPr>
        <w:ind w:left="567"/>
        <w:rPr>
          <w:b/>
          <w:sz w:val="22"/>
        </w:rPr>
      </w:pPr>
      <w:bookmarkStart w:id="36" w:name="_MON_1528374379"/>
      <w:bookmarkStart w:id="37" w:name="_MON_1558614612"/>
      <w:bookmarkStart w:id="38" w:name="_MON_1558614718"/>
      <w:bookmarkEnd w:id="36"/>
      <w:bookmarkEnd w:id="37"/>
      <w:bookmarkEnd w:id="38"/>
    </w:p>
    <w:p w14:paraId="485A4689" w14:textId="77777777" w:rsidR="00262CA8" w:rsidRPr="00F71FFB" w:rsidRDefault="003B5B4C" w:rsidP="008F5F09">
      <w:pPr>
        <w:ind w:left="284"/>
      </w:pPr>
      <w:r w:rsidRPr="00F71FFB">
        <w:t>Details of Members</w:t>
      </w:r>
      <w:r w:rsidR="006514FD" w:rsidRPr="00F71FFB">
        <w:t xml:space="preserve"> disclosable pecuniary interests</w:t>
      </w:r>
      <w:r w:rsidRPr="00F71FFB">
        <w:t xml:space="preserve"> </w:t>
      </w:r>
      <w:r w:rsidR="00256918" w:rsidRPr="00F71FFB">
        <w:t xml:space="preserve">are </w:t>
      </w:r>
      <w:r w:rsidR="006514FD" w:rsidRPr="00F71FFB">
        <w:t>available</w:t>
      </w:r>
      <w:r w:rsidRPr="00F71FFB">
        <w:t xml:space="preserve"> on the LDNPA website</w:t>
      </w:r>
      <w:r w:rsidR="00256918" w:rsidRPr="00F71FFB">
        <w:t xml:space="preserve"> or </w:t>
      </w:r>
      <w:r w:rsidR="006514FD" w:rsidRPr="00F71FFB">
        <w:t xml:space="preserve">can be </w:t>
      </w:r>
      <w:r w:rsidR="00256918" w:rsidRPr="00F71FFB">
        <w:t xml:space="preserve">inspected at the LDNPA head office in Kendal during office hours. Details of </w:t>
      </w:r>
      <w:r w:rsidR="001A5EEA" w:rsidRPr="00F71FFB">
        <w:t>officers’</w:t>
      </w:r>
      <w:r w:rsidR="00256918" w:rsidRPr="00F71FFB">
        <w:t xml:space="preserve"> interests are recorded in the Register of Officers Interests which can also be inspected at the head office in Kendal during working hours.</w:t>
      </w:r>
    </w:p>
    <w:p w14:paraId="485A468A" w14:textId="77777777" w:rsidR="00282689" w:rsidRPr="00F71FFB" w:rsidRDefault="00282689" w:rsidP="006D2EED">
      <w:pPr>
        <w:ind w:left="1418"/>
      </w:pPr>
    </w:p>
    <w:p w14:paraId="485A468B" w14:textId="77777777" w:rsidR="005C1D0A" w:rsidRDefault="00E3498F" w:rsidP="008F5F09">
      <w:pPr>
        <w:pStyle w:val="BodyTextIndent"/>
        <w:spacing w:before="60" w:after="60" w:line="240" w:lineRule="atLeast"/>
      </w:pPr>
      <w:r w:rsidRPr="00F71FFB">
        <w:t>T</w:t>
      </w:r>
      <w:r w:rsidR="00E00863" w:rsidRPr="00F71FFB">
        <w:t xml:space="preserve">he Authority’s transactions with Cumbria County Council Pension </w:t>
      </w:r>
      <w:r w:rsidR="0091458D" w:rsidRPr="00F71FFB">
        <w:t>Fund</w:t>
      </w:r>
      <w:r w:rsidR="001A0B31" w:rsidRPr="00F71FFB">
        <w:t xml:space="preserve"> </w:t>
      </w:r>
      <w:r w:rsidR="0091458D" w:rsidRPr="00F71FFB">
        <w:t xml:space="preserve">are shown in note </w:t>
      </w:r>
      <w:r w:rsidR="007A6594" w:rsidRPr="00F71FFB">
        <w:t>15</w:t>
      </w:r>
      <w:r w:rsidR="00E00863" w:rsidRPr="00F71FFB">
        <w:t xml:space="preserve"> to the Financial Statements</w:t>
      </w:r>
      <w:r w:rsidR="00524D8C" w:rsidRPr="00F71FFB">
        <w:t>.</w:t>
      </w:r>
    </w:p>
    <w:p w14:paraId="485A468C" w14:textId="77777777" w:rsidR="00B51EA9" w:rsidRDefault="00B51EA9" w:rsidP="00261CF6">
      <w:pPr>
        <w:pStyle w:val="Subtitle"/>
        <w:numPr>
          <w:ilvl w:val="0"/>
          <w:numId w:val="0"/>
        </w:numPr>
        <w:tabs>
          <w:tab w:val="left" w:pos="-709"/>
          <w:tab w:val="left" w:pos="-284"/>
          <w:tab w:val="left" w:pos="-142"/>
          <w:tab w:val="left" w:pos="0"/>
          <w:tab w:val="left" w:pos="567"/>
        </w:tabs>
        <w:spacing w:line="240" w:lineRule="atLeast"/>
        <w:ind w:right="680"/>
        <w:rPr>
          <w:rFonts w:ascii="Arial" w:hAnsi="Arial" w:cs="Arial"/>
          <w:b/>
          <w:i w:val="0"/>
          <w:sz w:val="23"/>
          <w:szCs w:val="23"/>
          <w:u w:val="none"/>
        </w:rPr>
      </w:pPr>
    </w:p>
    <w:p w14:paraId="1D117861" w14:textId="77777777" w:rsidR="008F5F09" w:rsidRDefault="008F5F09" w:rsidP="008F5F09">
      <w:pPr>
        <w:rPr>
          <w:lang w:eastAsia="en-GB"/>
        </w:rPr>
      </w:pPr>
    </w:p>
    <w:p w14:paraId="3F4CE1C4" w14:textId="77777777" w:rsidR="008F5F09" w:rsidRDefault="008F5F09" w:rsidP="008F5F09">
      <w:pPr>
        <w:rPr>
          <w:lang w:eastAsia="en-GB"/>
        </w:rPr>
      </w:pPr>
    </w:p>
    <w:p w14:paraId="10694BC9" w14:textId="77777777" w:rsidR="008F5F09" w:rsidRDefault="008F5F09" w:rsidP="008F5F09">
      <w:pPr>
        <w:rPr>
          <w:lang w:eastAsia="en-GB"/>
        </w:rPr>
      </w:pPr>
    </w:p>
    <w:p w14:paraId="6AF30F24" w14:textId="77777777" w:rsidR="008F5F09" w:rsidRDefault="008F5F09" w:rsidP="008F5F09">
      <w:pPr>
        <w:rPr>
          <w:lang w:eastAsia="en-GB"/>
        </w:rPr>
      </w:pPr>
    </w:p>
    <w:p w14:paraId="43D42030" w14:textId="77777777" w:rsidR="008F5F09" w:rsidRDefault="008F5F09" w:rsidP="008F5F09">
      <w:pPr>
        <w:rPr>
          <w:lang w:eastAsia="en-GB"/>
        </w:rPr>
      </w:pPr>
    </w:p>
    <w:p w14:paraId="273A3F76" w14:textId="77777777" w:rsidR="008F5F09" w:rsidRDefault="008F5F09" w:rsidP="008F5F09">
      <w:pPr>
        <w:rPr>
          <w:lang w:eastAsia="en-GB"/>
        </w:rPr>
      </w:pPr>
    </w:p>
    <w:p w14:paraId="469D6AC0" w14:textId="77777777" w:rsidR="008F5F09" w:rsidRDefault="008F5F09" w:rsidP="008F5F09">
      <w:pPr>
        <w:rPr>
          <w:lang w:eastAsia="en-GB"/>
        </w:rPr>
      </w:pPr>
    </w:p>
    <w:p w14:paraId="68377E26" w14:textId="77777777" w:rsidR="008F5F09" w:rsidRDefault="008F5F09" w:rsidP="008F5F09">
      <w:pPr>
        <w:rPr>
          <w:lang w:eastAsia="en-GB"/>
        </w:rPr>
      </w:pPr>
    </w:p>
    <w:p w14:paraId="03D9020B" w14:textId="77777777" w:rsidR="008F5F09" w:rsidRDefault="008F5F09" w:rsidP="008F5F09">
      <w:pPr>
        <w:rPr>
          <w:lang w:eastAsia="en-GB"/>
        </w:rPr>
      </w:pPr>
    </w:p>
    <w:p w14:paraId="486DF164" w14:textId="77777777" w:rsidR="008F5F09" w:rsidRDefault="008F5F09" w:rsidP="008F5F09">
      <w:pPr>
        <w:rPr>
          <w:lang w:eastAsia="en-GB"/>
        </w:rPr>
      </w:pPr>
    </w:p>
    <w:p w14:paraId="6D980146" w14:textId="77777777" w:rsidR="008F5F09" w:rsidRDefault="008F5F09" w:rsidP="008F5F09">
      <w:pPr>
        <w:rPr>
          <w:lang w:eastAsia="en-GB"/>
        </w:rPr>
      </w:pPr>
    </w:p>
    <w:p w14:paraId="721AD890" w14:textId="77777777" w:rsidR="008F5F09" w:rsidRDefault="008F5F09" w:rsidP="008F5F09">
      <w:pPr>
        <w:rPr>
          <w:lang w:eastAsia="en-GB"/>
        </w:rPr>
      </w:pPr>
    </w:p>
    <w:p w14:paraId="27E684B4" w14:textId="77777777" w:rsidR="008F5F09" w:rsidRPr="008F5F09" w:rsidRDefault="008F5F09" w:rsidP="008F5F09">
      <w:pPr>
        <w:rPr>
          <w:lang w:eastAsia="en-GB"/>
        </w:rPr>
      </w:pPr>
    </w:p>
    <w:p w14:paraId="485A468D" w14:textId="5E411523" w:rsidR="00E00863" w:rsidRPr="000062BC" w:rsidRDefault="004B1BA7" w:rsidP="00261CF6">
      <w:pPr>
        <w:pStyle w:val="Subtitle"/>
        <w:numPr>
          <w:ilvl w:val="0"/>
          <w:numId w:val="0"/>
        </w:numPr>
        <w:tabs>
          <w:tab w:val="left" w:pos="-709"/>
          <w:tab w:val="left" w:pos="-284"/>
          <w:tab w:val="left" w:pos="-142"/>
          <w:tab w:val="left" w:pos="0"/>
          <w:tab w:val="left" w:pos="567"/>
        </w:tabs>
        <w:spacing w:line="240" w:lineRule="atLeast"/>
        <w:ind w:right="680"/>
        <w:rPr>
          <w:rFonts w:ascii="Arial" w:eastAsia="Times New Roman" w:hAnsi="Arial"/>
          <w:b/>
          <w:i w:val="0"/>
          <w:iCs w:val="0"/>
          <w:spacing w:val="0"/>
          <w:sz w:val="23"/>
          <w:szCs w:val="23"/>
          <w:u w:val="none"/>
          <w:lang w:eastAsia="en-US"/>
        </w:rPr>
      </w:pPr>
      <w:r w:rsidRPr="000062BC">
        <w:rPr>
          <w:rFonts w:ascii="Arial" w:hAnsi="Arial" w:cs="Arial"/>
          <w:b/>
          <w:i w:val="0"/>
          <w:sz w:val="23"/>
          <w:szCs w:val="23"/>
          <w:u w:val="none"/>
        </w:rPr>
        <w:lastRenderedPageBreak/>
        <w:t>1</w:t>
      </w:r>
      <w:r w:rsidR="00261CF6" w:rsidRPr="000062BC">
        <w:rPr>
          <w:rFonts w:ascii="Arial" w:hAnsi="Arial" w:cs="Arial"/>
          <w:b/>
          <w:i w:val="0"/>
          <w:sz w:val="23"/>
          <w:szCs w:val="23"/>
          <w:u w:val="none"/>
        </w:rPr>
        <w:t>3</w:t>
      </w:r>
      <w:r w:rsidRPr="000062BC">
        <w:rPr>
          <w:rFonts w:ascii="Arial" w:hAnsi="Arial" w:cs="Arial"/>
          <w:b/>
          <w:i w:val="0"/>
          <w:sz w:val="23"/>
          <w:szCs w:val="23"/>
          <w:u w:val="none"/>
        </w:rPr>
        <w:t>.</w:t>
      </w:r>
      <w:r w:rsidRPr="000062BC">
        <w:rPr>
          <w:rFonts w:ascii="Arial" w:hAnsi="Arial" w:cs="Arial"/>
          <w:b/>
          <w:i w:val="0"/>
          <w:sz w:val="23"/>
          <w:szCs w:val="23"/>
          <w:u w:val="none"/>
        </w:rPr>
        <w:tab/>
      </w:r>
      <w:r w:rsidR="00E00863" w:rsidRPr="000062BC">
        <w:rPr>
          <w:rFonts w:ascii="Arial" w:eastAsia="Times New Roman" w:hAnsi="Arial"/>
          <w:b/>
          <w:i w:val="0"/>
          <w:iCs w:val="0"/>
          <w:spacing w:val="0"/>
          <w:sz w:val="23"/>
          <w:szCs w:val="23"/>
          <w:u w:val="none"/>
          <w:lang w:eastAsia="en-US"/>
        </w:rPr>
        <w:t xml:space="preserve">Financing </w:t>
      </w:r>
      <w:r w:rsidR="007D68CF" w:rsidRPr="000062BC">
        <w:rPr>
          <w:rFonts w:ascii="Arial" w:eastAsia="Times New Roman" w:hAnsi="Arial"/>
          <w:b/>
          <w:i w:val="0"/>
          <w:iCs w:val="0"/>
          <w:spacing w:val="0"/>
          <w:sz w:val="23"/>
          <w:szCs w:val="23"/>
          <w:u w:val="none"/>
          <w:lang w:eastAsia="en-US"/>
        </w:rPr>
        <w:t>and</w:t>
      </w:r>
      <w:r w:rsidR="00E00863" w:rsidRPr="000062BC">
        <w:rPr>
          <w:rFonts w:ascii="Arial" w:eastAsia="Times New Roman" w:hAnsi="Arial"/>
          <w:b/>
          <w:i w:val="0"/>
          <w:iCs w:val="0"/>
          <w:spacing w:val="0"/>
          <w:sz w:val="23"/>
          <w:szCs w:val="23"/>
          <w:u w:val="none"/>
          <w:lang w:eastAsia="en-US"/>
        </w:rPr>
        <w:t xml:space="preserve"> Investment Income </w:t>
      </w:r>
      <w:r w:rsidR="007D68CF" w:rsidRPr="000062BC">
        <w:rPr>
          <w:rFonts w:ascii="Arial" w:eastAsia="Times New Roman" w:hAnsi="Arial"/>
          <w:b/>
          <w:i w:val="0"/>
          <w:iCs w:val="0"/>
          <w:spacing w:val="0"/>
          <w:sz w:val="23"/>
          <w:szCs w:val="23"/>
          <w:u w:val="none"/>
          <w:lang w:eastAsia="en-US"/>
        </w:rPr>
        <w:t>and</w:t>
      </w:r>
      <w:r w:rsidR="00E00863" w:rsidRPr="000062BC">
        <w:rPr>
          <w:rFonts w:ascii="Arial" w:eastAsia="Times New Roman" w:hAnsi="Arial"/>
          <w:b/>
          <w:i w:val="0"/>
          <w:iCs w:val="0"/>
          <w:spacing w:val="0"/>
          <w:sz w:val="23"/>
          <w:szCs w:val="23"/>
          <w:u w:val="none"/>
          <w:lang w:eastAsia="en-US"/>
        </w:rPr>
        <w:t xml:space="preserve"> Expenditure</w:t>
      </w:r>
      <w:r w:rsidR="007D2E50" w:rsidRPr="000062BC">
        <w:rPr>
          <w:rFonts w:ascii="Arial" w:eastAsia="Times New Roman" w:hAnsi="Arial"/>
          <w:b/>
          <w:i w:val="0"/>
          <w:iCs w:val="0"/>
          <w:spacing w:val="0"/>
          <w:sz w:val="23"/>
          <w:szCs w:val="23"/>
          <w:u w:val="none"/>
          <w:lang w:eastAsia="en-US"/>
        </w:rPr>
        <w:t xml:space="preserve"> </w:t>
      </w:r>
    </w:p>
    <w:p w14:paraId="6C531890" w14:textId="4AE23C54" w:rsidR="003334A3" w:rsidRPr="000062BC" w:rsidRDefault="003334A3" w:rsidP="003334A3"/>
    <w:tbl>
      <w:tblPr>
        <w:tblW w:w="10495" w:type="dxa"/>
        <w:tblInd w:w="-577" w:type="dxa"/>
        <w:tblLook w:val="04A0" w:firstRow="1" w:lastRow="0" w:firstColumn="1" w:lastColumn="0" w:noHBand="0" w:noVBand="1"/>
      </w:tblPr>
      <w:tblGrid>
        <w:gridCol w:w="278"/>
        <w:gridCol w:w="852"/>
        <w:gridCol w:w="987"/>
        <w:gridCol w:w="850"/>
        <w:gridCol w:w="4678"/>
        <w:gridCol w:w="852"/>
        <w:gridCol w:w="990"/>
        <w:gridCol w:w="730"/>
        <w:gridCol w:w="278"/>
      </w:tblGrid>
      <w:tr w:rsidR="00E46377" w:rsidRPr="000062BC" w14:paraId="6281E07E" w14:textId="77777777" w:rsidTr="008F5F09">
        <w:trPr>
          <w:trHeight w:val="280"/>
        </w:trPr>
        <w:tc>
          <w:tcPr>
            <w:tcW w:w="278" w:type="dxa"/>
            <w:tcBorders>
              <w:top w:val="single" w:sz="4" w:space="0" w:color="auto"/>
              <w:left w:val="single" w:sz="4" w:space="0" w:color="auto"/>
              <w:right w:val="nil"/>
            </w:tcBorders>
            <w:shd w:val="clear" w:color="000000" w:fill="000000"/>
            <w:noWrap/>
            <w:vAlign w:val="center"/>
            <w:hideMark/>
          </w:tcPr>
          <w:p w14:paraId="18A93038" w14:textId="77777777" w:rsidR="003334A3" w:rsidRPr="000062BC" w:rsidRDefault="003334A3" w:rsidP="003334A3">
            <w:pPr>
              <w:rPr>
                <w:rFonts w:cs="Arial"/>
                <w:color w:val="FFFFFF"/>
                <w:sz w:val="22"/>
                <w:szCs w:val="22"/>
                <w:lang w:eastAsia="en-GB"/>
              </w:rPr>
            </w:pPr>
            <w:r w:rsidRPr="000062BC">
              <w:rPr>
                <w:rFonts w:cs="Arial"/>
                <w:color w:val="FFFFFF"/>
                <w:sz w:val="22"/>
                <w:szCs w:val="22"/>
                <w:lang w:eastAsia="en-GB"/>
              </w:rPr>
              <w:t> </w:t>
            </w:r>
          </w:p>
        </w:tc>
        <w:tc>
          <w:tcPr>
            <w:tcW w:w="2689" w:type="dxa"/>
            <w:gridSpan w:val="3"/>
            <w:tcBorders>
              <w:top w:val="single" w:sz="4" w:space="0" w:color="auto"/>
              <w:left w:val="nil"/>
              <w:right w:val="nil"/>
            </w:tcBorders>
            <w:shd w:val="clear" w:color="000000" w:fill="000000"/>
            <w:noWrap/>
            <w:vAlign w:val="center"/>
            <w:hideMark/>
          </w:tcPr>
          <w:p w14:paraId="2DAB930F" w14:textId="7F9056D9" w:rsidR="003334A3" w:rsidRPr="000062BC" w:rsidRDefault="003334A3" w:rsidP="003334A3">
            <w:pPr>
              <w:jc w:val="center"/>
              <w:rPr>
                <w:rFonts w:cs="Arial"/>
                <w:b/>
                <w:bCs/>
                <w:color w:val="FFFFFF"/>
                <w:sz w:val="22"/>
                <w:szCs w:val="22"/>
                <w:lang w:eastAsia="en-GB"/>
              </w:rPr>
            </w:pPr>
            <w:r w:rsidRPr="000062BC">
              <w:rPr>
                <w:rFonts w:cs="Arial"/>
                <w:b/>
                <w:bCs/>
                <w:color w:val="FFFFFF"/>
                <w:sz w:val="22"/>
                <w:szCs w:val="22"/>
                <w:lang w:eastAsia="en-GB"/>
              </w:rPr>
              <w:t>202</w:t>
            </w:r>
            <w:r w:rsidR="00E46377" w:rsidRPr="000062BC">
              <w:rPr>
                <w:rFonts w:cs="Arial"/>
                <w:b/>
                <w:bCs/>
                <w:color w:val="FFFFFF"/>
                <w:sz w:val="22"/>
                <w:szCs w:val="22"/>
                <w:lang w:eastAsia="en-GB"/>
              </w:rPr>
              <w:t>1</w:t>
            </w:r>
            <w:r w:rsidRPr="000062BC">
              <w:rPr>
                <w:rFonts w:cs="Arial"/>
                <w:b/>
                <w:bCs/>
                <w:color w:val="FFFFFF"/>
                <w:sz w:val="22"/>
                <w:szCs w:val="22"/>
                <w:lang w:eastAsia="en-GB"/>
              </w:rPr>
              <w:t>/2</w:t>
            </w:r>
            <w:r w:rsidR="00E46377" w:rsidRPr="000062BC">
              <w:rPr>
                <w:rFonts w:cs="Arial"/>
                <w:b/>
                <w:bCs/>
                <w:color w:val="FFFFFF"/>
                <w:sz w:val="22"/>
                <w:szCs w:val="22"/>
                <w:lang w:eastAsia="en-GB"/>
              </w:rPr>
              <w:t>2</w:t>
            </w:r>
          </w:p>
        </w:tc>
        <w:tc>
          <w:tcPr>
            <w:tcW w:w="4678" w:type="dxa"/>
            <w:tcBorders>
              <w:top w:val="single" w:sz="4" w:space="0" w:color="auto"/>
              <w:left w:val="nil"/>
              <w:right w:val="nil"/>
            </w:tcBorders>
            <w:shd w:val="clear" w:color="000000" w:fill="000000"/>
            <w:noWrap/>
            <w:vAlign w:val="center"/>
            <w:hideMark/>
          </w:tcPr>
          <w:p w14:paraId="2A358190" w14:textId="77777777" w:rsidR="003334A3" w:rsidRPr="000062BC" w:rsidRDefault="003334A3" w:rsidP="003334A3">
            <w:pPr>
              <w:rPr>
                <w:rFonts w:cs="Arial"/>
                <w:color w:val="FFFFFF"/>
                <w:sz w:val="22"/>
                <w:szCs w:val="22"/>
                <w:lang w:eastAsia="en-GB"/>
              </w:rPr>
            </w:pPr>
            <w:r w:rsidRPr="000062BC">
              <w:rPr>
                <w:rFonts w:cs="Arial"/>
                <w:color w:val="FFFFFF"/>
                <w:sz w:val="22"/>
                <w:szCs w:val="22"/>
                <w:lang w:eastAsia="en-GB"/>
              </w:rPr>
              <w:t> </w:t>
            </w:r>
          </w:p>
        </w:tc>
        <w:tc>
          <w:tcPr>
            <w:tcW w:w="2572" w:type="dxa"/>
            <w:gridSpan w:val="3"/>
            <w:tcBorders>
              <w:top w:val="single" w:sz="4" w:space="0" w:color="auto"/>
              <w:left w:val="nil"/>
              <w:right w:val="nil"/>
            </w:tcBorders>
            <w:shd w:val="clear" w:color="000000" w:fill="000000"/>
            <w:noWrap/>
            <w:vAlign w:val="center"/>
            <w:hideMark/>
          </w:tcPr>
          <w:p w14:paraId="61B8465B" w14:textId="0A4AB477" w:rsidR="003334A3" w:rsidRPr="000062BC" w:rsidRDefault="003334A3" w:rsidP="003334A3">
            <w:pPr>
              <w:jc w:val="center"/>
              <w:rPr>
                <w:rFonts w:cs="Arial"/>
                <w:b/>
                <w:bCs/>
                <w:color w:val="FFFFFF"/>
                <w:sz w:val="22"/>
                <w:szCs w:val="22"/>
                <w:lang w:eastAsia="en-GB"/>
              </w:rPr>
            </w:pPr>
            <w:r w:rsidRPr="000062BC">
              <w:rPr>
                <w:rFonts w:cs="Arial"/>
                <w:b/>
                <w:bCs/>
                <w:color w:val="FFFFFF"/>
                <w:sz w:val="22"/>
                <w:szCs w:val="22"/>
                <w:lang w:eastAsia="en-GB"/>
              </w:rPr>
              <w:t>202</w:t>
            </w:r>
            <w:r w:rsidR="00E46377" w:rsidRPr="000062BC">
              <w:rPr>
                <w:rFonts w:cs="Arial"/>
                <w:b/>
                <w:bCs/>
                <w:color w:val="FFFFFF"/>
                <w:sz w:val="22"/>
                <w:szCs w:val="22"/>
                <w:lang w:eastAsia="en-GB"/>
              </w:rPr>
              <w:t>2</w:t>
            </w:r>
            <w:r w:rsidRPr="000062BC">
              <w:rPr>
                <w:rFonts w:cs="Arial"/>
                <w:b/>
                <w:bCs/>
                <w:color w:val="FFFFFF"/>
                <w:sz w:val="22"/>
                <w:szCs w:val="22"/>
                <w:lang w:eastAsia="en-GB"/>
              </w:rPr>
              <w:t>/2</w:t>
            </w:r>
            <w:r w:rsidR="00E46377" w:rsidRPr="000062BC">
              <w:rPr>
                <w:rFonts w:cs="Arial"/>
                <w:b/>
                <w:bCs/>
                <w:color w:val="FFFFFF"/>
                <w:sz w:val="22"/>
                <w:szCs w:val="22"/>
                <w:lang w:eastAsia="en-GB"/>
              </w:rPr>
              <w:t>3</w:t>
            </w:r>
          </w:p>
        </w:tc>
        <w:tc>
          <w:tcPr>
            <w:tcW w:w="278" w:type="dxa"/>
            <w:tcBorders>
              <w:top w:val="single" w:sz="4" w:space="0" w:color="auto"/>
              <w:left w:val="nil"/>
              <w:right w:val="single" w:sz="4" w:space="0" w:color="auto"/>
            </w:tcBorders>
            <w:shd w:val="clear" w:color="000000" w:fill="000000"/>
            <w:noWrap/>
            <w:vAlign w:val="center"/>
            <w:hideMark/>
          </w:tcPr>
          <w:p w14:paraId="756FF11D" w14:textId="77777777" w:rsidR="003334A3" w:rsidRPr="000062BC" w:rsidRDefault="003334A3" w:rsidP="003334A3">
            <w:pPr>
              <w:rPr>
                <w:rFonts w:cs="Arial"/>
                <w:color w:val="FFFFFF"/>
                <w:sz w:val="22"/>
                <w:szCs w:val="22"/>
                <w:lang w:eastAsia="en-GB"/>
              </w:rPr>
            </w:pPr>
            <w:r w:rsidRPr="000062BC">
              <w:rPr>
                <w:rFonts w:cs="Arial"/>
                <w:color w:val="FFFFFF"/>
                <w:sz w:val="22"/>
                <w:szCs w:val="22"/>
                <w:lang w:eastAsia="en-GB"/>
              </w:rPr>
              <w:t> </w:t>
            </w:r>
          </w:p>
        </w:tc>
      </w:tr>
      <w:tr w:rsidR="00E46377" w:rsidRPr="000062BC" w14:paraId="7F1C31F9" w14:textId="77777777" w:rsidTr="008F5F09">
        <w:trPr>
          <w:trHeight w:val="560"/>
        </w:trPr>
        <w:tc>
          <w:tcPr>
            <w:tcW w:w="278" w:type="dxa"/>
            <w:tcBorders>
              <w:left w:val="single" w:sz="4" w:space="0" w:color="auto"/>
              <w:bottom w:val="nil"/>
              <w:right w:val="nil"/>
            </w:tcBorders>
            <w:shd w:val="clear" w:color="000000" w:fill="000000"/>
            <w:noWrap/>
            <w:vAlign w:val="center"/>
            <w:hideMark/>
          </w:tcPr>
          <w:p w14:paraId="2B8E1E76" w14:textId="77777777" w:rsidR="003334A3" w:rsidRPr="000062BC" w:rsidRDefault="003334A3" w:rsidP="003334A3">
            <w:pPr>
              <w:rPr>
                <w:rFonts w:cs="Arial"/>
                <w:color w:val="FFFFFF"/>
                <w:sz w:val="22"/>
                <w:szCs w:val="22"/>
                <w:lang w:eastAsia="en-GB"/>
              </w:rPr>
            </w:pPr>
            <w:r w:rsidRPr="000062BC">
              <w:rPr>
                <w:rFonts w:cs="Arial"/>
                <w:color w:val="FFFFFF"/>
                <w:sz w:val="22"/>
                <w:szCs w:val="22"/>
                <w:lang w:eastAsia="en-GB"/>
              </w:rPr>
              <w:t> </w:t>
            </w:r>
          </w:p>
        </w:tc>
        <w:tc>
          <w:tcPr>
            <w:tcW w:w="852" w:type="dxa"/>
            <w:tcBorders>
              <w:left w:val="nil"/>
              <w:bottom w:val="nil"/>
              <w:right w:val="nil"/>
            </w:tcBorders>
            <w:shd w:val="clear" w:color="000000" w:fill="000000"/>
            <w:vAlign w:val="center"/>
            <w:hideMark/>
          </w:tcPr>
          <w:p w14:paraId="063362CC" w14:textId="77777777" w:rsidR="003334A3" w:rsidRPr="000062BC" w:rsidRDefault="003334A3" w:rsidP="003334A3">
            <w:pPr>
              <w:jc w:val="center"/>
              <w:rPr>
                <w:rFonts w:cs="Arial"/>
                <w:b/>
                <w:bCs/>
                <w:color w:val="FFFFFF"/>
                <w:sz w:val="22"/>
                <w:szCs w:val="22"/>
                <w:lang w:eastAsia="en-GB"/>
              </w:rPr>
            </w:pPr>
            <w:r w:rsidRPr="000062BC">
              <w:rPr>
                <w:rFonts w:cs="Arial"/>
                <w:b/>
                <w:bCs/>
                <w:color w:val="FFFFFF"/>
                <w:sz w:val="22"/>
                <w:szCs w:val="22"/>
                <w:lang w:eastAsia="en-GB"/>
              </w:rPr>
              <w:t>Gross Exp</w:t>
            </w:r>
          </w:p>
        </w:tc>
        <w:tc>
          <w:tcPr>
            <w:tcW w:w="987" w:type="dxa"/>
            <w:tcBorders>
              <w:left w:val="nil"/>
              <w:bottom w:val="nil"/>
              <w:right w:val="nil"/>
            </w:tcBorders>
            <w:shd w:val="clear" w:color="000000" w:fill="000000"/>
            <w:vAlign w:val="center"/>
            <w:hideMark/>
          </w:tcPr>
          <w:p w14:paraId="7C61DBFC" w14:textId="77777777" w:rsidR="003334A3" w:rsidRPr="000062BC" w:rsidRDefault="003334A3" w:rsidP="003334A3">
            <w:pPr>
              <w:jc w:val="center"/>
              <w:rPr>
                <w:rFonts w:cs="Arial"/>
                <w:b/>
                <w:bCs/>
                <w:color w:val="FFFFFF"/>
                <w:sz w:val="22"/>
                <w:szCs w:val="22"/>
                <w:lang w:eastAsia="en-GB"/>
              </w:rPr>
            </w:pPr>
            <w:r w:rsidRPr="000062BC">
              <w:rPr>
                <w:rFonts w:cs="Arial"/>
                <w:b/>
                <w:bCs/>
                <w:color w:val="FFFFFF"/>
                <w:sz w:val="22"/>
                <w:szCs w:val="22"/>
                <w:lang w:eastAsia="en-GB"/>
              </w:rPr>
              <w:t>Gross Income</w:t>
            </w:r>
          </w:p>
        </w:tc>
        <w:tc>
          <w:tcPr>
            <w:tcW w:w="850" w:type="dxa"/>
            <w:tcBorders>
              <w:left w:val="nil"/>
              <w:bottom w:val="nil"/>
              <w:right w:val="nil"/>
            </w:tcBorders>
            <w:shd w:val="clear" w:color="000000" w:fill="000000"/>
            <w:vAlign w:val="center"/>
            <w:hideMark/>
          </w:tcPr>
          <w:p w14:paraId="5141555F" w14:textId="77777777" w:rsidR="003334A3" w:rsidRPr="000062BC" w:rsidRDefault="003334A3" w:rsidP="003334A3">
            <w:pPr>
              <w:jc w:val="center"/>
              <w:rPr>
                <w:rFonts w:cs="Arial"/>
                <w:b/>
                <w:bCs/>
                <w:color w:val="FFFFFF"/>
                <w:sz w:val="22"/>
                <w:szCs w:val="22"/>
                <w:lang w:eastAsia="en-GB"/>
              </w:rPr>
            </w:pPr>
            <w:r w:rsidRPr="000062BC">
              <w:rPr>
                <w:rFonts w:cs="Arial"/>
                <w:b/>
                <w:bCs/>
                <w:color w:val="FFFFFF"/>
                <w:sz w:val="22"/>
                <w:szCs w:val="22"/>
                <w:lang w:eastAsia="en-GB"/>
              </w:rPr>
              <w:t>Net Exp</w:t>
            </w:r>
          </w:p>
        </w:tc>
        <w:tc>
          <w:tcPr>
            <w:tcW w:w="4678" w:type="dxa"/>
            <w:tcBorders>
              <w:left w:val="nil"/>
              <w:bottom w:val="nil"/>
              <w:right w:val="nil"/>
            </w:tcBorders>
            <w:shd w:val="clear" w:color="000000" w:fill="000000"/>
            <w:noWrap/>
            <w:vAlign w:val="center"/>
            <w:hideMark/>
          </w:tcPr>
          <w:p w14:paraId="5274FD0B" w14:textId="77777777" w:rsidR="003334A3" w:rsidRPr="000062BC" w:rsidRDefault="003334A3" w:rsidP="003334A3">
            <w:pPr>
              <w:jc w:val="center"/>
              <w:rPr>
                <w:rFonts w:cs="Arial"/>
                <w:b/>
                <w:bCs/>
                <w:color w:val="FFFFFF"/>
                <w:sz w:val="22"/>
                <w:szCs w:val="22"/>
                <w:lang w:eastAsia="en-GB"/>
              </w:rPr>
            </w:pPr>
            <w:r w:rsidRPr="000062BC">
              <w:rPr>
                <w:rFonts w:cs="Arial"/>
                <w:b/>
                <w:bCs/>
                <w:color w:val="FFFFFF"/>
                <w:sz w:val="22"/>
                <w:szCs w:val="22"/>
                <w:lang w:eastAsia="en-GB"/>
              </w:rPr>
              <w:t> </w:t>
            </w:r>
          </w:p>
        </w:tc>
        <w:tc>
          <w:tcPr>
            <w:tcW w:w="852" w:type="dxa"/>
            <w:tcBorders>
              <w:left w:val="nil"/>
              <w:bottom w:val="nil"/>
              <w:right w:val="nil"/>
            </w:tcBorders>
            <w:shd w:val="clear" w:color="000000" w:fill="000000"/>
            <w:vAlign w:val="center"/>
            <w:hideMark/>
          </w:tcPr>
          <w:p w14:paraId="6D1C7F89" w14:textId="77777777" w:rsidR="003334A3" w:rsidRPr="000062BC" w:rsidRDefault="003334A3" w:rsidP="003334A3">
            <w:pPr>
              <w:jc w:val="center"/>
              <w:rPr>
                <w:rFonts w:cs="Arial"/>
                <w:b/>
                <w:bCs/>
                <w:color w:val="FFFFFF"/>
                <w:sz w:val="22"/>
                <w:szCs w:val="22"/>
                <w:lang w:eastAsia="en-GB"/>
              </w:rPr>
            </w:pPr>
            <w:r w:rsidRPr="000062BC">
              <w:rPr>
                <w:rFonts w:cs="Arial"/>
                <w:b/>
                <w:bCs/>
                <w:color w:val="FFFFFF"/>
                <w:sz w:val="22"/>
                <w:szCs w:val="22"/>
                <w:lang w:eastAsia="en-GB"/>
              </w:rPr>
              <w:t>Gross Exp</w:t>
            </w:r>
          </w:p>
        </w:tc>
        <w:tc>
          <w:tcPr>
            <w:tcW w:w="990" w:type="dxa"/>
            <w:tcBorders>
              <w:left w:val="nil"/>
              <w:bottom w:val="nil"/>
              <w:right w:val="nil"/>
            </w:tcBorders>
            <w:shd w:val="clear" w:color="000000" w:fill="000000"/>
            <w:vAlign w:val="center"/>
            <w:hideMark/>
          </w:tcPr>
          <w:p w14:paraId="7955A43A" w14:textId="77777777" w:rsidR="003334A3" w:rsidRPr="000062BC" w:rsidRDefault="003334A3" w:rsidP="003334A3">
            <w:pPr>
              <w:jc w:val="center"/>
              <w:rPr>
                <w:rFonts w:cs="Arial"/>
                <w:b/>
                <w:bCs/>
                <w:color w:val="FFFFFF"/>
                <w:sz w:val="22"/>
                <w:szCs w:val="22"/>
                <w:lang w:eastAsia="en-GB"/>
              </w:rPr>
            </w:pPr>
            <w:r w:rsidRPr="000062BC">
              <w:rPr>
                <w:rFonts w:cs="Arial"/>
                <w:b/>
                <w:bCs/>
                <w:color w:val="FFFFFF"/>
                <w:sz w:val="22"/>
                <w:szCs w:val="22"/>
                <w:lang w:eastAsia="en-GB"/>
              </w:rPr>
              <w:t>Gross Income</w:t>
            </w:r>
          </w:p>
        </w:tc>
        <w:tc>
          <w:tcPr>
            <w:tcW w:w="730" w:type="dxa"/>
            <w:tcBorders>
              <w:left w:val="nil"/>
              <w:bottom w:val="nil"/>
              <w:right w:val="nil"/>
            </w:tcBorders>
            <w:shd w:val="clear" w:color="000000" w:fill="000000"/>
            <w:vAlign w:val="center"/>
            <w:hideMark/>
          </w:tcPr>
          <w:p w14:paraId="658A2FD7" w14:textId="77777777" w:rsidR="003334A3" w:rsidRPr="000062BC" w:rsidRDefault="003334A3" w:rsidP="003334A3">
            <w:pPr>
              <w:jc w:val="center"/>
              <w:rPr>
                <w:rFonts w:cs="Arial"/>
                <w:b/>
                <w:bCs/>
                <w:color w:val="FFFFFF"/>
                <w:sz w:val="22"/>
                <w:szCs w:val="22"/>
                <w:lang w:eastAsia="en-GB"/>
              </w:rPr>
            </w:pPr>
            <w:r w:rsidRPr="000062BC">
              <w:rPr>
                <w:rFonts w:cs="Arial"/>
                <w:b/>
                <w:bCs/>
                <w:color w:val="FFFFFF"/>
                <w:sz w:val="22"/>
                <w:szCs w:val="22"/>
                <w:lang w:eastAsia="en-GB"/>
              </w:rPr>
              <w:t>Net Exp</w:t>
            </w:r>
          </w:p>
        </w:tc>
        <w:tc>
          <w:tcPr>
            <w:tcW w:w="278" w:type="dxa"/>
            <w:tcBorders>
              <w:left w:val="nil"/>
              <w:bottom w:val="nil"/>
              <w:right w:val="single" w:sz="4" w:space="0" w:color="auto"/>
            </w:tcBorders>
            <w:shd w:val="clear" w:color="000000" w:fill="000000"/>
            <w:noWrap/>
            <w:vAlign w:val="center"/>
            <w:hideMark/>
          </w:tcPr>
          <w:p w14:paraId="015A452B" w14:textId="77777777" w:rsidR="003334A3" w:rsidRPr="000062BC" w:rsidRDefault="003334A3" w:rsidP="003334A3">
            <w:pPr>
              <w:rPr>
                <w:rFonts w:cs="Arial"/>
                <w:color w:val="FFFFFF"/>
                <w:sz w:val="22"/>
                <w:szCs w:val="22"/>
                <w:lang w:eastAsia="en-GB"/>
              </w:rPr>
            </w:pPr>
            <w:r w:rsidRPr="000062BC">
              <w:rPr>
                <w:rFonts w:cs="Arial"/>
                <w:color w:val="FFFFFF"/>
                <w:sz w:val="22"/>
                <w:szCs w:val="22"/>
                <w:lang w:eastAsia="en-GB"/>
              </w:rPr>
              <w:t> </w:t>
            </w:r>
          </w:p>
        </w:tc>
      </w:tr>
      <w:tr w:rsidR="00E46377" w:rsidRPr="000062BC" w14:paraId="63ADE656" w14:textId="77777777" w:rsidTr="008F5F09">
        <w:trPr>
          <w:trHeight w:val="280"/>
        </w:trPr>
        <w:tc>
          <w:tcPr>
            <w:tcW w:w="278" w:type="dxa"/>
            <w:tcBorders>
              <w:top w:val="nil"/>
              <w:left w:val="single" w:sz="4" w:space="0" w:color="auto"/>
              <w:bottom w:val="single" w:sz="4" w:space="0" w:color="auto"/>
              <w:right w:val="nil"/>
            </w:tcBorders>
            <w:shd w:val="clear" w:color="000000" w:fill="000000"/>
            <w:noWrap/>
            <w:vAlign w:val="center"/>
            <w:hideMark/>
          </w:tcPr>
          <w:p w14:paraId="77B615DD" w14:textId="77777777" w:rsidR="003334A3" w:rsidRPr="000062BC" w:rsidRDefault="003334A3" w:rsidP="003334A3">
            <w:pPr>
              <w:rPr>
                <w:rFonts w:cs="Arial"/>
                <w:color w:val="FFFFFF"/>
                <w:sz w:val="22"/>
                <w:szCs w:val="22"/>
                <w:lang w:eastAsia="en-GB"/>
              </w:rPr>
            </w:pPr>
            <w:r w:rsidRPr="000062BC">
              <w:rPr>
                <w:rFonts w:cs="Arial"/>
                <w:color w:val="FFFFFF"/>
                <w:sz w:val="22"/>
                <w:szCs w:val="22"/>
                <w:lang w:eastAsia="en-GB"/>
              </w:rPr>
              <w:t> </w:t>
            </w:r>
          </w:p>
        </w:tc>
        <w:tc>
          <w:tcPr>
            <w:tcW w:w="852" w:type="dxa"/>
            <w:tcBorders>
              <w:top w:val="nil"/>
              <w:left w:val="nil"/>
              <w:bottom w:val="single" w:sz="4" w:space="0" w:color="auto"/>
              <w:right w:val="nil"/>
            </w:tcBorders>
            <w:shd w:val="clear" w:color="000000" w:fill="000000"/>
            <w:noWrap/>
            <w:vAlign w:val="center"/>
            <w:hideMark/>
          </w:tcPr>
          <w:p w14:paraId="1F71C722" w14:textId="77777777" w:rsidR="003334A3" w:rsidRPr="000062BC" w:rsidRDefault="003334A3" w:rsidP="003334A3">
            <w:pPr>
              <w:jc w:val="center"/>
              <w:rPr>
                <w:rFonts w:cs="Arial"/>
                <w:b/>
                <w:bCs/>
                <w:color w:val="FFFFFF"/>
                <w:sz w:val="22"/>
                <w:szCs w:val="22"/>
                <w:lang w:eastAsia="en-GB"/>
              </w:rPr>
            </w:pPr>
            <w:r w:rsidRPr="000062BC">
              <w:rPr>
                <w:rFonts w:cs="Arial"/>
                <w:b/>
                <w:bCs/>
                <w:color w:val="FFFFFF"/>
                <w:sz w:val="22"/>
                <w:szCs w:val="22"/>
                <w:lang w:eastAsia="en-GB"/>
              </w:rPr>
              <w:t>£000</w:t>
            </w:r>
          </w:p>
        </w:tc>
        <w:tc>
          <w:tcPr>
            <w:tcW w:w="987" w:type="dxa"/>
            <w:tcBorders>
              <w:top w:val="nil"/>
              <w:left w:val="nil"/>
              <w:bottom w:val="single" w:sz="4" w:space="0" w:color="auto"/>
              <w:right w:val="nil"/>
            </w:tcBorders>
            <w:shd w:val="clear" w:color="000000" w:fill="000000"/>
            <w:noWrap/>
            <w:vAlign w:val="center"/>
            <w:hideMark/>
          </w:tcPr>
          <w:p w14:paraId="6AF122F7" w14:textId="77777777" w:rsidR="003334A3" w:rsidRPr="000062BC" w:rsidRDefault="003334A3" w:rsidP="003334A3">
            <w:pPr>
              <w:jc w:val="center"/>
              <w:rPr>
                <w:rFonts w:cs="Arial"/>
                <w:b/>
                <w:bCs/>
                <w:color w:val="FFFFFF"/>
                <w:sz w:val="22"/>
                <w:szCs w:val="22"/>
                <w:lang w:eastAsia="en-GB"/>
              </w:rPr>
            </w:pPr>
            <w:r w:rsidRPr="000062BC">
              <w:rPr>
                <w:rFonts w:cs="Arial"/>
                <w:b/>
                <w:bCs/>
                <w:color w:val="FFFFFF"/>
                <w:sz w:val="22"/>
                <w:szCs w:val="22"/>
                <w:lang w:eastAsia="en-GB"/>
              </w:rPr>
              <w:t>£000</w:t>
            </w:r>
          </w:p>
        </w:tc>
        <w:tc>
          <w:tcPr>
            <w:tcW w:w="850" w:type="dxa"/>
            <w:tcBorders>
              <w:top w:val="nil"/>
              <w:left w:val="nil"/>
              <w:bottom w:val="single" w:sz="4" w:space="0" w:color="auto"/>
              <w:right w:val="nil"/>
            </w:tcBorders>
            <w:shd w:val="clear" w:color="000000" w:fill="000000"/>
            <w:noWrap/>
            <w:vAlign w:val="center"/>
            <w:hideMark/>
          </w:tcPr>
          <w:p w14:paraId="3FD73FBD" w14:textId="77777777" w:rsidR="003334A3" w:rsidRPr="000062BC" w:rsidRDefault="003334A3" w:rsidP="003334A3">
            <w:pPr>
              <w:jc w:val="center"/>
              <w:rPr>
                <w:rFonts w:cs="Arial"/>
                <w:b/>
                <w:bCs/>
                <w:color w:val="FFFFFF"/>
                <w:sz w:val="22"/>
                <w:szCs w:val="22"/>
                <w:lang w:eastAsia="en-GB"/>
              </w:rPr>
            </w:pPr>
            <w:r w:rsidRPr="000062BC">
              <w:rPr>
                <w:rFonts w:cs="Arial"/>
                <w:b/>
                <w:bCs/>
                <w:color w:val="FFFFFF"/>
                <w:sz w:val="22"/>
                <w:szCs w:val="22"/>
                <w:lang w:eastAsia="en-GB"/>
              </w:rPr>
              <w:t>£000</w:t>
            </w:r>
          </w:p>
        </w:tc>
        <w:tc>
          <w:tcPr>
            <w:tcW w:w="4678" w:type="dxa"/>
            <w:tcBorders>
              <w:top w:val="nil"/>
              <w:left w:val="nil"/>
              <w:bottom w:val="single" w:sz="4" w:space="0" w:color="auto"/>
              <w:right w:val="nil"/>
            </w:tcBorders>
            <w:shd w:val="clear" w:color="000000" w:fill="000000"/>
            <w:noWrap/>
            <w:vAlign w:val="center"/>
            <w:hideMark/>
          </w:tcPr>
          <w:p w14:paraId="3FB4FF9D" w14:textId="77777777" w:rsidR="003334A3" w:rsidRPr="000062BC" w:rsidRDefault="003334A3" w:rsidP="003334A3">
            <w:pPr>
              <w:jc w:val="center"/>
              <w:rPr>
                <w:rFonts w:cs="Arial"/>
                <w:b/>
                <w:bCs/>
                <w:color w:val="FFFFFF"/>
                <w:sz w:val="22"/>
                <w:szCs w:val="22"/>
                <w:lang w:eastAsia="en-GB"/>
              </w:rPr>
            </w:pPr>
            <w:r w:rsidRPr="000062BC">
              <w:rPr>
                <w:rFonts w:cs="Arial"/>
                <w:b/>
                <w:bCs/>
                <w:color w:val="FFFFFF"/>
                <w:sz w:val="22"/>
                <w:szCs w:val="22"/>
                <w:lang w:eastAsia="en-GB"/>
              </w:rPr>
              <w:t> </w:t>
            </w:r>
          </w:p>
        </w:tc>
        <w:tc>
          <w:tcPr>
            <w:tcW w:w="852" w:type="dxa"/>
            <w:tcBorders>
              <w:top w:val="nil"/>
              <w:left w:val="nil"/>
              <w:bottom w:val="single" w:sz="4" w:space="0" w:color="auto"/>
              <w:right w:val="nil"/>
            </w:tcBorders>
            <w:shd w:val="clear" w:color="000000" w:fill="000000"/>
            <w:noWrap/>
            <w:vAlign w:val="center"/>
            <w:hideMark/>
          </w:tcPr>
          <w:p w14:paraId="1DBF0E97" w14:textId="77777777" w:rsidR="003334A3" w:rsidRPr="000062BC" w:rsidRDefault="003334A3" w:rsidP="003334A3">
            <w:pPr>
              <w:jc w:val="center"/>
              <w:rPr>
                <w:rFonts w:cs="Arial"/>
                <w:b/>
                <w:bCs/>
                <w:color w:val="FFFFFF"/>
                <w:sz w:val="22"/>
                <w:szCs w:val="22"/>
                <w:lang w:eastAsia="en-GB"/>
              </w:rPr>
            </w:pPr>
            <w:r w:rsidRPr="000062BC">
              <w:rPr>
                <w:rFonts w:cs="Arial"/>
                <w:b/>
                <w:bCs/>
                <w:color w:val="FFFFFF"/>
                <w:sz w:val="22"/>
                <w:szCs w:val="22"/>
                <w:lang w:eastAsia="en-GB"/>
              </w:rPr>
              <w:t>£000</w:t>
            </w:r>
          </w:p>
        </w:tc>
        <w:tc>
          <w:tcPr>
            <w:tcW w:w="990" w:type="dxa"/>
            <w:tcBorders>
              <w:top w:val="nil"/>
              <w:left w:val="nil"/>
              <w:bottom w:val="single" w:sz="4" w:space="0" w:color="auto"/>
              <w:right w:val="nil"/>
            </w:tcBorders>
            <w:shd w:val="clear" w:color="000000" w:fill="000000"/>
            <w:noWrap/>
            <w:vAlign w:val="center"/>
            <w:hideMark/>
          </w:tcPr>
          <w:p w14:paraId="459F878E" w14:textId="77777777" w:rsidR="003334A3" w:rsidRPr="000062BC" w:rsidRDefault="003334A3" w:rsidP="003334A3">
            <w:pPr>
              <w:jc w:val="center"/>
              <w:rPr>
                <w:rFonts w:cs="Arial"/>
                <w:b/>
                <w:bCs/>
                <w:color w:val="FFFFFF"/>
                <w:sz w:val="22"/>
                <w:szCs w:val="22"/>
                <w:lang w:eastAsia="en-GB"/>
              </w:rPr>
            </w:pPr>
            <w:r w:rsidRPr="000062BC">
              <w:rPr>
                <w:rFonts w:cs="Arial"/>
                <w:b/>
                <w:bCs/>
                <w:color w:val="FFFFFF"/>
                <w:sz w:val="22"/>
                <w:szCs w:val="22"/>
                <w:lang w:eastAsia="en-GB"/>
              </w:rPr>
              <w:t>£000</w:t>
            </w:r>
          </w:p>
        </w:tc>
        <w:tc>
          <w:tcPr>
            <w:tcW w:w="730" w:type="dxa"/>
            <w:tcBorders>
              <w:top w:val="nil"/>
              <w:left w:val="nil"/>
              <w:bottom w:val="single" w:sz="4" w:space="0" w:color="auto"/>
              <w:right w:val="nil"/>
            </w:tcBorders>
            <w:shd w:val="clear" w:color="000000" w:fill="000000"/>
            <w:noWrap/>
            <w:vAlign w:val="center"/>
            <w:hideMark/>
          </w:tcPr>
          <w:p w14:paraId="14201E1E" w14:textId="77777777" w:rsidR="003334A3" w:rsidRPr="000062BC" w:rsidRDefault="003334A3" w:rsidP="003334A3">
            <w:pPr>
              <w:jc w:val="center"/>
              <w:rPr>
                <w:rFonts w:cs="Arial"/>
                <w:b/>
                <w:bCs/>
                <w:color w:val="FFFFFF"/>
                <w:sz w:val="22"/>
                <w:szCs w:val="22"/>
                <w:lang w:eastAsia="en-GB"/>
              </w:rPr>
            </w:pPr>
            <w:r w:rsidRPr="000062BC">
              <w:rPr>
                <w:rFonts w:cs="Arial"/>
                <w:b/>
                <w:bCs/>
                <w:color w:val="FFFFFF"/>
                <w:sz w:val="22"/>
                <w:szCs w:val="22"/>
                <w:lang w:eastAsia="en-GB"/>
              </w:rPr>
              <w:t>£000</w:t>
            </w:r>
          </w:p>
        </w:tc>
        <w:tc>
          <w:tcPr>
            <w:tcW w:w="278" w:type="dxa"/>
            <w:tcBorders>
              <w:top w:val="nil"/>
              <w:left w:val="nil"/>
              <w:bottom w:val="single" w:sz="4" w:space="0" w:color="auto"/>
              <w:right w:val="single" w:sz="4" w:space="0" w:color="auto"/>
            </w:tcBorders>
            <w:shd w:val="clear" w:color="000000" w:fill="000000"/>
            <w:noWrap/>
            <w:vAlign w:val="center"/>
            <w:hideMark/>
          </w:tcPr>
          <w:p w14:paraId="2F301BF9" w14:textId="77777777" w:rsidR="003334A3" w:rsidRPr="000062BC" w:rsidRDefault="003334A3" w:rsidP="003334A3">
            <w:pPr>
              <w:rPr>
                <w:rFonts w:cs="Arial"/>
                <w:color w:val="FFFFFF"/>
                <w:sz w:val="22"/>
                <w:szCs w:val="22"/>
                <w:lang w:eastAsia="en-GB"/>
              </w:rPr>
            </w:pPr>
            <w:r w:rsidRPr="000062BC">
              <w:rPr>
                <w:rFonts w:cs="Arial"/>
                <w:color w:val="FFFFFF"/>
                <w:sz w:val="22"/>
                <w:szCs w:val="22"/>
                <w:lang w:eastAsia="en-GB"/>
              </w:rPr>
              <w:t> </w:t>
            </w:r>
          </w:p>
        </w:tc>
      </w:tr>
      <w:tr w:rsidR="00E46377" w:rsidRPr="000062BC" w14:paraId="0ECF3E45" w14:textId="77777777" w:rsidTr="008F5F09">
        <w:trPr>
          <w:trHeight w:val="280"/>
        </w:trPr>
        <w:tc>
          <w:tcPr>
            <w:tcW w:w="278" w:type="dxa"/>
            <w:tcBorders>
              <w:top w:val="single" w:sz="4" w:space="0" w:color="auto"/>
              <w:left w:val="single" w:sz="8" w:space="0" w:color="auto"/>
              <w:bottom w:val="nil"/>
              <w:right w:val="nil"/>
            </w:tcBorders>
            <w:shd w:val="clear" w:color="000000" w:fill="FFFFFF"/>
            <w:noWrap/>
            <w:vAlign w:val="center"/>
            <w:hideMark/>
          </w:tcPr>
          <w:p w14:paraId="216A6B01" w14:textId="77777777" w:rsidR="003334A3" w:rsidRPr="000062BC" w:rsidRDefault="003334A3" w:rsidP="003334A3">
            <w:pPr>
              <w:rPr>
                <w:rFonts w:cs="Arial"/>
                <w:sz w:val="22"/>
                <w:szCs w:val="22"/>
                <w:lang w:eastAsia="en-GB"/>
              </w:rPr>
            </w:pPr>
            <w:r w:rsidRPr="000062BC">
              <w:rPr>
                <w:rFonts w:cs="Arial"/>
                <w:sz w:val="22"/>
                <w:szCs w:val="22"/>
                <w:lang w:eastAsia="en-GB"/>
              </w:rPr>
              <w:t> </w:t>
            </w:r>
          </w:p>
        </w:tc>
        <w:tc>
          <w:tcPr>
            <w:tcW w:w="852" w:type="dxa"/>
            <w:tcBorders>
              <w:top w:val="single" w:sz="4" w:space="0" w:color="auto"/>
              <w:left w:val="nil"/>
              <w:bottom w:val="nil"/>
              <w:right w:val="nil"/>
            </w:tcBorders>
            <w:shd w:val="clear" w:color="000000" w:fill="FFFFFF"/>
            <w:noWrap/>
            <w:vAlign w:val="center"/>
            <w:hideMark/>
          </w:tcPr>
          <w:p w14:paraId="0A97BF36" w14:textId="77777777" w:rsidR="003334A3" w:rsidRPr="000062BC" w:rsidRDefault="003334A3" w:rsidP="003334A3">
            <w:pPr>
              <w:rPr>
                <w:rFonts w:cs="Arial"/>
                <w:sz w:val="22"/>
                <w:szCs w:val="22"/>
                <w:lang w:eastAsia="en-GB"/>
              </w:rPr>
            </w:pPr>
            <w:r w:rsidRPr="000062BC">
              <w:rPr>
                <w:rFonts w:cs="Arial"/>
                <w:sz w:val="22"/>
                <w:szCs w:val="22"/>
                <w:lang w:eastAsia="en-GB"/>
              </w:rPr>
              <w:t> </w:t>
            </w:r>
          </w:p>
        </w:tc>
        <w:tc>
          <w:tcPr>
            <w:tcW w:w="987" w:type="dxa"/>
            <w:tcBorders>
              <w:top w:val="single" w:sz="4" w:space="0" w:color="auto"/>
              <w:left w:val="nil"/>
              <w:bottom w:val="nil"/>
              <w:right w:val="nil"/>
            </w:tcBorders>
            <w:shd w:val="clear" w:color="000000" w:fill="FFFFFF"/>
            <w:noWrap/>
            <w:vAlign w:val="center"/>
            <w:hideMark/>
          </w:tcPr>
          <w:p w14:paraId="7A8F36C8" w14:textId="77777777" w:rsidR="003334A3" w:rsidRPr="000062BC" w:rsidRDefault="003334A3" w:rsidP="003334A3">
            <w:pPr>
              <w:rPr>
                <w:rFonts w:cs="Arial"/>
                <w:sz w:val="22"/>
                <w:szCs w:val="22"/>
                <w:lang w:eastAsia="en-GB"/>
              </w:rPr>
            </w:pPr>
            <w:r w:rsidRPr="000062BC">
              <w:rPr>
                <w:rFonts w:cs="Arial"/>
                <w:sz w:val="22"/>
                <w:szCs w:val="22"/>
                <w:lang w:eastAsia="en-GB"/>
              </w:rPr>
              <w:t> </w:t>
            </w:r>
          </w:p>
        </w:tc>
        <w:tc>
          <w:tcPr>
            <w:tcW w:w="850" w:type="dxa"/>
            <w:tcBorders>
              <w:top w:val="single" w:sz="4" w:space="0" w:color="auto"/>
              <w:left w:val="nil"/>
              <w:bottom w:val="nil"/>
              <w:right w:val="nil"/>
            </w:tcBorders>
            <w:shd w:val="clear" w:color="000000" w:fill="FFFFFF"/>
            <w:noWrap/>
            <w:vAlign w:val="center"/>
            <w:hideMark/>
          </w:tcPr>
          <w:p w14:paraId="63359163" w14:textId="77777777" w:rsidR="003334A3" w:rsidRPr="000062BC" w:rsidRDefault="003334A3" w:rsidP="003334A3">
            <w:pPr>
              <w:rPr>
                <w:rFonts w:cs="Arial"/>
                <w:sz w:val="22"/>
                <w:szCs w:val="22"/>
                <w:lang w:eastAsia="en-GB"/>
              </w:rPr>
            </w:pPr>
            <w:r w:rsidRPr="000062BC">
              <w:rPr>
                <w:rFonts w:cs="Arial"/>
                <w:sz w:val="22"/>
                <w:szCs w:val="22"/>
                <w:lang w:eastAsia="en-GB"/>
              </w:rPr>
              <w:t> </w:t>
            </w:r>
          </w:p>
        </w:tc>
        <w:tc>
          <w:tcPr>
            <w:tcW w:w="4678" w:type="dxa"/>
            <w:tcBorders>
              <w:top w:val="single" w:sz="4" w:space="0" w:color="auto"/>
              <w:left w:val="nil"/>
              <w:bottom w:val="nil"/>
              <w:right w:val="nil"/>
            </w:tcBorders>
            <w:shd w:val="clear" w:color="000000" w:fill="FFFFFF"/>
            <w:noWrap/>
            <w:vAlign w:val="center"/>
            <w:hideMark/>
          </w:tcPr>
          <w:p w14:paraId="19177130" w14:textId="77777777" w:rsidR="003334A3" w:rsidRPr="000062BC" w:rsidRDefault="003334A3" w:rsidP="003334A3">
            <w:pPr>
              <w:rPr>
                <w:rFonts w:cs="Arial"/>
                <w:sz w:val="22"/>
                <w:szCs w:val="22"/>
                <w:lang w:eastAsia="en-GB"/>
              </w:rPr>
            </w:pPr>
            <w:r w:rsidRPr="000062BC">
              <w:rPr>
                <w:rFonts w:cs="Arial"/>
                <w:sz w:val="22"/>
                <w:szCs w:val="22"/>
                <w:lang w:eastAsia="en-GB"/>
              </w:rPr>
              <w:t> </w:t>
            </w:r>
          </w:p>
        </w:tc>
        <w:tc>
          <w:tcPr>
            <w:tcW w:w="852" w:type="dxa"/>
            <w:tcBorders>
              <w:top w:val="single" w:sz="4" w:space="0" w:color="auto"/>
              <w:left w:val="nil"/>
              <w:bottom w:val="nil"/>
              <w:right w:val="nil"/>
            </w:tcBorders>
            <w:shd w:val="clear" w:color="000000" w:fill="FFFFFF"/>
            <w:noWrap/>
            <w:vAlign w:val="center"/>
            <w:hideMark/>
          </w:tcPr>
          <w:p w14:paraId="335DF955" w14:textId="77777777" w:rsidR="003334A3" w:rsidRPr="000062BC" w:rsidRDefault="003334A3" w:rsidP="003334A3">
            <w:pPr>
              <w:rPr>
                <w:rFonts w:cs="Arial"/>
                <w:sz w:val="22"/>
                <w:szCs w:val="22"/>
                <w:lang w:eastAsia="en-GB"/>
              </w:rPr>
            </w:pPr>
            <w:r w:rsidRPr="000062BC">
              <w:rPr>
                <w:rFonts w:cs="Arial"/>
                <w:sz w:val="22"/>
                <w:szCs w:val="22"/>
                <w:lang w:eastAsia="en-GB"/>
              </w:rPr>
              <w:t> </w:t>
            </w:r>
          </w:p>
        </w:tc>
        <w:tc>
          <w:tcPr>
            <w:tcW w:w="990" w:type="dxa"/>
            <w:tcBorders>
              <w:top w:val="single" w:sz="4" w:space="0" w:color="auto"/>
              <w:left w:val="nil"/>
              <w:bottom w:val="nil"/>
              <w:right w:val="nil"/>
            </w:tcBorders>
            <w:shd w:val="clear" w:color="000000" w:fill="FFFFFF"/>
            <w:noWrap/>
            <w:vAlign w:val="center"/>
            <w:hideMark/>
          </w:tcPr>
          <w:p w14:paraId="373302E1" w14:textId="77777777" w:rsidR="003334A3" w:rsidRPr="000062BC" w:rsidRDefault="003334A3" w:rsidP="003334A3">
            <w:pPr>
              <w:rPr>
                <w:rFonts w:cs="Arial"/>
                <w:sz w:val="22"/>
                <w:szCs w:val="22"/>
                <w:lang w:eastAsia="en-GB"/>
              </w:rPr>
            </w:pPr>
            <w:r w:rsidRPr="000062BC">
              <w:rPr>
                <w:rFonts w:cs="Arial"/>
                <w:sz w:val="22"/>
                <w:szCs w:val="22"/>
                <w:lang w:eastAsia="en-GB"/>
              </w:rPr>
              <w:t> </w:t>
            </w:r>
          </w:p>
        </w:tc>
        <w:tc>
          <w:tcPr>
            <w:tcW w:w="730" w:type="dxa"/>
            <w:tcBorders>
              <w:top w:val="single" w:sz="4" w:space="0" w:color="auto"/>
              <w:left w:val="nil"/>
              <w:bottom w:val="nil"/>
              <w:right w:val="nil"/>
            </w:tcBorders>
            <w:shd w:val="clear" w:color="000000" w:fill="FFFFFF"/>
            <w:noWrap/>
            <w:vAlign w:val="center"/>
            <w:hideMark/>
          </w:tcPr>
          <w:p w14:paraId="3B0232C7" w14:textId="77777777" w:rsidR="003334A3" w:rsidRPr="000062BC" w:rsidRDefault="003334A3" w:rsidP="003334A3">
            <w:pPr>
              <w:rPr>
                <w:rFonts w:cs="Arial"/>
                <w:sz w:val="22"/>
                <w:szCs w:val="22"/>
                <w:lang w:eastAsia="en-GB"/>
              </w:rPr>
            </w:pPr>
            <w:r w:rsidRPr="000062BC">
              <w:rPr>
                <w:rFonts w:cs="Arial"/>
                <w:sz w:val="22"/>
                <w:szCs w:val="22"/>
                <w:lang w:eastAsia="en-GB"/>
              </w:rPr>
              <w:t> </w:t>
            </w:r>
          </w:p>
        </w:tc>
        <w:tc>
          <w:tcPr>
            <w:tcW w:w="278" w:type="dxa"/>
            <w:tcBorders>
              <w:top w:val="single" w:sz="4" w:space="0" w:color="auto"/>
              <w:left w:val="nil"/>
              <w:bottom w:val="nil"/>
              <w:right w:val="single" w:sz="8" w:space="0" w:color="auto"/>
            </w:tcBorders>
            <w:shd w:val="clear" w:color="000000" w:fill="FFFFFF"/>
            <w:noWrap/>
            <w:vAlign w:val="center"/>
            <w:hideMark/>
          </w:tcPr>
          <w:p w14:paraId="5E62C93E" w14:textId="77777777" w:rsidR="003334A3" w:rsidRPr="000062BC" w:rsidRDefault="003334A3" w:rsidP="003334A3">
            <w:pPr>
              <w:rPr>
                <w:rFonts w:cs="Arial"/>
                <w:sz w:val="22"/>
                <w:szCs w:val="22"/>
                <w:lang w:eastAsia="en-GB"/>
              </w:rPr>
            </w:pPr>
            <w:r w:rsidRPr="000062BC">
              <w:rPr>
                <w:rFonts w:cs="Arial"/>
                <w:sz w:val="22"/>
                <w:szCs w:val="22"/>
                <w:lang w:eastAsia="en-GB"/>
              </w:rPr>
              <w:t> </w:t>
            </w:r>
          </w:p>
        </w:tc>
      </w:tr>
      <w:tr w:rsidR="00E46377" w:rsidRPr="000062BC" w14:paraId="570C89B2" w14:textId="77777777" w:rsidTr="008F5F09">
        <w:trPr>
          <w:trHeight w:val="280"/>
        </w:trPr>
        <w:tc>
          <w:tcPr>
            <w:tcW w:w="278" w:type="dxa"/>
            <w:tcBorders>
              <w:top w:val="nil"/>
              <w:left w:val="single" w:sz="8" w:space="0" w:color="auto"/>
              <w:bottom w:val="nil"/>
              <w:right w:val="nil"/>
            </w:tcBorders>
            <w:shd w:val="clear" w:color="000000" w:fill="FFFFFF"/>
            <w:noWrap/>
            <w:vAlign w:val="center"/>
            <w:hideMark/>
          </w:tcPr>
          <w:p w14:paraId="3F94A260" w14:textId="77777777" w:rsidR="003334A3" w:rsidRPr="000062BC" w:rsidRDefault="003334A3" w:rsidP="003334A3">
            <w:pPr>
              <w:rPr>
                <w:rFonts w:cs="Arial"/>
                <w:sz w:val="22"/>
                <w:szCs w:val="22"/>
                <w:lang w:eastAsia="en-GB"/>
              </w:rPr>
            </w:pPr>
            <w:r w:rsidRPr="000062BC">
              <w:rPr>
                <w:rFonts w:cs="Arial"/>
                <w:sz w:val="22"/>
                <w:szCs w:val="22"/>
                <w:lang w:eastAsia="en-GB"/>
              </w:rPr>
              <w:t> </w:t>
            </w:r>
          </w:p>
        </w:tc>
        <w:tc>
          <w:tcPr>
            <w:tcW w:w="852" w:type="dxa"/>
            <w:tcBorders>
              <w:top w:val="nil"/>
              <w:left w:val="nil"/>
              <w:bottom w:val="nil"/>
              <w:right w:val="nil"/>
            </w:tcBorders>
            <w:shd w:val="clear" w:color="000000" w:fill="FFFFFF"/>
            <w:vAlign w:val="center"/>
            <w:hideMark/>
          </w:tcPr>
          <w:p w14:paraId="44261763" w14:textId="3DCB498E" w:rsidR="003334A3" w:rsidRPr="000062BC" w:rsidRDefault="003334A3" w:rsidP="003334A3">
            <w:pPr>
              <w:jc w:val="right"/>
              <w:rPr>
                <w:rFonts w:cs="Arial"/>
                <w:sz w:val="22"/>
                <w:szCs w:val="22"/>
                <w:lang w:eastAsia="en-GB"/>
              </w:rPr>
            </w:pPr>
            <w:r w:rsidRPr="000062BC">
              <w:rPr>
                <w:rFonts w:cs="Arial"/>
                <w:sz w:val="22"/>
                <w:szCs w:val="22"/>
                <w:lang w:eastAsia="en-GB"/>
              </w:rPr>
              <w:t>1,</w:t>
            </w:r>
            <w:r w:rsidR="00E46377" w:rsidRPr="000062BC">
              <w:rPr>
                <w:rFonts w:cs="Arial"/>
                <w:sz w:val="22"/>
                <w:szCs w:val="22"/>
                <w:lang w:eastAsia="en-GB"/>
              </w:rPr>
              <w:t>686</w:t>
            </w:r>
          </w:p>
        </w:tc>
        <w:tc>
          <w:tcPr>
            <w:tcW w:w="987" w:type="dxa"/>
            <w:tcBorders>
              <w:top w:val="nil"/>
              <w:left w:val="nil"/>
              <w:bottom w:val="nil"/>
              <w:right w:val="nil"/>
            </w:tcBorders>
            <w:shd w:val="clear" w:color="000000" w:fill="FFFFFF"/>
            <w:vAlign w:val="center"/>
            <w:hideMark/>
          </w:tcPr>
          <w:p w14:paraId="045C1AFE" w14:textId="141D74B4" w:rsidR="003334A3" w:rsidRPr="000062BC" w:rsidRDefault="003334A3" w:rsidP="003334A3">
            <w:pPr>
              <w:jc w:val="right"/>
              <w:rPr>
                <w:rFonts w:cs="Arial"/>
                <w:sz w:val="22"/>
                <w:szCs w:val="22"/>
                <w:lang w:eastAsia="en-GB"/>
              </w:rPr>
            </w:pPr>
            <w:r w:rsidRPr="000062BC">
              <w:rPr>
                <w:rFonts w:cs="Arial"/>
                <w:sz w:val="22"/>
                <w:szCs w:val="22"/>
                <w:lang w:eastAsia="en-GB"/>
              </w:rPr>
              <w:t>(1,</w:t>
            </w:r>
            <w:r w:rsidR="00E46377" w:rsidRPr="000062BC">
              <w:rPr>
                <w:rFonts w:cs="Arial"/>
                <w:sz w:val="22"/>
                <w:szCs w:val="22"/>
                <w:lang w:eastAsia="en-GB"/>
              </w:rPr>
              <w:t>229</w:t>
            </w:r>
            <w:r w:rsidRPr="000062BC">
              <w:rPr>
                <w:rFonts w:cs="Arial"/>
                <w:sz w:val="22"/>
                <w:szCs w:val="22"/>
                <w:lang w:eastAsia="en-GB"/>
              </w:rPr>
              <w:t>)</w:t>
            </w:r>
          </w:p>
        </w:tc>
        <w:tc>
          <w:tcPr>
            <w:tcW w:w="850" w:type="dxa"/>
            <w:tcBorders>
              <w:top w:val="nil"/>
              <w:left w:val="nil"/>
              <w:bottom w:val="nil"/>
              <w:right w:val="nil"/>
            </w:tcBorders>
            <w:shd w:val="clear" w:color="000000" w:fill="FFFFFF"/>
            <w:noWrap/>
            <w:vAlign w:val="center"/>
            <w:hideMark/>
          </w:tcPr>
          <w:p w14:paraId="5C843692" w14:textId="04BC16DB" w:rsidR="003334A3" w:rsidRPr="000062BC" w:rsidRDefault="003334A3" w:rsidP="003334A3">
            <w:pPr>
              <w:jc w:val="right"/>
              <w:rPr>
                <w:rFonts w:cs="Arial"/>
                <w:sz w:val="22"/>
                <w:szCs w:val="22"/>
                <w:lang w:eastAsia="en-GB"/>
              </w:rPr>
            </w:pPr>
            <w:r w:rsidRPr="000062BC">
              <w:rPr>
                <w:rFonts w:cs="Arial"/>
                <w:sz w:val="22"/>
                <w:szCs w:val="22"/>
                <w:lang w:eastAsia="en-GB"/>
              </w:rPr>
              <w:t>4</w:t>
            </w:r>
            <w:r w:rsidR="00E46377" w:rsidRPr="000062BC">
              <w:rPr>
                <w:rFonts w:cs="Arial"/>
                <w:sz w:val="22"/>
                <w:szCs w:val="22"/>
                <w:lang w:eastAsia="en-GB"/>
              </w:rPr>
              <w:t>57</w:t>
            </w:r>
          </w:p>
        </w:tc>
        <w:tc>
          <w:tcPr>
            <w:tcW w:w="4678" w:type="dxa"/>
            <w:tcBorders>
              <w:top w:val="nil"/>
              <w:left w:val="nil"/>
              <w:bottom w:val="nil"/>
              <w:right w:val="nil"/>
            </w:tcBorders>
            <w:shd w:val="clear" w:color="000000" w:fill="FFFFFF"/>
            <w:vAlign w:val="center"/>
            <w:hideMark/>
          </w:tcPr>
          <w:p w14:paraId="572E7700" w14:textId="77777777" w:rsidR="003334A3" w:rsidRPr="000062BC" w:rsidRDefault="003334A3" w:rsidP="003334A3">
            <w:pPr>
              <w:rPr>
                <w:rFonts w:cs="Arial"/>
                <w:sz w:val="22"/>
                <w:szCs w:val="22"/>
                <w:lang w:eastAsia="en-GB"/>
              </w:rPr>
            </w:pPr>
            <w:r w:rsidRPr="000062BC">
              <w:rPr>
                <w:rFonts w:cs="Arial"/>
                <w:sz w:val="22"/>
                <w:szCs w:val="22"/>
                <w:lang w:eastAsia="en-GB"/>
              </w:rPr>
              <w:t>Pension Net Interest Cost</w:t>
            </w:r>
          </w:p>
        </w:tc>
        <w:tc>
          <w:tcPr>
            <w:tcW w:w="852" w:type="dxa"/>
            <w:tcBorders>
              <w:top w:val="nil"/>
              <w:left w:val="nil"/>
              <w:bottom w:val="nil"/>
              <w:right w:val="nil"/>
            </w:tcBorders>
            <w:shd w:val="clear" w:color="000000" w:fill="FFFFFF"/>
            <w:vAlign w:val="center"/>
            <w:hideMark/>
          </w:tcPr>
          <w:p w14:paraId="2C980D6C" w14:textId="5053D587" w:rsidR="003334A3" w:rsidRPr="000062BC" w:rsidRDefault="00E46377" w:rsidP="003334A3">
            <w:pPr>
              <w:jc w:val="right"/>
              <w:rPr>
                <w:rFonts w:cs="Arial"/>
                <w:sz w:val="22"/>
                <w:szCs w:val="22"/>
                <w:lang w:eastAsia="en-GB"/>
              </w:rPr>
            </w:pPr>
            <w:r w:rsidRPr="000062BC">
              <w:rPr>
                <w:rFonts w:cs="Arial"/>
                <w:sz w:val="22"/>
                <w:szCs w:val="22"/>
                <w:lang w:eastAsia="en-GB"/>
              </w:rPr>
              <w:t>2,260</w:t>
            </w:r>
          </w:p>
        </w:tc>
        <w:tc>
          <w:tcPr>
            <w:tcW w:w="990" w:type="dxa"/>
            <w:tcBorders>
              <w:top w:val="nil"/>
              <w:left w:val="nil"/>
              <w:bottom w:val="nil"/>
              <w:right w:val="nil"/>
            </w:tcBorders>
            <w:shd w:val="clear" w:color="000000" w:fill="FFFFFF"/>
            <w:vAlign w:val="center"/>
            <w:hideMark/>
          </w:tcPr>
          <w:p w14:paraId="6047BA94" w14:textId="49CCA6AD" w:rsidR="003334A3" w:rsidRPr="000062BC" w:rsidRDefault="003334A3" w:rsidP="003334A3">
            <w:pPr>
              <w:jc w:val="right"/>
              <w:rPr>
                <w:rFonts w:cs="Arial"/>
                <w:sz w:val="22"/>
                <w:szCs w:val="22"/>
                <w:lang w:eastAsia="en-GB"/>
              </w:rPr>
            </w:pPr>
            <w:r w:rsidRPr="000062BC">
              <w:rPr>
                <w:rFonts w:cs="Arial"/>
                <w:sz w:val="22"/>
                <w:szCs w:val="22"/>
                <w:lang w:eastAsia="en-GB"/>
              </w:rPr>
              <w:t>(1,</w:t>
            </w:r>
            <w:r w:rsidR="00E46377" w:rsidRPr="000062BC">
              <w:rPr>
                <w:rFonts w:cs="Arial"/>
                <w:sz w:val="22"/>
                <w:szCs w:val="22"/>
                <w:lang w:eastAsia="en-GB"/>
              </w:rPr>
              <w:t>783</w:t>
            </w:r>
            <w:r w:rsidRPr="000062BC">
              <w:rPr>
                <w:rFonts w:cs="Arial"/>
                <w:sz w:val="22"/>
                <w:szCs w:val="22"/>
                <w:lang w:eastAsia="en-GB"/>
              </w:rPr>
              <w:t>)</w:t>
            </w:r>
          </w:p>
        </w:tc>
        <w:tc>
          <w:tcPr>
            <w:tcW w:w="730" w:type="dxa"/>
            <w:tcBorders>
              <w:top w:val="nil"/>
              <w:left w:val="nil"/>
              <w:bottom w:val="nil"/>
              <w:right w:val="nil"/>
            </w:tcBorders>
            <w:shd w:val="clear" w:color="000000" w:fill="FFFFFF"/>
            <w:noWrap/>
            <w:vAlign w:val="center"/>
            <w:hideMark/>
          </w:tcPr>
          <w:p w14:paraId="3ACDB182" w14:textId="199BAF9B" w:rsidR="003334A3" w:rsidRPr="000062BC" w:rsidRDefault="003334A3" w:rsidP="003334A3">
            <w:pPr>
              <w:jc w:val="right"/>
              <w:rPr>
                <w:rFonts w:cs="Arial"/>
                <w:sz w:val="22"/>
                <w:szCs w:val="22"/>
                <w:lang w:eastAsia="en-GB"/>
              </w:rPr>
            </w:pPr>
            <w:r w:rsidRPr="000062BC">
              <w:rPr>
                <w:rFonts w:cs="Arial"/>
                <w:sz w:val="22"/>
                <w:szCs w:val="22"/>
                <w:lang w:eastAsia="en-GB"/>
              </w:rPr>
              <w:t>4</w:t>
            </w:r>
            <w:r w:rsidR="00E46377" w:rsidRPr="000062BC">
              <w:rPr>
                <w:rFonts w:cs="Arial"/>
                <w:sz w:val="22"/>
                <w:szCs w:val="22"/>
                <w:lang w:eastAsia="en-GB"/>
              </w:rPr>
              <w:t>7</w:t>
            </w:r>
            <w:r w:rsidRPr="000062BC">
              <w:rPr>
                <w:rFonts w:cs="Arial"/>
                <w:sz w:val="22"/>
                <w:szCs w:val="22"/>
                <w:lang w:eastAsia="en-GB"/>
              </w:rPr>
              <w:t>7</w:t>
            </w:r>
          </w:p>
        </w:tc>
        <w:tc>
          <w:tcPr>
            <w:tcW w:w="278" w:type="dxa"/>
            <w:tcBorders>
              <w:top w:val="nil"/>
              <w:left w:val="nil"/>
              <w:bottom w:val="nil"/>
              <w:right w:val="single" w:sz="8" w:space="0" w:color="auto"/>
            </w:tcBorders>
            <w:shd w:val="clear" w:color="000000" w:fill="FFFFFF"/>
            <w:noWrap/>
            <w:vAlign w:val="center"/>
            <w:hideMark/>
          </w:tcPr>
          <w:p w14:paraId="001F97BB" w14:textId="77777777" w:rsidR="003334A3" w:rsidRPr="000062BC" w:rsidRDefault="003334A3" w:rsidP="003334A3">
            <w:pPr>
              <w:rPr>
                <w:rFonts w:cs="Arial"/>
                <w:sz w:val="22"/>
                <w:szCs w:val="22"/>
                <w:lang w:eastAsia="en-GB"/>
              </w:rPr>
            </w:pPr>
            <w:r w:rsidRPr="000062BC">
              <w:rPr>
                <w:rFonts w:cs="Arial"/>
                <w:sz w:val="22"/>
                <w:szCs w:val="22"/>
                <w:lang w:eastAsia="en-GB"/>
              </w:rPr>
              <w:t> </w:t>
            </w:r>
          </w:p>
        </w:tc>
      </w:tr>
      <w:tr w:rsidR="00E46377" w:rsidRPr="000062BC" w14:paraId="0F017636" w14:textId="77777777" w:rsidTr="008F5F09">
        <w:trPr>
          <w:trHeight w:val="280"/>
        </w:trPr>
        <w:tc>
          <w:tcPr>
            <w:tcW w:w="278" w:type="dxa"/>
            <w:tcBorders>
              <w:top w:val="nil"/>
              <w:left w:val="single" w:sz="8" w:space="0" w:color="auto"/>
              <w:bottom w:val="nil"/>
              <w:right w:val="nil"/>
            </w:tcBorders>
            <w:shd w:val="clear" w:color="000000" w:fill="FFFFFF"/>
            <w:noWrap/>
            <w:vAlign w:val="center"/>
            <w:hideMark/>
          </w:tcPr>
          <w:p w14:paraId="170B4450" w14:textId="77777777" w:rsidR="003334A3" w:rsidRPr="000062BC" w:rsidRDefault="003334A3" w:rsidP="003334A3">
            <w:pPr>
              <w:rPr>
                <w:rFonts w:cs="Arial"/>
                <w:sz w:val="22"/>
                <w:szCs w:val="22"/>
                <w:lang w:eastAsia="en-GB"/>
              </w:rPr>
            </w:pPr>
            <w:r w:rsidRPr="000062BC">
              <w:rPr>
                <w:rFonts w:cs="Arial"/>
                <w:sz w:val="22"/>
                <w:szCs w:val="22"/>
                <w:lang w:eastAsia="en-GB"/>
              </w:rPr>
              <w:t> </w:t>
            </w:r>
          </w:p>
        </w:tc>
        <w:tc>
          <w:tcPr>
            <w:tcW w:w="852" w:type="dxa"/>
            <w:tcBorders>
              <w:top w:val="nil"/>
              <w:left w:val="nil"/>
              <w:bottom w:val="nil"/>
              <w:right w:val="nil"/>
            </w:tcBorders>
            <w:shd w:val="clear" w:color="000000" w:fill="FFFFFF"/>
            <w:noWrap/>
            <w:vAlign w:val="center"/>
            <w:hideMark/>
          </w:tcPr>
          <w:p w14:paraId="26488057" w14:textId="77777777" w:rsidR="003334A3" w:rsidRPr="000062BC" w:rsidRDefault="003334A3" w:rsidP="003334A3">
            <w:pPr>
              <w:jc w:val="right"/>
              <w:rPr>
                <w:rFonts w:cs="Arial"/>
                <w:sz w:val="22"/>
                <w:szCs w:val="22"/>
                <w:lang w:eastAsia="en-GB"/>
              </w:rPr>
            </w:pPr>
            <w:r w:rsidRPr="000062BC">
              <w:rPr>
                <w:rFonts w:cs="Arial"/>
                <w:sz w:val="22"/>
                <w:szCs w:val="22"/>
                <w:lang w:eastAsia="en-GB"/>
              </w:rPr>
              <w:t>0</w:t>
            </w:r>
          </w:p>
        </w:tc>
        <w:tc>
          <w:tcPr>
            <w:tcW w:w="987" w:type="dxa"/>
            <w:tcBorders>
              <w:top w:val="nil"/>
              <w:left w:val="nil"/>
              <w:bottom w:val="nil"/>
              <w:right w:val="nil"/>
            </w:tcBorders>
            <w:shd w:val="clear" w:color="000000" w:fill="FFFFFF"/>
            <w:noWrap/>
            <w:vAlign w:val="center"/>
            <w:hideMark/>
          </w:tcPr>
          <w:p w14:paraId="467043D3" w14:textId="77777777" w:rsidR="003334A3" w:rsidRPr="000062BC" w:rsidRDefault="003334A3" w:rsidP="003334A3">
            <w:pPr>
              <w:jc w:val="right"/>
              <w:rPr>
                <w:rFonts w:cs="Arial"/>
                <w:sz w:val="22"/>
                <w:szCs w:val="22"/>
                <w:lang w:eastAsia="en-GB"/>
              </w:rPr>
            </w:pPr>
            <w:r w:rsidRPr="000062BC">
              <w:rPr>
                <w:rFonts w:cs="Arial"/>
                <w:sz w:val="22"/>
                <w:szCs w:val="22"/>
                <w:lang w:eastAsia="en-GB"/>
              </w:rPr>
              <w:t>(4)</w:t>
            </w:r>
          </w:p>
        </w:tc>
        <w:tc>
          <w:tcPr>
            <w:tcW w:w="850" w:type="dxa"/>
            <w:tcBorders>
              <w:top w:val="nil"/>
              <w:left w:val="nil"/>
              <w:bottom w:val="nil"/>
              <w:right w:val="nil"/>
            </w:tcBorders>
            <w:shd w:val="clear" w:color="000000" w:fill="FFFFFF"/>
            <w:noWrap/>
            <w:vAlign w:val="center"/>
            <w:hideMark/>
          </w:tcPr>
          <w:p w14:paraId="5BE6D4A9" w14:textId="77777777" w:rsidR="003334A3" w:rsidRPr="000062BC" w:rsidRDefault="003334A3" w:rsidP="003334A3">
            <w:pPr>
              <w:jc w:val="right"/>
              <w:rPr>
                <w:rFonts w:cs="Arial"/>
                <w:sz w:val="22"/>
                <w:szCs w:val="22"/>
                <w:lang w:eastAsia="en-GB"/>
              </w:rPr>
            </w:pPr>
            <w:r w:rsidRPr="000062BC">
              <w:rPr>
                <w:rFonts w:cs="Arial"/>
                <w:sz w:val="22"/>
                <w:szCs w:val="22"/>
                <w:lang w:eastAsia="en-GB"/>
              </w:rPr>
              <w:t>(4)</w:t>
            </w:r>
          </w:p>
        </w:tc>
        <w:tc>
          <w:tcPr>
            <w:tcW w:w="4678" w:type="dxa"/>
            <w:tcBorders>
              <w:top w:val="nil"/>
              <w:left w:val="nil"/>
              <w:bottom w:val="nil"/>
              <w:right w:val="nil"/>
            </w:tcBorders>
            <w:shd w:val="clear" w:color="000000" w:fill="FFFFFF"/>
            <w:noWrap/>
            <w:vAlign w:val="center"/>
            <w:hideMark/>
          </w:tcPr>
          <w:p w14:paraId="41793D86" w14:textId="77777777" w:rsidR="003334A3" w:rsidRPr="000062BC" w:rsidRDefault="003334A3" w:rsidP="003334A3">
            <w:pPr>
              <w:rPr>
                <w:rFonts w:cs="Arial"/>
                <w:sz w:val="22"/>
                <w:szCs w:val="22"/>
                <w:lang w:eastAsia="en-GB"/>
              </w:rPr>
            </w:pPr>
            <w:r w:rsidRPr="000062BC">
              <w:rPr>
                <w:rFonts w:cs="Arial"/>
                <w:sz w:val="22"/>
                <w:szCs w:val="22"/>
                <w:lang w:eastAsia="en-GB"/>
              </w:rPr>
              <w:t>Interest receivable</w:t>
            </w:r>
          </w:p>
        </w:tc>
        <w:tc>
          <w:tcPr>
            <w:tcW w:w="852" w:type="dxa"/>
            <w:tcBorders>
              <w:top w:val="nil"/>
              <w:left w:val="nil"/>
              <w:bottom w:val="nil"/>
              <w:right w:val="nil"/>
            </w:tcBorders>
            <w:shd w:val="clear" w:color="000000" w:fill="FFFFFF"/>
            <w:noWrap/>
            <w:vAlign w:val="center"/>
            <w:hideMark/>
          </w:tcPr>
          <w:p w14:paraId="633A0742" w14:textId="77777777" w:rsidR="003334A3" w:rsidRPr="000062BC" w:rsidRDefault="003334A3" w:rsidP="003334A3">
            <w:pPr>
              <w:jc w:val="right"/>
              <w:rPr>
                <w:rFonts w:cs="Arial"/>
                <w:sz w:val="22"/>
                <w:szCs w:val="22"/>
                <w:lang w:eastAsia="en-GB"/>
              </w:rPr>
            </w:pPr>
            <w:r w:rsidRPr="000062BC">
              <w:rPr>
                <w:rFonts w:cs="Arial"/>
                <w:sz w:val="22"/>
                <w:szCs w:val="22"/>
                <w:lang w:eastAsia="en-GB"/>
              </w:rPr>
              <w:t>0</w:t>
            </w:r>
          </w:p>
        </w:tc>
        <w:tc>
          <w:tcPr>
            <w:tcW w:w="990" w:type="dxa"/>
            <w:tcBorders>
              <w:top w:val="nil"/>
              <w:left w:val="nil"/>
              <w:bottom w:val="nil"/>
              <w:right w:val="nil"/>
            </w:tcBorders>
            <w:shd w:val="clear" w:color="000000" w:fill="FFFFFF"/>
            <w:vAlign w:val="center"/>
            <w:hideMark/>
          </w:tcPr>
          <w:p w14:paraId="4435570D" w14:textId="175CD3E6" w:rsidR="003334A3" w:rsidRPr="000062BC" w:rsidRDefault="003334A3" w:rsidP="003334A3">
            <w:pPr>
              <w:jc w:val="right"/>
              <w:rPr>
                <w:rFonts w:cs="Arial"/>
                <w:sz w:val="22"/>
                <w:szCs w:val="22"/>
                <w:lang w:eastAsia="en-GB"/>
              </w:rPr>
            </w:pPr>
            <w:r w:rsidRPr="000062BC">
              <w:rPr>
                <w:rFonts w:cs="Arial"/>
                <w:sz w:val="22"/>
                <w:szCs w:val="22"/>
                <w:lang w:eastAsia="en-GB"/>
              </w:rPr>
              <w:t>(</w:t>
            </w:r>
            <w:r w:rsidR="00E46377" w:rsidRPr="000062BC">
              <w:rPr>
                <w:rFonts w:cs="Arial"/>
                <w:sz w:val="22"/>
                <w:szCs w:val="22"/>
                <w:lang w:eastAsia="en-GB"/>
              </w:rPr>
              <w:t>102</w:t>
            </w:r>
            <w:r w:rsidRPr="000062BC">
              <w:rPr>
                <w:rFonts w:cs="Arial"/>
                <w:sz w:val="22"/>
                <w:szCs w:val="22"/>
                <w:lang w:eastAsia="en-GB"/>
              </w:rPr>
              <w:t>)</w:t>
            </w:r>
          </w:p>
        </w:tc>
        <w:tc>
          <w:tcPr>
            <w:tcW w:w="730" w:type="dxa"/>
            <w:tcBorders>
              <w:top w:val="nil"/>
              <w:left w:val="nil"/>
              <w:bottom w:val="nil"/>
              <w:right w:val="nil"/>
            </w:tcBorders>
            <w:shd w:val="clear" w:color="000000" w:fill="FFFFFF"/>
            <w:vAlign w:val="center"/>
            <w:hideMark/>
          </w:tcPr>
          <w:p w14:paraId="4D597306" w14:textId="2FC611CC" w:rsidR="003334A3" w:rsidRPr="000062BC" w:rsidRDefault="003334A3" w:rsidP="003334A3">
            <w:pPr>
              <w:jc w:val="right"/>
              <w:rPr>
                <w:rFonts w:cs="Arial"/>
                <w:sz w:val="22"/>
                <w:szCs w:val="22"/>
                <w:lang w:eastAsia="en-GB"/>
              </w:rPr>
            </w:pPr>
            <w:r w:rsidRPr="000062BC">
              <w:rPr>
                <w:rFonts w:cs="Arial"/>
                <w:sz w:val="22"/>
                <w:szCs w:val="22"/>
                <w:lang w:eastAsia="en-GB"/>
              </w:rPr>
              <w:t>(</w:t>
            </w:r>
            <w:r w:rsidR="00E46377" w:rsidRPr="000062BC">
              <w:rPr>
                <w:rFonts w:cs="Arial"/>
                <w:sz w:val="22"/>
                <w:szCs w:val="22"/>
                <w:lang w:eastAsia="en-GB"/>
              </w:rPr>
              <w:t>102</w:t>
            </w:r>
            <w:r w:rsidRPr="000062BC">
              <w:rPr>
                <w:rFonts w:cs="Arial"/>
                <w:sz w:val="22"/>
                <w:szCs w:val="22"/>
                <w:lang w:eastAsia="en-GB"/>
              </w:rPr>
              <w:t>)</w:t>
            </w:r>
          </w:p>
        </w:tc>
        <w:tc>
          <w:tcPr>
            <w:tcW w:w="278" w:type="dxa"/>
            <w:tcBorders>
              <w:top w:val="nil"/>
              <w:left w:val="nil"/>
              <w:bottom w:val="nil"/>
              <w:right w:val="single" w:sz="8" w:space="0" w:color="auto"/>
            </w:tcBorders>
            <w:shd w:val="clear" w:color="000000" w:fill="FFFFFF"/>
            <w:noWrap/>
            <w:vAlign w:val="center"/>
            <w:hideMark/>
          </w:tcPr>
          <w:p w14:paraId="7B9E9D32" w14:textId="77777777" w:rsidR="003334A3" w:rsidRPr="000062BC" w:rsidRDefault="003334A3" w:rsidP="003334A3">
            <w:pPr>
              <w:rPr>
                <w:rFonts w:cs="Arial"/>
                <w:sz w:val="22"/>
                <w:szCs w:val="22"/>
                <w:lang w:eastAsia="en-GB"/>
              </w:rPr>
            </w:pPr>
            <w:r w:rsidRPr="000062BC">
              <w:rPr>
                <w:rFonts w:cs="Arial"/>
                <w:sz w:val="22"/>
                <w:szCs w:val="22"/>
                <w:lang w:eastAsia="en-GB"/>
              </w:rPr>
              <w:t> </w:t>
            </w:r>
          </w:p>
        </w:tc>
      </w:tr>
      <w:tr w:rsidR="00E46377" w:rsidRPr="000062BC" w14:paraId="7924549F" w14:textId="77777777" w:rsidTr="008F5F09">
        <w:trPr>
          <w:trHeight w:val="560"/>
        </w:trPr>
        <w:tc>
          <w:tcPr>
            <w:tcW w:w="278" w:type="dxa"/>
            <w:tcBorders>
              <w:top w:val="nil"/>
              <w:left w:val="single" w:sz="8" w:space="0" w:color="auto"/>
              <w:bottom w:val="nil"/>
              <w:right w:val="nil"/>
            </w:tcBorders>
            <w:shd w:val="clear" w:color="000000" w:fill="FFFFFF"/>
            <w:noWrap/>
            <w:vAlign w:val="center"/>
            <w:hideMark/>
          </w:tcPr>
          <w:p w14:paraId="4620B096" w14:textId="77777777" w:rsidR="003334A3" w:rsidRPr="000062BC" w:rsidRDefault="003334A3" w:rsidP="003334A3">
            <w:pPr>
              <w:rPr>
                <w:rFonts w:cs="Arial"/>
                <w:sz w:val="22"/>
                <w:szCs w:val="22"/>
                <w:lang w:eastAsia="en-GB"/>
              </w:rPr>
            </w:pPr>
            <w:r w:rsidRPr="000062BC">
              <w:rPr>
                <w:rFonts w:cs="Arial"/>
                <w:sz w:val="22"/>
                <w:szCs w:val="22"/>
                <w:lang w:eastAsia="en-GB"/>
              </w:rPr>
              <w:t> </w:t>
            </w:r>
          </w:p>
        </w:tc>
        <w:tc>
          <w:tcPr>
            <w:tcW w:w="852" w:type="dxa"/>
            <w:tcBorders>
              <w:top w:val="nil"/>
              <w:left w:val="nil"/>
              <w:bottom w:val="nil"/>
              <w:right w:val="nil"/>
            </w:tcBorders>
            <w:shd w:val="clear" w:color="000000" w:fill="FFFFFF"/>
            <w:vAlign w:val="center"/>
            <w:hideMark/>
          </w:tcPr>
          <w:p w14:paraId="6F234275" w14:textId="6E8D60E1" w:rsidR="003334A3" w:rsidRPr="000062BC" w:rsidRDefault="00E46377" w:rsidP="003334A3">
            <w:pPr>
              <w:jc w:val="right"/>
              <w:rPr>
                <w:rFonts w:cs="Arial"/>
                <w:sz w:val="22"/>
                <w:szCs w:val="22"/>
                <w:lang w:eastAsia="en-GB"/>
              </w:rPr>
            </w:pPr>
            <w:r w:rsidRPr="000062BC">
              <w:rPr>
                <w:rFonts w:cs="Arial"/>
                <w:sz w:val="22"/>
                <w:szCs w:val="22"/>
                <w:lang w:eastAsia="en-GB"/>
              </w:rPr>
              <w:t>(859)</w:t>
            </w:r>
          </w:p>
        </w:tc>
        <w:tc>
          <w:tcPr>
            <w:tcW w:w="987" w:type="dxa"/>
            <w:tcBorders>
              <w:top w:val="nil"/>
              <w:left w:val="nil"/>
              <w:bottom w:val="nil"/>
              <w:right w:val="nil"/>
            </w:tcBorders>
            <w:shd w:val="clear" w:color="000000" w:fill="FFFFFF"/>
            <w:vAlign w:val="center"/>
            <w:hideMark/>
          </w:tcPr>
          <w:p w14:paraId="36B965C9" w14:textId="0A6FB14B" w:rsidR="003334A3" w:rsidRPr="000062BC" w:rsidRDefault="003334A3" w:rsidP="003334A3">
            <w:pPr>
              <w:jc w:val="right"/>
              <w:rPr>
                <w:rFonts w:cs="Arial"/>
                <w:sz w:val="22"/>
                <w:szCs w:val="22"/>
                <w:lang w:eastAsia="en-GB"/>
              </w:rPr>
            </w:pPr>
            <w:r w:rsidRPr="000062BC">
              <w:rPr>
                <w:rFonts w:cs="Arial"/>
                <w:sz w:val="22"/>
                <w:szCs w:val="22"/>
                <w:lang w:eastAsia="en-GB"/>
              </w:rPr>
              <w:t>(</w:t>
            </w:r>
            <w:r w:rsidR="00E46377" w:rsidRPr="000062BC">
              <w:rPr>
                <w:rFonts w:cs="Arial"/>
                <w:sz w:val="22"/>
                <w:szCs w:val="22"/>
                <w:lang w:eastAsia="en-GB"/>
              </w:rPr>
              <w:t>65</w:t>
            </w:r>
            <w:r w:rsidRPr="000062BC">
              <w:rPr>
                <w:rFonts w:cs="Arial"/>
                <w:sz w:val="22"/>
                <w:szCs w:val="22"/>
                <w:lang w:eastAsia="en-GB"/>
              </w:rPr>
              <w:t>)</w:t>
            </w:r>
          </w:p>
        </w:tc>
        <w:tc>
          <w:tcPr>
            <w:tcW w:w="850" w:type="dxa"/>
            <w:tcBorders>
              <w:top w:val="nil"/>
              <w:left w:val="nil"/>
              <w:bottom w:val="nil"/>
              <w:right w:val="nil"/>
            </w:tcBorders>
            <w:shd w:val="clear" w:color="000000" w:fill="FFFFFF"/>
            <w:noWrap/>
            <w:vAlign w:val="center"/>
            <w:hideMark/>
          </w:tcPr>
          <w:p w14:paraId="01829D6D" w14:textId="7BE0F58F" w:rsidR="003334A3" w:rsidRPr="000062BC" w:rsidRDefault="003334A3" w:rsidP="003334A3">
            <w:pPr>
              <w:jc w:val="right"/>
              <w:rPr>
                <w:rFonts w:cs="Arial"/>
                <w:sz w:val="22"/>
                <w:szCs w:val="22"/>
                <w:lang w:eastAsia="en-GB"/>
              </w:rPr>
            </w:pPr>
            <w:r w:rsidRPr="000062BC">
              <w:rPr>
                <w:rFonts w:cs="Arial"/>
                <w:sz w:val="22"/>
                <w:szCs w:val="22"/>
                <w:lang w:eastAsia="en-GB"/>
              </w:rPr>
              <w:t>(</w:t>
            </w:r>
            <w:r w:rsidR="00E46377" w:rsidRPr="000062BC">
              <w:rPr>
                <w:rFonts w:cs="Arial"/>
                <w:sz w:val="22"/>
                <w:szCs w:val="22"/>
                <w:lang w:eastAsia="en-GB"/>
              </w:rPr>
              <w:t>924</w:t>
            </w:r>
            <w:r w:rsidRPr="000062BC">
              <w:rPr>
                <w:rFonts w:cs="Arial"/>
                <w:sz w:val="22"/>
                <w:szCs w:val="22"/>
                <w:lang w:eastAsia="en-GB"/>
              </w:rPr>
              <w:t>)</w:t>
            </w:r>
          </w:p>
        </w:tc>
        <w:tc>
          <w:tcPr>
            <w:tcW w:w="4678" w:type="dxa"/>
            <w:tcBorders>
              <w:top w:val="nil"/>
              <w:left w:val="nil"/>
              <w:bottom w:val="nil"/>
              <w:right w:val="nil"/>
            </w:tcBorders>
            <w:shd w:val="clear" w:color="000000" w:fill="FFFFFF"/>
            <w:vAlign w:val="center"/>
            <w:hideMark/>
          </w:tcPr>
          <w:p w14:paraId="0ADE0411" w14:textId="77777777" w:rsidR="003334A3" w:rsidRPr="000062BC" w:rsidRDefault="003334A3" w:rsidP="003334A3">
            <w:pPr>
              <w:rPr>
                <w:rFonts w:cs="Arial"/>
                <w:sz w:val="22"/>
                <w:szCs w:val="22"/>
                <w:lang w:eastAsia="en-GB"/>
              </w:rPr>
            </w:pPr>
            <w:r w:rsidRPr="000062BC">
              <w:rPr>
                <w:rFonts w:cs="Arial"/>
                <w:sz w:val="22"/>
                <w:szCs w:val="22"/>
                <w:lang w:eastAsia="en-GB"/>
              </w:rPr>
              <w:t xml:space="preserve">Income &amp; expenditure on investment properties and changes to their fair value </w:t>
            </w:r>
          </w:p>
        </w:tc>
        <w:tc>
          <w:tcPr>
            <w:tcW w:w="852" w:type="dxa"/>
            <w:tcBorders>
              <w:top w:val="nil"/>
              <w:left w:val="nil"/>
              <w:bottom w:val="nil"/>
              <w:right w:val="nil"/>
            </w:tcBorders>
            <w:shd w:val="clear" w:color="000000" w:fill="FFFFFF"/>
            <w:vAlign w:val="center"/>
            <w:hideMark/>
          </w:tcPr>
          <w:p w14:paraId="024EACC3" w14:textId="50813B3F" w:rsidR="003334A3" w:rsidRPr="000062BC" w:rsidRDefault="00E46377" w:rsidP="003334A3">
            <w:pPr>
              <w:jc w:val="right"/>
              <w:rPr>
                <w:rFonts w:cs="Arial"/>
                <w:sz w:val="22"/>
                <w:szCs w:val="22"/>
                <w:lang w:eastAsia="en-GB"/>
              </w:rPr>
            </w:pPr>
            <w:r w:rsidRPr="000062BC">
              <w:rPr>
                <w:rFonts w:cs="Arial"/>
                <w:sz w:val="22"/>
                <w:szCs w:val="22"/>
                <w:lang w:eastAsia="en-GB"/>
              </w:rPr>
              <w:t>1,6</w:t>
            </w:r>
            <w:r w:rsidR="000062BC" w:rsidRPr="000062BC">
              <w:rPr>
                <w:rFonts w:cs="Arial"/>
                <w:sz w:val="22"/>
                <w:szCs w:val="22"/>
                <w:lang w:eastAsia="en-GB"/>
              </w:rPr>
              <w:t>24</w:t>
            </w:r>
          </w:p>
        </w:tc>
        <w:tc>
          <w:tcPr>
            <w:tcW w:w="990" w:type="dxa"/>
            <w:tcBorders>
              <w:top w:val="nil"/>
              <w:left w:val="nil"/>
              <w:bottom w:val="nil"/>
              <w:right w:val="nil"/>
            </w:tcBorders>
            <w:shd w:val="clear" w:color="000000" w:fill="FFFFFF"/>
            <w:vAlign w:val="center"/>
            <w:hideMark/>
          </w:tcPr>
          <w:p w14:paraId="1F4676BE" w14:textId="7DEBD2E4" w:rsidR="003334A3" w:rsidRPr="000062BC" w:rsidRDefault="003334A3" w:rsidP="003334A3">
            <w:pPr>
              <w:jc w:val="right"/>
              <w:rPr>
                <w:rFonts w:cs="Arial"/>
                <w:sz w:val="22"/>
                <w:szCs w:val="22"/>
                <w:lang w:eastAsia="en-GB"/>
              </w:rPr>
            </w:pPr>
            <w:r w:rsidRPr="000062BC">
              <w:rPr>
                <w:rFonts w:cs="Arial"/>
                <w:sz w:val="22"/>
                <w:szCs w:val="22"/>
                <w:lang w:eastAsia="en-GB"/>
              </w:rPr>
              <w:t>(</w:t>
            </w:r>
            <w:r w:rsidR="00E46377" w:rsidRPr="000062BC">
              <w:rPr>
                <w:rFonts w:cs="Arial"/>
                <w:sz w:val="22"/>
                <w:szCs w:val="22"/>
                <w:lang w:eastAsia="en-GB"/>
              </w:rPr>
              <w:t>1,</w:t>
            </w:r>
            <w:r w:rsidR="000062BC" w:rsidRPr="000062BC">
              <w:rPr>
                <w:rFonts w:cs="Arial"/>
                <w:sz w:val="22"/>
                <w:szCs w:val="22"/>
                <w:lang w:eastAsia="en-GB"/>
              </w:rPr>
              <w:t>771</w:t>
            </w:r>
            <w:r w:rsidR="00E46377" w:rsidRPr="000062BC">
              <w:rPr>
                <w:rFonts w:cs="Arial"/>
                <w:sz w:val="22"/>
                <w:szCs w:val="22"/>
                <w:lang w:eastAsia="en-GB"/>
              </w:rPr>
              <w:t>)</w:t>
            </w:r>
          </w:p>
        </w:tc>
        <w:tc>
          <w:tcPr>
            <w:tcW w:w="730" w:type="dxa"/>
            <w:tcBorders>
              <w:top w:val="nil"/>
              <w:left w:val="nil"/>
              <w:bottom w:val="nil"/>
              <w:right w:val="nil"/>
            </w:tcBorders>
            <w:shd w:val="clear" w:color="000000" w:fill="FFFFFF"/>
            <w:noWrap/>
            <w:vAlign w:val="center"/>
            <w:hideMark/>
          </w:tcPr>
          <w:p w14:paraId="6D461434" w14:textId="71622C0E" w:rsidR="003334A3" w:rsidRPr="000062BC" w:rsidRDefault="003334A3" w:rsidP="003334A3">
            <w:pPr>
              <w:jc w:val="right"/>
              <w:rPr>
                <w:rFonts w:cs="Arial"/>
                <w:sz w:val="22"/>
                <w:szCs w:val="22"/>
                <w:lang w:eastAsia="en-GB"/>
              </w:rPr>
            </w:pPr>
            <w:r w:rsidRPr="000062BC">
              <w:rPr>
                <w:rFonts w:cs="Arial"/>
                <w:sz w:val="22"/>
                <w:szCs w:val="22"/>
                <w:lang w:eastAsia="en-GB"/>
              </w:rPr>
              <w:t>(</w:t>
            </w:r>
            <w:r w:rsidR="00E46377" w:rsidRPr="000062BC">
              <w:rPr>
                <w:rFonts w:cs="Arial"/>
                <w:sz w:val="22"/>
                <w:szCs w:val="22"/>
                <w:lang w:eastAsia="en-GB"/>
              </w:rPr>
              <w:t>1</w:t>
            </w:r>
            <w:r w:rsidR="000062BC" w:rsidRPr="000062BC">
              <w:rPr>
                <w:rFonts w:cs="Arial"/>
                <w:sz w:val="22"/>
                <w:szCs w:val="22"/>
                <w:lang w:eastAsia="en-GB"/>
              </w:rPr>
              <w:t>46</w:t>
            </w:r>
            <w:r w:rsidRPr="000062BC">
              <w:rPr>
                <w:rFonts w:cs="Arial"/>
                <w:sz w:val="22"/>
                <w:szCs w:val="22"/>
                <w:lang w:eastAsia="en-GB"/>
              </w:rPr>
              <w:t>)</w:t>
            </w:r>
          </w:p>
        </w:tc>
        <w:tc>
          <w:tcPr>
            <w:tcW w:w="278" w:type="dxa"/>
            <w:tcBorders>
              <w:top w:val="nil"/>
              <w:left w:val="nil"/>
              <w:bottom w:val="nil"/>
              <w:right w:val="single" w:sz="8" w:space="0" w:color="auto"/>
            </w:tcBorders>
            <w:shd w:val="clear" w:color="000000" w:fill="FFFFFF"/>
            <w:noWrap/>
            <w:vAlign w:val="center"/>
            <w:hideMark/>
          </w:tcPr>
          <w:p w14:paraId="3481F86E" w14:textId="77777777" w:rsidR="003334A3" w:rsidRPr="000062BC" w:rsidRDefault="003334A3" w:rsidP="003334A3">
            <w:pPr>
              <w:rPr>
                <w:rFonts w:cs="Arial"/>
                <w:sz w:val="22"/>
                <w:szCs w:val="22"/>
                <w:lang w:eastAsia="en-GB"/>
              </w:rPr>
            </w:pPr>
            <w:r w:rsidRPr="000062BC">
              <w:rPr>
                <w:rFonts w:cs="Arial"/>
                <w:sz w:val="22"/>
                <w:szCs w:val="22"/>
                <w:lang w:eastAsia="en-GB"/>
              </w:rPr>
              <w:t> </w:t>
            </w:r>
          </w:p>
        </w:tc>
      </w:tr>
      <w:tr w:rsidR="00E46377" w:rsidRPr="000062BC" w14:paraId="7B00E8A5" w14:textId="77777777" w:rsidTr="008F5F09">
        <w:trPr>
          <w:trHeight w:val="280"/>
        </w:trPr>
        <w:tc>
          <w:tcPr>
            <w:tcW w:w="278" w:type="dxa"/>
            <w:tcBorders>
              <w:top w:val="nil"/>
              <w:left w:val="single" w:sz="8" w:space="0" w:color="auto"/>
              <w:bottom w:val="nil"/>
              <w:right w:val="nil"/>
            </w:tcBorders>
            <w:shd w:val="clear" w:color="000000" w:fill="FFFFFF"/>
            <w:noWrap/>
            <w:vAlign w:val="center"/>
            <w:hideMark/>
          </w:tcPr>
          <w:p w14:paraId="01CF4E9A" w14:textId="77777777" w:rsidR="003334A3" w:rsidRPr="000062BC" w:rsidRDefault="003334A3" w:rsidP="003334A3">
            <w:pPr>
              <w:rPr>
                <w:rFonts w:cs="Arial"/>
                <w:sz w:val="22"/>
                <w:szCs w:val="22"/>
                <w:lang w:eastAsia="en-GB"/>
              </w:rPr>
            </w:pPr>
            <w:r w:rsidRPr="000062BC">
              <w:rPr>
                <w:rFonts w:cs="Arial"/>
                <w:sz w:val="22"/>
                <w:szCs w:val="22"/>
                <w:lang w:eastAsia="en-GB"/>
              </w:rPr>
              <w:t> </w:t>
            </w:r>
          </w:p>
        </w:tc>
        <w:tc>
          <w:tcPr>
            <w:tcW w:w="852" w:type="dxa"/>
            <w:tcBorders>
              <w:top w:val="nil"/>
              <w:left w:val="nil"/>
              <w:bottom w:val="nil"/>
              <w:right w:val="nil"/>
            </w:tcBorders>
            <w:shd w:val="clear" w:color="000000" w:fill="FFFFFF"/>
            <w:vAlign w:val="center"/>
            <w:hideMark/>
          </w:tcPr>
          <w:p w14:paraId="090720B9" w14:textId="77777777" w:rsidR="003334A3" w:rsidRPr="000062BC" w:rsidRDefault="003334A3" w:rsidP="003334A3">
            <w:pPr>
              <w:rPr>
                <w:rFonts w:cs="Arial"/>
                <w:sz w:val="22"/>
                <w:szCs w:val="22"/>
                <w:lang w:eastAsia="en-GB"/>
              </w:rPr>
            </w:pPr>
            <w:r w:rsidRPr="000062BC">
              <w:rPr>
                <w:rFonts w:cs="Arial"/>
                <w:sz w:val="22"/>
                <w:szCs w:val="22"/>
                <w:lang w:eastAsia="en-GB"/>
              </w:rPr>
              <w:t> </w:t>
            </w:r>
          </w:p>
        </w:tc>
        <w:tc>
          <w:tcPr>
            <w:tcW w:w="987" w:type="dxa"/>
            <w:tcBorders>
              <w:top w:val="nil"/>
              <w:left w:val="nil"/>
              <w:bottom w:val="nil"/>
              <w:right w:val="nil"/>
            </w:tcBorders>
            <w:shd w:val="clear" w:color="000000" w:fill="FFFFFF"/>
            <w:vAlign w:val="center"/>
            <w:hideMark/>
          </w:tcPr>
          <w:p w14:paraId="717F0437" w14:textId="77777777" w:rsidR="003334A3" w:rsidRPr="000062BC" w:rsidRDefault="003334A3" w:rsidP="003334A3">
            <w:pPr>
              <w:rPr>
                <w:rFonts w:cs="Arial"/>
                <w:sz w:val="22"/>
                <w:szCs w:val="22"/>
                <w:lang w:eastAsia="en-GB"/>
              </w:rPr>
            </w:pPr>
            <w:r w:rsidRPr="000062BC">
              <w:rPr>
                <w:rFonts w:cs="Arial"/>
                <w:sz w:val="22"/>
                <w:szCs w:val="22"/>
                <w:lang w:eastAsia="en-GB"/>
              </w:rPr>
              <w:t> </w:t>
            </w:r>
          </w:p>
        </w:tc>
        <w:tc>
          <w:tcPr>
            <w:tcW w:w="850" w:type="dxa"/>
            <w:tcBorders>
              <w:top w:val="nil"/>
              <w:left w:val="nil"/>
              <w:bottom w:val="nil"/>
              <w:right w:val="nil"/>
            </w:tcBorders>
            <w:shd w:val="clear" w:color="000000" w:fill="FFFFFF"/>
            <w:noWrap/>
            <w:vAlign w:val="center"/>
            <w:hideMark/>
          </w:tcPr>
          <w:p w14:paraId="30D1ACDB" w14:textId="77777777" w:rsidR="003334A3" w:rsidRPr="000062BC" w:rsidRDefault="003334A3" w:rsidP="003334A3">
            <w:pPr>
              <w:rPr>
                <w:rFonts w:cs="Arial"/>
                <w:sz w:val="22"/>
                <w:szCs w:val="22"/>
                <w:lang w:eastAsia="en-GB"/>
              </w:rPr>
            </w:pPr>
            <w:r w:rsidRPr="000062BC">
              <w:rPr>
                <w:rFonts w:cs="Arial"/>
                <w:sz w:val="22"/>
                <w:szCs w:val="22"/>
                <w:lang w:eastAsia="en-GB"/>
              </w:rPr>
              <w:t> </w:t>
            </w:r>
          </w:p>
        </w:tc>
        <w:tc>
          <w:tcPr>
            <w:tcW w:w="4678" w:type="dxa"/>
            <w:tcBorders>
              <w:top w:val="nil"/>
              <w:left w:val="nil"/>
              <w:bottom w:val="nil"/>
              <w:right w:val="nil"/>
            </w:tcBorders>
            <w:shd w:val="clear" w:color="000000" w:fill="FFFFFF"/>
            <w:vAlign w:val="center"/>
            <w:hideMark/>
          </w:tcPr>
          <w:p w14:paraId="76E11410" w14:textId="3700DDCF" w:rsidR="003334A3" w:rsidRPr="000062BC" w:rsidRDefault="003334A3" w:rsidP="003334A3">
            <w:pPr>
              <w:rPr>
                <w:rFonts w:cs="Arial"/>
                <w:sz w:val="22"/>
                <w:szCs w:val="22"/>
                <w:lang w:eastAsia="en-GB"/>
              </w:rPr>
            </w:pPr>
            <w:r w:rsidRPr="000062BC">
              <w:rPr>
                <w:rFonts w:cs="Arial"/>
                <w:sz w:val="22"/>
                <w:szCs w:val="22"/>
                <w:lang w:eastAsia="en-GB"/>
              </w:rPr>
              <w:t xml:space="preserve">Net Profit / Loss upon Sale of </w:t>
            </w:r>
            <w:r w:rsidR="008F5F09">
              <w:rPr>
                <w:rFonts w:cs="Arial"/>
                <w:sz w:val="22"/>
                <w:szCs w:val="22"/>
                <w:lang w:eastAsia="en-GB"/>
              </w:rPr>
              <w:t xml:space="preserve"> non IP </w:t>
            </w:r>
            <w:r w:rsidRPr="000062BC">
              <w:rPr>
                <w:rFonts w:cs="Arial"/>
                <w:sz w:val="22"/>
                <w:szCs w:val="22"/>
                <w:lang w:eastAsia="en-GB"/>
              </w:rPr>
              <w:t>Assets</w:t>
            </w:r>
          </w:p>
        </w:tc>
        <w:tc>
          <w:tcPr>
            <w:tcW w:w="852" w:type="dxa"/>
            <w:tcBorders>
              <w:top w:val="nil"/>
              <w:left w:val="nil"/>
              <w:bottom w:val="nil"/>
              <w:right w:val="nil"/>
            </w:tcBorders>
            <w:shd w:val="clear" w:color="000000" w:fill="FFFFFF"/>
            <w:vAlign w:val="center"/>
            <w:hideMark/>
          </w:tcPr>
          <w:p w14:paraId="33CBA718" w14:textId="0C18E494" w:rsidR="003334A3" w:rsidRPr="000062BC" w:rsidRDefault="003334A3" w:rsidP="000062BC">
            <w:pPr>
              <w:jc w:val="right"/>
              <w:rPr>
                <w:rFonts w:cs="Arial"/>
                <w:sz w:val="22"/>
                <w:szCs w:val="22"/>
                <w:lang w:eastAsia="en-GB"/>
              </w:rPr>
            </w:pPr>
            <w:r w:rsidRPr="000062BC">
              <w:rPr>
                <w:rFonts w:cs="Arial"/>
                <w:sz w:val="22"/>
                <w:szCs w:val="22"/>
                <w:lang w:eastAsia="en-GB"/>
              </w:rPr>
              <w:t> </w:t>
            </w:r>
            <w:r w:rsidR="000062BC" w:rsidRPr="000062BC">
              <w:rPr>
                <w:rFonts w:cs="Arial"/>
                <w:sz w:val="22"/>
                <w:szCs w:val="22"/>
                <w:lang w:eastAsia="en-GB"/>
              </w:rPr>
              <w:t>23</w:t>
            </w:r>
          </w:p>
        </w:tc>
        <w:tc>
          <w:tcPr>
            <w:tcW w:w="990" w:type="dxa"/>
            <w:tcBorders>
              <w:top w:val="nil"/>
              <w:left w:val="nil"/>
              <w:bottom w:val="nil"/>
              <w:right w:val="nil"/>
            </w:tcBorders>
            <w:shd w:val="clear" w:color="000000" w:fill="FFFFFF"/>
            <w:vAlign w:val="center"/>
            <w:hideMark/>
          </w:tcPr>
          <w:p w14:paraId="26D6122C" w14:textId="058C9D13" w:rsidR="003334A3" w:rsidRPr="000062BC" w:rsidRDefault="003334A3" w:rsidP="000062BC">
            <w:pPr>
              <w:jc w:val="right"/>
              <w:rPr>
                <w:rFonts w:cs="Arial"/>
                <w:sz w:val="22"/>
                <w:szCs w:val="22"/>
                <w:lang w:eastAsia="en-GB"/>
              </w:rPr>
            </w:pPr>
            <w:r w:rsidRPr="000062BC">
              <w:rPr>
                <w:rFonts w:cs="Arial"/>
                <w:sz w:val="22"/>
                <w:szCs w:val="22"/>
                <w:lang w:eastAsia="en-GB"/>
              </w:rPr>
              <w:t> </w:t>
            </w:r>
            <w:r w:rsidR="000062BC" w:rsidRPr="000062BC">
              <w:rPr>
                <w:rFonts w:cs="Arial"/>
                <w:sz w:val="22"/>
                <w:szCs w:val="22"/>
                <w:lang w:eastAsia="en-GB"/>
              </w:rPr>
              <w:t>(49)</w:t>
            </w:r>
          </w:p>
        </w:tc>
        <w:tc>
          <w:tcPr>
            <w:tcW w:w="730" w:type="dxa"/>
            <w:tcBorders>
              <w:top w:val="nil"/>
              <w:left w:val="nil"/>
              <w:bottom w:val="nil"/>
              <w:right w:val="nil"/>
            </w:tcBorders>
            <w:shd w:val="clear" w:color="000000" w:fill="FFFFFF"/>
            <w:noWrap/>
            <w:vAlign w:val="center"/>
            <w:hideMark/>
          </w:tcPr>
          <w:p w14:paraId="7D83DC46" w14:textId="45FF6199" w:rsidR="003334A3" w:rsidRPr="000062BC" w:rsidRDefault="003334A3" w:rsidP="000062BC">
            <w:pPr>
              <w:jc w:val="right"/>
              <w:rPr>
                <w:rFonts w:cs="Arial"/>
                <w:sz w:val="22"/>
                <w:szCs w:val="22"/>
                <w:lang w:eastAsia="en-GB"/>
              </w:rPr>
            </w:pPr>
            <w:r w:rsidRPr="000062BC">
              <w:rPr>
                <w:rFonts w:cs="Arial"/>
                <w:sz w:val="22"/>
                <w:szCs w:val="22"/>
                <w:lang w:eastAsia="en-GB"/>
              </w:rPr>
              <w:t> </w:t>
            </w:r>
            <w:r w:rsidR="008F5F09">
              <w:rPr>
                <w:rFonts w:cs="Arial"/>
                <w:sz w:val="22"/>
                <w:szCs w:val="22"/>
                <w:lang w:eastAsia="en-GB"/>
              </w:rPr>
              <w:t>(</w:t>
            </w:r>
            <w:r w:rsidR="000062BC" w:rsidRPr="000062BC">
              <w:rPr>
                <w:rFonts w:cs="Arial"/>
                <w:sz w:val="22"/>
                <w:szCs w:val="22"/>
                <w:lang w:eastAsia="en-GB"/>
              </w:rPr>
              <w:t>26</w:t>
            </w:r>
            <w:r w:rsidR="008F5F09">
              <w:rPr>
                <w:rFonts w:cs="Arial"/>
                <w:sz w:val="22"/>
                <w:szCs w:val="22"/>
                <w:lang w:eastAsia="en-GB"/>
              </w:rPr>
              <w:t>)</w:t>
            </w:r>
          </w:p>
        </w:tc>
        <w:tc>
          <w:tcPr>
            <w:tcW w:w="278" w:type="dxa"/>
            <w:tcBorders>
              <w:top w:val="nil"/>
              <w:left w:val="nil"/>
              <w:bottom w:val="nil"/>
              <w:right w:val="single" w:sz="8" w:space="0" w:color="auto"/>
            </w:tcBorders>
            <w:shd w:val="clear" w:color="000000" w:fill="FFFFFF"/>
            <w:noWrap/>
            <w:vAlign w:val="center"/>
            <w:hideMark/>
          </w:tcPr>
          <w:p w14:paraId="46A675C5" w14:textId="77777777" w:rsidR="003334A3" w:rsidRPr="000062BC" w:rsidRDefault="003334A3" w:rsidP="003334A3">
            <w:pPr>
              <w:rPr>
                <w:rFonts w:cs="Arial"/>
                <w:sz w:val="22"/>
                <w:szCs w:val="22"/>
                <w:lang w:eastAsia="en-GB"/>
              </w:rPr>
            </w:pPr>
            <w:r w:rsidRPr="000062BC">
              <w:rPr>
                <w:rFonts w:cs="Arial"/>
                <w:sz w:val="22"/>
                <w:szCs w:val="22"/>
                <w:lang w:eastAsia="en-GB"/>
              </w:rPr>
              <w:t> </w:t>
            </w:r>
          </w:p>
        </w:tc>
      </w:tr>
      <w:tr w:rsidR="00E46377" w:rsidRPr="00E46377" w14:paraId="5DE1F917" w14:textId="77777777" w:rsidTr="008F5F09">
        <w:trPr>
          <w:trHeight w:val="290"/>
        </w:trPr>
        <w:tc>
          <w:tcPr>
            <w:tcW w:w="278" w:type="dxa"/>
            <w:tcBorders>
              <w:top w:val="nil"/>
              <w:left w:val="single" w:sz="8" w:space="0" w:color="auto"/>
              <w:bottom w:val="nil"/>
              <w:right w:val="nil"/>
            </w:tcBorders>
            <w:shd w:val="clear" w:color="000000" w:fill="FFFFFF"/>
            <w:noWrap/>
            <w:vAlign w:val="center"/>
            <w:hideMark/>
          </w:tcPr>
          <w:p w14:paraId="6CE9F93A" w14:textId="77777777" w:rsidR="003334A3" w:rsidRPr="000062BC" w:rsidRDefault="003334A3" w:rsidP="003334A3">
            <w:pPr>
              <w:rPr>
                <w:rFonts w:cs="Arial"/>
                <w:sz w:val="22"/>
                <w:szCs w:val="22"/>
                <w:lang w:eastAsia="en-GB"/>
              </w:rPr>
            </w:pPr>
            <w:r w:rsidRPr="000062BC">
              <w:rPr>
                <w:rFonts w:cs="Arial"/>
                <w:sz w:val="22"/>
                <w:szCs w:val="22"/>
                <w:lang w:eastAsia="en-GB"/>
              </w:rPr>
              <w:t> </w:t>
            </w:r>
          </w:p>
        </w:tc>
        <w:tc>
          <w:tcPr>
            <w:tcW w:w="852" w:type="dxa"/>
            <w:tcBorders>
              <w:top w:val="single" w:sz="4" w:space="0" w:color="auto"/>
              <w:left w:val="nil"/>
              <w:bottom w:val="double" w:sz="6" w:space="0" w:color="auto"/>
              <w:right w:val="nil"/>
            </w:tcBorders>
            <w:shd w:val="clear" w:color="000000" w:fill="FFFFFF"/>
            <w:noWrap/>
            <w:vAlign w:val="center"/>
            <w:hideMark/>
          </w:tcPr>
          <w:p w14:paraId="670B0680" w14:textId="74BA038D" w:rsidR="003334A3" w:rsidRPr="000062BC" w:rsidRDefault="00E46377" w:rsidP="003334A3">
            <w:pPr>
              <w:jc w:val="right"/>
              <w:rPr>
                <w:rFonts w:cs="Arial"/>
                <w:b/>
                <w:bCs/>
                <w:sz w:val="22"/>
                <w:szCs w:val="22"/>
                <w:lang w:eastAsia="en-GB"/>
              </w:rPr>
            </w:pPr>
            <w:r w:rsidRPr="000062BC">
              <w:rPr>
                <w:rFonts w:cs="Arial"/>
                <w:b/>
                <w:bCs/>
                <w:sz w:val="22"/>
                <w:szCs w:val="22"/>
                <w:lang w:eastAsia="en-GB"/>
              </w:rPr>
              <w:t>827</w:t>
            </w:r>
          </w:p>
        </w:tc>
        <w:tc>
          <w:tcPr>
            <w:tcW w:w="987" w:type="dxa"/>
            <w:tcBorders>
              <w:top w:val="single" w:sz="4" w:space="0" w:color="auto"/>
              <w:left w:val="nil"/>
              <w:bottom w:val="double" w:sz="6" w:space="0" w:color="auto"/>
              <w:right w:val="nil"/>
            </w:tcBorders>
            <w:shd w:val="clear" w:color="000000" w:fill="FFFFFF"/>
            <w:noWrap/>
            <w:vAlign w:val="center"/>
            <w:hideMark/>
          </w:tcPr>
          <w:p w14:paraId="2D055403" w14:textId="7505C380" w:rsidR="003334A3" w:rsidRPr="000062BC" w:rsidRDefault="003334A3" w:rsidP="003334A3">
            <w:pPr>
              <w:jc w:val="right"/>
              <w:rPr>
                <w:rFonts w:cs="Arial"/>
                <w:b/>
                <w:bCs/>
                <w:sz w:val="22"/>
                <w:szCs w:val="22"/>
                <w:lang w:eastAsia="en-GB"/>
              </w:rPr>
            </w:pPr>
            <w:r w:rsidRPr="000062BC">
              <w:rPr>
                <w:rFonts w:cs="Arial"/>
                <w:b/>
                <w:bCs/>
                <w:sz w:val="22"/>
                <w:szCs w:val="22"/>
                <w:lang w:eastAsia="en-GB"/>
              </w:rPr>
              <w:t>(</w:t>
            </w:r>
            <w:r w:rsidR="00E46377" w:rsidRPr="000062BC">
              <w:rPr>
                <w:rFonts w:cs="Arial"/>
                <w:b/>
                <w:bCs/>
                <w:sz w:val="22"/>
                <w:szCs w:val="22"/>
                <w:lang w:eastAsia="en-GB"/>
              </w:rPr>
              <w:t>1,298</w:t>
            </w:r>
            <w:r w:rsidRPr="000062BC">
              <w:rPr>
                <w:rFonts w:cs="Arial"/>
                <w:b/>
                <w:bCs/>
                <w:sz w:val="22"/>
                <w:szCs w:val="22"/>
                <w:lang w:eastAsia="en-GB"/>
              </w:rPr>
              <w:t>)</w:t>
            </w:r>
          </w:p>
        </w:tc>
        <w:tc>
          <w:tcPr>
            <w:tcW w:w="850" w:type="dxa"/>
            <w:tcBorders>
              <w:top w:val="single" w:sz="4" w:space="0" w:color="auto"/>
              <w:left w:val="nil"/>
              <w:bottom w:val="double" w:sz="6" w:space="0" w:color="auto"/>
              <w:right w:val="nil"/>
            </w:tcBorders>
            <w:shd w:val="clear" w:color="000000" w:fill="FFFFFF"/>
            <w:noWrap/>
            <w:vAlign w:val="center"/>
            <w:hideMark/>
          </w:tcPr>
          <w:p w14:paraId="4074C611" w14:textId="6CEF699B" w:rsidR="003334A3" w:rsidRPr="000062BC" w:rsidRDefault="00E46377" w:rsidP="003334A3">
            <w:pPr>
              <w:jc w:val="right"/>
              <w:rPr>
                <w:rFonts w:cs="Arial"/>
                <w:b/>
                <w:bCs/>
                <w:sz w:val="22"/>
                <w:szCs w:val="22"/>
                <w:lang w:eastAsia="en-GB"/>
              </w:rPr>
            </w:pPr>
            <w:r w:rsidRPr="000062BC">
              <w:rPr>
                <w:rFonts w:cs="Arial"/>
                <w:b/>
                <w:bCs/>
                <w:sz w:val="22"/>
                <w:szCs w:val="22"/>
                <w:lang w:eastAsia="en-GB"/>
              </w:rPr>
              <w:t>(471)</w:t>
            </w:r>
          </w:p>
        </w:tc>
        <w:tc>
          <w:tcPr>
            <w:tcW w:w="4678" w:type="dxa"/>
            <w:tcBorders>
              <w:top w:val="nil"/>
              <w:left w:val="nil"/>
              <w:bottom w:val="nil"/>
              <w:right w:val="nil"/>
            </w:tcBorders>
            <w:shd w:val="clear" w:color="000000" w:fill="FFFFFF"/>
            <w:noWrap/>
            <w:vAlign w:val="center"/>
            <w:hideMark/>
          </w:tcPr>
          <w:p w14:paraId="5ADF3EE2" w14:textId="77777777" w:rsidR="003334A3" w:rsidRPr="000062BC" w:rsidRDefault="003334A3" w:rsidP="003334A3">
            <w:pPr>
              <w:rPr>
                <w:rFonts w:cs="Arial"/>
                <w:b/>
                <w:bCs/>
                <w:sz w:val="22"/>
                <w:szCs w:val="22"/>
                <w:lang w:eastAsia="en-GB"/>
              </w:rPr>
            </w:pPr>
            <w:r w:rsidRPr="000062BC">
              <w:rPr>
                <w:rFonts w:cs="Arial"/>
                <w:b/>
                <w:bCs/>
                <w:sz w:val="22"/>
                <w:szCs w:val="22"/>
                <w:lang w:eastAsia="en-GB"/>
              </w:rPr>
              <w:t>Total</w:t>
            </w:r>
          </w:p>
        </w:tc>
        <w:tc>
          <w:tcPr>
            <w:tcW w:w="852" w:type="dxa"/>
            <w:tcBorders>
              <w:top w:val="single" w:sz="4" w:space="0" w:color="auto"/>
              <w:left w:val="nil"/>
              <w:bottom w:val="double" w:sz="6" w:space="0" w:color="auto"/>
              <w:right w:val="nil"/>
            </w:tcBorders>
            <w:shd w:val="clear" w:color="000000" w:fill="FFFFFF"/>
            <w:noWrap/>
            <w:vAlign w:val="center"/>
            <w:hideMark/>
          </w:tcPr>
          <w:p w14:paraId="417C5398" w14:textId="714A9A96" w:rsidR="003334A3" w:rsidRPr="000062BC" w:rsidRDefault="00E46377" w:rsidP="003334A3">
            <w:pPr>
              <w:jc w:val="right"/>
              <w:rPr>
                <w:rFonts w:cs="Arial"/>
                <w:b/>
                <w:bCs/>
                <w:sz w:val="22"/>
                <w:szCs w:val="22"/>
                <w:lang w:eastAsia="en-GB"/>
              </w:rPr>
            </w:pPr>
            <w:r w:rsidRPr="000062BC">
              <w:rPr>
                <w:rFonts w:cs="Arial"/>
                <w:b/>
                <w:bCs/>
                <w:sz w:val="22"/>
                <w:szCs w:val="22"/>
                <w:lang w:eastAsia="en-GB"/>
              </w:rPr>
              <w:t>3,907</w:t>
            </w:r>
          </w:p>
        </w:tc>
        <w:tc>
          <w:tcPr>
            <w:tcW w:w="990" w:type="dxa"/>
            <w:tcBorders>
              <w:top w:val="single" w:sz="4" w:space="0" w:color="auto"/>
              <w:left w:val="nil"/>
              <w:bottom w:val="double" w:sz="6" w:space="0" w:color="auto"/>
              <w:right w:val="nil"/>
            </w:tcBorders>
            <w:shd w:val="clear" w:color="000000" w:fill="FFFFFF"/>
            <w:noWrap/>
            <w:vAlign w:val="center"/>
            <w:hideMark/>
          </w:tcPr>
          <w:p w14:paraId="599FD2D9" w14:textId="38BA9AEA" w:rsidR="003334A3" w:rsidRPr="000062BC" w:rsidRDefault="003334A3" w:rsidP="003334A3">
            <w:pPr>
              <w:jc w:val="right"/>
              <w:rPr>
                <w:rFonts w:cs="Arial"/>
                <w:b/>
                <w:bCs/>
                <w:sz w:val="22"/>
                <w:szCs w:val="22"/>
                <w:lang w:eastAsia="en-GB"/>
              </w:rPr>
            </w:pPr>
            <w:r w:rsidRPr="000062BC">
              <w:rPr>
                <w:rFonts w:cs="Arial"/>
                <w:b/>
                <w:bCs/>
                <w:sz w:val="22"/>
                <w:szCs w:val="22"/>
                <w:lang w:eastAsia="en-GB"/>
              </w:rPr>
              <w:t>(</w:t>
            </w:r>
            <w:r w:rsidR="00E46377" w:rsidRPr="000062BC">
              <w:rPr>
                <w:rFonts w:cs="Arial"/>
                <w:b/>
                <w:bCs/>
                <w:sz w:val="22"/>
                <w:szCs w:val="22"/>
                <w:lang w:eastAsia="en-GB"/>
              </w:rPr>
              <w:t>3</w:t>
            </w:r>
            <w:r w:rsidRPr="000062BC">
              <w:rPr>
                <w:rFonts w:cs="Arial"/>
                <w:b/>
                <w:bCs/>
                <w:sz w:val="22"/>
                <w:szCs w:val="22"/>
                <w:lang w:eastAsia="en-GB"/>
              </w:rPr>
              <w:t>,</w:t>
            </w:r>
            <w:r w:rsidR="00E46377" w:rsidRPr="000062BC">
              <w:rPr>
                <w:rFonts w:cs="Arial"/>
                <w:b/>
                <w:bCs/>
                <w:sz w:val="22"/>
                <w:szCs w:val="22"/>
                <w:lang w:eastAsia="en-GB"/>
              </w:rPr>
              <w:t>705</w:t>
            </w:r>
            <w:r w:rsidRPr="000062BC">
              <w:rPr>
                <w:rFonts w:cs="Arial"/>
                <w:b/>
                <w:bCs/>
                <w:sz w:val="22"/>
                <w:szCs w:val="22"/>
                <w:lang w:eastAsia="en-GB"/>
              </w:rPr>
              <w:t>)</w:t>
            </w:r>
          </w:p>
        </w:tc>
        <w:tc>
          <w:tcPr>
            <w:tcW w:w="730" w:type="dxa"/>
            <w:tcBorders>
              <w:top w:val="single" w:sz="4" w:space="0" w:color="auto"/>
              <w:left w:val="nil"/>
              <w:bottom w:val="double" w:sz="6" w:space="0" w:color="auto"/>
              <w:right w:val="nil"/>
            </w:tcBorders>
            <w:shd w:val="clear" w:color="000000" w:fill="FFFFFF"/>
            <w:noWrap/>
            <w:vAlign w:val="center"/>
            <w:hideMark/>
          </w:tcPr>
          <w:p w14:paraId="6368A67F" w14:textId="459BB035" w:rsidR="003334A3" w:rsidRPr="00E46377" w:rsidRDefault="003334A3" w:rsidP="003334A3">
            <w:pPr>
              <w:jc w:val="right"/>
              <w:rPr>
                <w:rFonts w:cs="Arial"/>
                <w:b/>
                <w:bCs/>
                <w:sz w:val="22"/>
                <w:szCs w:val="22"/>
                <w:lang w:eastAsia="en-GB"/>
              </w:rPr>
            </w:pPr>
            <w:r w:rsidRPr="000062BC">
              <w:rPr>
                <w:rFonts w:cs="Arial"/>
                <w:b/>
                <w:bCs/>
                <w:sz w:val="22"/>
                <w:szCs w:val="22"/>
                <w:lang w:eastAsia="en-GB"/>
              </w:rPr>
              <w:t>(</w:t>
            </w:r>
            <w:r w:rsidR="00E46377" w:rsidRPr="000062BC">
              <w:rPr>
                <w:rFonts w:cs="Arial"/>
                <w:b/>
                <w:bCs/>
                <w:sz w:val="22"/>
                <w:szCs w:val="22"/>
                <w:lang w:eastAsia="en-GB"/>
              </w:rPr>
              <w:t>203</w:t>
            </w:r>
            <w:r w:rsidRPr="000062BC">
              <w:rPr>
                <w:rFonts w:cs="Arial"/>
                <w:b/>
                <w:bCs/>
                <w:sz w:val="22"/>
                <w:szCs w:val="22"/>
                <w:lang w:eastAsia="en-GB"/>
              </w:rPr>
              <w:t>)</w:t>
            </w:r>
          </w:p>
        </w:tc>
        <w:tc>
          <w:tcPr>
            <w:tcW w:w="278" w:type="dxa"/>
            <w:tcBorders>
              <w:top w:val="nil"/>
              <w:left w:val="nil"/>
              <w:bottom w:val="nil"/>
              <w:right w:val="single" w:sz="8" w:space="0" w:color="auto"/>
            </w:tcBorders>
            <w:shd w:val="clear" w:color="000000" w:fill="FFFFFF"/>
            <w:noWrap/>
            <w:vAlign w:val="center"/>
            <w:hideMark/>
          </w:tcPr>
          <w:p w14:paraId="40C843E8" w14:textId="77777777" w:rsidR="003334A3" w:rsidRPr="00E46377" w:rsidRDefault="003334A3" w:rsidP="003334A3">
            <w:pPr>
              <w:rPr>
                <w:rFonts w:cs="Arial"/>
                <w:sz w:val="22"/>
                <w:szCs w:val="22"/>
                <w:lang w:eastAsia="en-GB"/>
              </w:rPr>
            </w:pPr>
            <w:r w:rsidRPr="00E46377">
              <w:rPr>
                <w:rFonts w:cs="Arial"/>
                <w:sz w:val="22"/>
                <w:szCs w:val="22"/>
                <w:lang w:eastAsia="en-GB"/>
              </w:rPr>
              <w:t> </w:t>
            </w:r>
          </w:p>
        </w:tc>
      </w:tr>
      <w:tr w:rsidR="00E46377" w:rsidRPr="00E46377" w14:paraId="194D18C5" w14:textId="77777777" w:rsidTr="008F5F09">
        <w:trPr>
          <w:trHeight w:val="300"/>
        </w:trPr>
        <w:tc>
          <w:tcPr>
            <w:tcW w:w="278" w:type="dxa"/>
            <w:tcBorders>
              <w:top w:val="nil"/>
              <w:left w:val="single" w:sz="8" w:space="0" w:color="auto"/>
              <w:bottom w:val="single" w:sz="8" w:space="0" w:color="auto"/>
              <w:right w:val="nil"/>
            </w:tcBorders>
            <w:shd w:val="clear" w:color="000000" w:fill="FFFFFF"/>
            <w:noWrap/>
            <w:vAlign w:val="center"/>
            <w:hideMark/>
          </w:tcPr>
          <w:p w14:paraId="411DD114" w14:textId="77777777" w:rsidR="003334A3" w:rsidRPr="00E46377" w:rsidRDefault="003334A3" w:rsidP="003334A3">
            <w:pPr>
              <w:rPr>
                <w:rFonts w:cs="Arial"/>
                <w:sz w:val="22"/>
                <w:szCs w:val="22"/>
                <w:lang w:eastAsia="en-GB"/>
              </w:rPr>
            </w:pPr>
            <w:r w:rsidRPr="00E46377">
              <w:rPr>
                <w:rFonts w:cs="Arial"/>
                <w:sz w:val="22"/>
                <w:szCs w:val="22"/>
                <w:lang w:eastAsia="en-GB"/>
              </w:rPr>
              <w:t> </w:t>
            </w:r>
          </w:p>
        </w:tc>
        <w:tc>
          <w:tcPr>
            <w:tcW w:w="852" w:type="dxa"/>
            <w:tcBorders>
              <w:top w:val="nil"/>
              <w:left w:val="nil"/>
              <w:bottom w:val="single" w:sz="8" w:space="0" w:color="auto"/>
              <w:right w:val="nil"/>
            </w:tcBorders>
            <w:shd w:val="clear" w:color="000000" w:fill="FFFFFF"/>
            <w:noWrap/>
            <w:vAlign w:val="center"/>
            <w:hideMark/>
          </w:tcPr>
          <w:p w14:paraId="2FEAD16C" w14:textId="77777777" w:rsidR="003334A3" w:rsidRPr="00E46377" w:rsidRDefault="003334A3" w:rsidP="003334A3">
            <w:pPr>
              <w:rPr>
                <w:rFonts w:cs="Arial"/>
                <w:sz w:val="22"/>
                <w:szCs w:val="22"/>
                <w:lang w:eastAsia="en-GB"/>
              </w:rPr>
            </w:pPr>
            <w:r w:rsidRPr="00E46377">
              <w:rPr>
                <w:rFonts w:cs="Arial"/>
                <w:sz w:val="22"/>
                <w:szCs w:val="22"/>
                <w:lang w:eastAsia="en-GB"/>
              </w:rPr>
              <w:t> </w:t>
            </w:r>
          </w:p>
        </w:tc>
        <w:tc>
          <w:tcPr>
            <w:tcW w:w="987" w:type="dxa"/>
            <w:tcBorders>
              <w:top w:val="nil"/>
              <w:left w:val="nil"/>
              <w:bottom w:val="single" w:sz="8" w:space="0" w:color="auto"/>
              <w:right w:val="nil"/>
            </w:tcBorders>
            <w:shd w:val="clear" w:color="000000" w:fill="FFFFFF"/>
            <w:noWrap/>
            <w:vAlign w:val="center"/>
            <w:hideMark/>
          </w:tcPr>
          <w:p w14:paraId="5E70D7F3" w14:textId="77777777" w:rsidR="003334A3" w:rsidRPr="00E46377" w:rsidRDefault="003334A3" w:rsidP="003334A3">
            <w:pPr>
              <w:rPr>
                <w:rFonts w:cs="Arial"/>
                <w:sz w:val="22"/>
                <w:szCs w:val="22"/>
                <w:lang w:eastAsia="en-GB"/>
              </w:rPr>
            </w:pPr>
            <w:r w:rsidRPr="00E46377">
              <w:rPr>
                <w:rFonts w:cs="Arial"/>
                <w:sz w:val="22"/>
                <w:szCs w:val="22"/>
                <w:lang w:eastAsia="en-GB"/>
              </w:rPr>
              <w:t> </w:t>
            </w:r>
          </w:p>
        </w:tc>
        <w:tc>
          <w:tcPr>
            <w:tcW w:w="850" w:type="dxa"/>
            <w:tcBorders>
              <w:top w:val="nil"/>
              <w:left w:val="nil"/>
              <w:bottom w:val="single" w:sz="8" w:space="0" w:color="auto"/>
              <w:right w:val="nil"/>
            </w:tcBorders>
            <w:shd w:val="clear" w:color="000000" w:fill="FFFFFF"/>
            <w:noWrap/>
            <w:vAlign w:val="center"/>
            <w:hideMark/>
          </w:tcPr>
          <w:p w14:paraId="2A197C91" w14:textId="77777777" w:rsidR="003334A3" w:rsidRPr="00E46377" w:rsidRDefault="003334A3" w:rsidP="003334A3">
            <w:pPr>
              <w:rPr>
                <w:rFonts w:cs="Arial"/>
                <w:sz w:val="22"/>
                <w:szCs w:val="22"/>
                <w:lang w:eastAsia="en-GB"/>
              </w:rPr>
            </w:pPr>
            <w:r w:rsidRPr="00E46377">
              <w:rPr>
                <w:rFonts w:cs="Arial"/>
                <w:sz w:val="22"/>
                <w:szCs w:val="22"/>
                <w:lang w:eastAsia="en-GB"/>
              </w:rPr>
              <w:t> </w:t>
            </w:r>
          </w:p>
        </w:tc>
        <w:tc>
          <w:tcPr>
            <w:tcW w:w="4678" w:type="dxa"/>
            <w:tcBorders>
              <w:top w:val="nil"/>
              <w:left w:val="nil"/>
              <w:bottom w:val="single" w:sz="8" w:space="0" w:color="auto"/>
              <w:right w:val="nil"/>
            </w:tcBorders>
            <w:shd w:val="clear" w:color="000000" w:fill="FFFFFF"/>
            <w:noWrap/>
            <w:vAlign w:val="center"/>
            <w:hideMark/>
          </w:tcPr>
          <w:p w14:paraId="2ECC80BF" w14:textId="77777777" w:rsidR="003334A3" w:rsidRPr="00E46377" w:rsidRDefault="003334A3" w:rsidP="003334A3">
            <w:pPr>
              <w:rPr>
                <w:rFonts w:cs="Arial"/>
                <w:sz w:val="22"/>
                <w:szCs w:val="22"/>
                <w:lang w:eastAsia="en-GB"/>
              </w:rPr>
            </w:pPr>
            <w:r w:rsidRPr="00E46377">
              <w:rPr>
                <w:rFonts w:cs="Arial"/>
                <w:sz w:val="22"/>
                <w:szCs w:val="22"/>
                <w:lang w:eastAsia="en-GB"/>
              </w:rPr>
              <w:t> </w:t>
            </w:r>
          </w:p>
        </w:tc>
        <w:tc>
          <w:tcPr>
            <w:tcW w:w="852" w:type="dxa"/>
            <w:tcBorders>
              <w:top w:val="nil"/>
              <w:left w:val="nil"/>
              <w:bottom w:val="single" w:sz="8" w:space="0" w:color="auto"/>
              <w:right w:val="nil"/>
            </w:tcBorders>
            <w:shd w:val="clear" w:color="000000" w:fill="FFFFFF"/>
            <w:noWrap/>
            <w:vAlign w:val="center"/>
            <w:hideMark/>
          </w:tcPr>
          <w:p w14:paraId="7673F075" w14:textId="77777777" w:rsidR="003334A3" w:rsidRPr="00E46377" w:rsidRDefault="003334A3" w:rsidP="003334A3">
            <w:pPr>
              <w:rPr>
                <w:rFonts w:cs="Arial"/>
                <w:sz w:val="22"/>
                <w:szCs w:val="22"/>
                <w:lang w:eastAsia="en-GB"/>
              </w:rPr>
            </w:pPr>
            <w:r w:rsidRPr="00E46377">
              <w:rPr>
                <w:rFonts w:cs="Arial"/>
                <w:sz w:val="22"/>
                <w:szCs w:val="22"/>
                <w:lang w:eastAsia="en-GB"/>
              </w:rPr>
              <w:t> </w:t>
            </w:r>
          </w:p>
        </w:tc>
        <w:tc>
          <w:tcPr>
            <w:tcW w:w="990" w:type="dxa"/>
            <w:tcBorders>
              <w:top w:val="nil"/>
              <w:left w:val="nil"/>
              <w:bottom w:val="single" w:sz="8" w:space="0" w:color="auto"/>
              <w:right w:val="nil"/>
            </w:tcBorders>
            <w:shd w:val="clear" w:color="000000" w:fill="FFFFFF"/>
            <w:noWrap/>
            <w:vAlign w:val="center"/>
            <w:hideMark/>
          </w:tcPr>
          <w:p w14:paraId="58DCA6DF" w14:textId="77777777" w:rsidR="003334A3" w:rsidRPr="00E46377" w:rsidRDefault="003334A3" w:rsidP="003334A3">
            <w:pPr>
              <w:rPr>
                <w:rFonts w:cs="Arial"/>
                <w:sz w:val="22"/>
                <w:szCs w:val="22"/>
                <w:lang w:eastAsia="en-GB"/>
              </w:rPr>
            </w:pPr>
            <w:r w:rsidRPr="00E46377">
              <w:rPr>
                <w:rFonts w:cs="Arial"/>
                <w:sz w:val="22"/>
                <w:szCs w:val="22"/>
                <w:lang w:eastAsia="en-GB"/>
              </w:rPr>
              <w:t> </w:t>
            </w:r>
          </w:p>
        </w:tc>
        <w:tc>
          <w:tcPr>
            <w:tcW w:w="730" w:type="dxa"/>
            <w:tcBorders>
              <w:top w:val="nil"/>
              <w:left w:val="nil"/>
              <w:bottom w:val="single" w:sz="8" w:space="0" w:color="auto"/>
              <w:right w:val="nil"/>
            </w:tcBorders>
            <w:shd w:val="clear" w:color="000000" w:fill="FFFFFF"/>
            <w:noWrap/>
            <w:vAlign w:val="center"/>
            <w:hideMark/>
          </w:tcPr>
          <w:p w14:paraId="23FAA848" w14:textId="77777777" w:rsidR="003334A3" w:rsidRPr="00E46377" w:rsidRDefault="003334A3" w:rsidP="003334A3">
            <w:pPr>
              <w:rPr>
                <w:rFonts w:cs="Arial"/>
                <w:sz w:val="22"/>
                <w:szCs w:val="22"/>
                <w:lang w:eastAsia="en-GB"/>
              </w:rPr>
            </w:pPr>
            <w:r w:rsidRPr="00E46377">
              <w:rPr>
                <w:rFonts w:cs="Arial"/>
                <w:sz w:val="22"/>
                <w:szCs w:val="22"/>
                <w:lang w:eastAsia="en-GB"/>
              </w:rPr>
              <w:t> </w:t>
            </w:r>
          </w:p>
        </w:tc>
        <w:tc>
          <w:tcPr>
            <w:tcW w:w="278" w:type="dxa"/>
            <w:tcBorders>
              <w:top w:val="nil"/>
              <w:left w:val="nil"/>
              <w:bottom w:val="single" w:sz="8" w:space="0" w:color="auto"/>
              <w:right w:val="single" w:sz="8" w:space="0" w:color="auto"/>
            </w:tcBorders>
            <w:shd w:val="clear" w:color="000000" w:fill="FFFFFF"/>
            <w:noWrap/>
            <w:vAlign w:val="center"/>
            <w:hideMark/>
          </w:tcPr>
          <w:p w14:paraId="6216A1E1" w14:textId="77777777" w:rsidR="003334A3" w:rsidRPr="00E46377" w:rsidRDefault="003334A3" w:rsidP="003334A3">
            <w:pPr>
              <w:rPr>
                <w:rFonts w:cs="Arial"/>
                <w:sz w:val="22"/>
                <w:szCs w:val="22"/>
                <w:lang w:eastAsia="en-GB"/>
              </w:rPr>
            </w:pPr>
            <w:r w:rsidRPr="00E46377">
              <w:rPr>
                <w:rFonts w:cs="Arial"/>
                <w:sz w:val="22"/>
                <w:szCs w:val="22"/>
                <w:lang w:eastAsia="en-GB"/>
              </w:rPr>
              <w:t> </w:t>
            </w:r>
          </w:p>
        </w:tc>
      </w:tr>
    </w:tbl>
    <w:p w14:paraId="5B51F210" w14:textId="77777777" w:rsidR="000062BC" w:rsidRDefault="000062BC" w:rsidP="00F00BC4">
      <w:pPr>
        <w:pStyle w:val="Subtitle"/>
        <w:numPr>
          <w:ilvl w:val="0"/>
          <w:numId w:val="0"/>
        </w:numPr>
        <w:tabs>
          <w:tab w:val="left" w:pos="-709"/>
          <w:tab w:val="left" w:pos="-284"/>
          <w:tab w:val="left" w:pos="-142"/>
          <w:tab w:val="left" w:pos="0"/>
          <w:tab w:val="left" w:pos="567"/>
        </w:tabs>
        <w:spacing w:line="240" w:lineRule="atLeast"/>
        <w:ind w:right="680"/>
        <w:rPr>
          <w:rFonts w:ascii="Arial" w:hAnsi="Arial" w:cs="Arial"/>
          <w:b/>
          <w:i w:val="0"/>
          <w:sz w:val="23"/>
          <w:szCs w:val="23"/>
          <w:u w:val="none"/>
        </w:rPr>
      </w:pPr>
    </w:p>
    <w:p w14:paraId="599CDB73" w14:textId="77777777" w:rsidR="000062BC" w:rsidRDefault="000062BC" w:rsidP="00F00BC4">
      <w:pPr>
        <w:pStyle w:val="Subtitle"/>
        <w:numPr>
          <w:ilvl w:val="0"/>
          <w:numId w:val="0"/>
        </w:numPr>
        <w:tabs>
          <w:tab w:val="left" w:pos="-709"/>
          <w:tab w:val="left" w:pos="-284"/>
          <w:tab w:val="left" w:pos="-142"/>
          <w:tab w:val="left" w:pos="0"/>
          <w:tab w:val="left" w:pos="567"/>
        </w:tabs>
        <w:spacing w:line="240" w:lineRule="atLeast"/>
        <w:ind w:right="680"/>
        <w:rPr>
          <w:rFonts w:ascii="Arial" w:hAnsi="Arial" w:cs="Arial"/>
          <w:b/>
          <w:i w:val="0"/>
          <w:sz w:val="23"/>
          <w:szCs w:val="23"/>
          <w:u w:val="none"/>
        </w:rPr>
      </w:pPr>
    </w:p>
    <w:p w14:paraId="07141B96" w14:textId="77777777" w:rsidR="000D7C2D" w:rsidRPr="000D7C2D" w:rsidRDefault="000D7C2D" w:rsidP="000D7C2D">
      <w:pPr>
        <w:rPr>
          <w:lang w:eastAsia="en-GB"/>
        </w:rPr>
      </w:pPr>
    </w:p>
    <w:p w14:paraId="7A7479AA" w14:textId="77777777" w:rsidR="000062BC" w:rsidRDefault="000062BC" w:rsidP="00F00BC4">
      <w:pPr>
        <w:pStyle w:val="Subtitle"/>
        <w:numPr>
          <w:ilvl w:val="0"/>
          <w:numId w:val="0"/>
        </w:numPr>
        <w:tabs>
          <w:tab w:val="left" w:pos="-709"/>
          <w:tab w:val="left" w:pos="-284"/>
          <w:tab w:val="left" w:pos="-142"/>
          <w:tab w:val="left" w:pos="0"/>
          <w:tab w:val="left" w:pos="567"/>
        </w:tabs>
        <w:spacing w:line="240" w:lineRule="atLeast"/>
        <w:ind w:right="680"/>
        <w:rPr>
          <w:rFonts w:ascii="Arial" w:hAnsi="Arial" w:cs="Arial"/>
          <w:b/>
          <w:i w:val="0"/>
          <w:sz w:val="23"/>
          <w:szCs w:val="23"/>
          <w:u w:val="none"/>
        </w:rPr>
      </w:pPr>
    </w:p>
    <w:p w14:paraId="485A46A3" w14:textId="719BA0CB" w:rsidR="00F00BC4" w:rsidRPr="00262CE6" w:rsidRDefault="00F00BC4" w:rsidP="00F00BC4">
      <w:pPr>
        <w:pStyle w:val="Subtitle"/>
        <w:numPr>
          <w:ilvl w:val="0"/>
          <w:numId w:val="0"/>
        </w:numPr>
        <w:tabs>
          <w:tab w:val="left" w:pos="-709"/>
          <w:tab w:val="left" w:pos="-284"/>
          <w:tab w:val="left" w:pos="-142"/>
          <w:tab w:val="left" w:pos="0"/>
          <w:tab w:val="left" w:pos="567"/>
        </w:tabs>
        <w:spacing w:line="240" w:lineRule="atLeast"/>
        <w:ind w:right="680"/>
        <w:rPr>
          <w:rFonts w:ascii="Arial" w:hAnsi="Arial" w:cs="Arial"/>
          <w:b/>
          <w:i w:val="0"/>
          <w:sz w:val="23"/>
          <w:szCs w:val="23"/>
          <w:u w:val="none"/>
        </w:rPr>
      </w:pPr>
      <w:r w:rsidRPr="00262CE6">
        <w:rPr>
          <w:rFonts w:ascii="Arial" w:hAnsi="Arial" w:cs="Arial"/>
          <w:b/>
          <w:i w:val="0"/>
          <w:sz w:val="23"/>
          <w:szCs w:val="23"/>
          <w:u w:val="none"/>
        </w:rPr>
        <w:t>14.</w:t>
      </w:r>
      <w:r w:rsidRPr="00262CE6">
        <w:rPr>
          <w:rFonts w:ascii="Arial" w:hAnsi="Arial" w:cs="Arial"/>
          <w:b/>
          <w:i w:val="0"/>
          <w:sz w:val="23"/>
          <w:szCs w:val="23"/>
          <w:u w:val="none"/>
        </w:rPr>
        <w:tab/>
      </w:r>
      <w:r w:rsidRPr="00262CE6">
        <w:rPr>
          <w:rFonts w:ascii="Arial" w:eastAsia="Times New Roman" w:hAnsi="Arial"/>
          <w:b/>
          <w:i w:val="0"/>
          <w:iCs w:val="0"/>
          <w:spacing w:val="0"/>
          <w:sz w:val="23"/>
          <w:szCs w:val="23"/>
          <w:u w:val="none"/>
          <w:lang w:eastAsia="en-US"/>
        </w:rPr>
        <w:t>Grant Income</w:t>
      </w:r>
    </w:p>
    <w:p w14:paraId="485A46A4" w14:textId="77777777" w:rsidR="00F00BC4" w:rsidRPr="00262CE6" w:rsidRDefault="00F00BC4" w:rsidP="00F00BC4">
      <w:pPr>
        <w:rPr>
          <w:lang w:eastAsia="en-GB"/>
        </w:rPr>
      </w:pPr>
    </w:p>
    <w:p w14:paraId="4702B5AF" w14:textId="0299CE10" w:rsidR="00DC1950" w:rsidRPr="00262CE6" w:rsidRDefault="00F00BC4" w:rsidP="00040C1A">
      <w:pPr>
        <w:ind w:left="567"/>
        <w:rPr>
          <w:lang w:eastAsia="en-GB"/>
        </w:rPr>
      </w:pPr>
      <w:r w:rsidRPr="00262CE6">
        <w:rPr>
          <w:lang w:eastAsia="en-GB"/>
        </w:rPr>
        <w:t xml:space="preserve">The Authority credited the following grants, contributions and donations to the Comprehensive Income and Expenditure Statement in </w:t>
      </w:r>
      <w:r w:rsidRPr="00262CE6">
        <w:t>202</w:t>
      </w:r>
      <w:r w:rsidR="00843769" w:rsidRPr="00262CE6">
        <w:t>1</w:t>
      </w:r>
      <w:r w:rsidRPr="00262CE6">
        <w:t>/2</w:t>
      </w:r>
      <w:r w:rsidR="00843769" w:rsidRPr="00262CE6">
        <w:t>2</w:t>
      </w:r>
      <w:r w:rsidRPr="00262CE6">
        <w:rPr>
          <w:lang w:eastAsia="en-GB"/>
        </w:rPr>
        <w:t>.</w:t>
      </w:r>
    </w:p>
    <w:p w14:paraId="6182E94B" w14:textId="77777777" w:rsidR="008B6E87" w:rsidRPr="004D5CA8" w:rsidRDefault="008B6E87" w:rsidP="00040C1A">
      <w:pPr>
        <w:ind w:left="567"/>
        <w:rPr>
          <w:highlight w:val="yellow"/>
          <w:lang w:eastAsia="en-GB"/>
        </w:rPr>
      </w:pPr>
    </w:p>
    <w:tbl>
      <w:tblPr>
        <w:tblW w:w="6091" w:type="dxa"/>
        <w:jc w:val="center"/>
        <w:tblLook w:val="04A0" w:firstRow="1" w:lastRow="0" w:firstColumn="1" w:lastColumn="0" w:noHBand="0" w:noVBand="1"/>
      </w:tblPr>
      <w:tblGrid>
        <w:gridCol w:w="3823"/>
        <w:gridCol w:w="1012"/>
        <w:gridCol w:w="1276"/>
      </w:tblGrid>
      <w:tr w:rsidR="00262CE6" w:rsidRPr="00262CE6" w14:paraId="3882A850" w14:textId="77777777" w:rsidTr="00262CE6">
        <w:trPr>
          <w:trHeight w:val="290"/>
          <w:jc w:val="center"/>
        </w:trPr>
        <w:tc>
          <w:tcPr>
            <w:tcW w:w="3823" w:type="dxa"/>
            <w:tcBorders>
              <w:top w:val="single" w:sz="4" w:space="0" w:color="auto"/>
              <w:left w:val="single" w:sz="4" w:space="0" w:color="auto"/>
              <w:bottom w:val="nil"/>
              <w:right w:val="nil"/>
            </w:tcBorders>
            <w:shd w:val="clear" w:color="000000" w:fill="000000"/>
            <w:noWrap/>
            <w:vAlign w:val="bottom"/>
            <w:hideMark/>
          </w:tcPr>
          <w:p w14:paraId="49B91208" w14:textId="77777777" w:rsidR="00262CE6" w:rsidRPr="00262CE6" w:rsidRDefault="00262CE6" w:rsidP="00262CE6">
            <w:pPr>
              <w:rPr>
                <w:rFonts w:cs="Arial"/>
                <w:color w:val="FFFFFF"/>
                <w:sz w:val="22"/>
                <w:szCs w:val="22"/>
                <w:lang w:eastAsia="en-GB"/>
              </w:rPr>
            </w:pPr>
            <w:r w:rsidRPr="00262CE6">
              <w:rPr>
                <w:rFonts w:cs="Arial"/>
                <w:color w:val="FFFFFF"/>
                <w:sz w:val="22"/>
                <w:szCs w:val="22"/>
                <w:lang w:eastAsia="en-GB"/>
              </w:rPr>
              <w:t> </w:t>
            </w:r>
          </w:p>
        </w:tc>
        <w:tc>
          <w:tcPr>
            <w:tcW w:w="992" w:type="dxa"/>
            <w:tcBorders>
              <w:top w:val="single" w:sz="4" w:space="0" w:color="auto"/>
              <w:left w:val="nil"/>
              <w:bottom w:val="nil"/>
              <w:right w:val="nil"/>
            </w:tcBorders>
            <w:shd w:val="clear" w:color="000000" w:fill="000000"/>
            <w:noWrap/>
            <w:vAlign w:val="bottom"/>
            <w:hideMark/>
          </w:tcPr>
          <w:p w14:paraId="5BF5A162" w14:textId="77777777" w:rsidR="00262CE6" w:rsidRPr="00262CE6" w:rsidRDefault="00262CE6" w:rsidP="00262CE6">
            <w:pPr>
              <w:jc w:val="center"/>
              <w:rPr>
                <w:rFonts w:cs="Arial"/>
                <w:b/>
                <w:bCs/>
                <w:color w:val="FFFFFF"/>
                <w:sz w:val="22"/>
                <w:szCs w:val="22"/>
                <w:lang w:eastAsia="en-GB"/>
              </w:rPr>
            </w:pPr>
            <w:r w:rsidRPr="00262CE6">
              <w:rPr>
                <w:rFonts w:cs="Arial"/>
                <w:b/>
                <w:bCs/>
                <w:color w:val="FFFFFF"/>
                <w:sz w:val="22"/>
                <w:szCs w:val="22"/>
                <w:lang w:eastAsia="en-GB"/>
              </w:rPr>
              <w:t>2021/22</w:t>
            </w:r>
          </w:p>
        </w:tc>
        <w:tc>
          <w:tcPr>
            <w:tcW w:w="1276" w:type="dxa"/>
            <w:tcBorders>
              <w:top w:val="single" w:sz="4" w:space="0" w:color="auto"/>
              <w:left w:val="nil"/>
              <w:bottom w:val="nil"/>
              <w:right w:val="single" w:sz="4" w:space="0" w:color="auto"/>
            </w:tcBorders>
            <w:shd w:val="clear" w:color="000000" w:fill="000000"/>
            <w:noWrap/>
            <w:vAlign w:val="bottom"/>
            <w:hideMark/>
          </w:tcPr>
          <w:p w14:paraId="793D1CB1" w14:textId="77777777" w:rsidR="00262CE6" w:rsidRPr="00262CE6" w:rsidRDefault="00262CE6" w:rsidP="00262CE6">
            <w:pPr>
              <w:jc w:val="center"/>
              <w:rPr>
                <w:rFonts w:cs="Arial"/>
                <w:b/>
                <w:bCs/>
                <w:color w:val="FFFFFF"/>
                <w:sz w:val="22"/>
                <w:szCs w:val="22"/>
                <w:lang w:eastAsia="en-GB"/>
              </w:rPr>
            </w:pPr>
            <w:r w:rsidRPr="00262CE6">
              <w:rPr>
                <w:rFonts w:cs="Arial"/>
                <w:b/>
                <w:bCs/>
                <w:color w:val="FFFFFF"/>
                <w:sz w:val="22"/>
                <w:szCs w:val="22"/>
                <w:lang w:eastAsia="en-GB"/>
              </w:rPr>
              <w:t>2022/23</w:t>
            </w:r>
          </w:p>
        </w:tc>
      </w:tr>
      <w:tr w:rsidR="00262CE6" w:rsidRPr="00262CE6" w14:paraId="7F53D708" w14:textId="77777777" w:rsidTr="00262CE6">
        <w:trPr>
          <w:trHeight w:val="290"/>
          <w:jc w:val="center"/>
        </w:trPr>
        <w:tc>
          <w:tcPr>
            <w:tcW w:w="3823" w:type="dxa"/>
            <w:tcBorders>
              <w:top w:val="nil"/>
              <w:left w:val="single" w:sz="4" w:space="0" w:color="auto"/>
              <w:bottom w:val="nil"/>
              <w:right w:val="nil"/>
            </w:tcBorders>
            <w:shd w:val="clear" w:color="000000" w:fill="000000"/>
            <w:noWrap/>
            <w:vAlign w:val="bottom"/>
            <w:hideMark/>
          </w:tcPr>
          <w:p w14:paraId="077FE234" w14:textId="77777777" w:rsidR="00262CE6" w:rsidRPr="00262CE6" w:rsidRDefault="00262CE6" w:rsidP="00262CE6">
            <w:pPr>
              <w:rPr>
                <w:rFonts w:cs="Arial"/>
                <w:color w:val="FFFFFF"/>
                <w:sz w:val="22"/>
                <w:szCs w:val="22"/>
                <w:lang w:eastAsia="en-GB"/>
              </w:rPr>
            </w:pPr>
            <w:r w:rsidRPr="00262CE6">
              <w:rPr>
                <w:rFonts w:cs="Arial"/>
                <w:color w:val="FFFFFF"/>
                <w:sz w:val="22"/>
                <w:szCs w:val="22"/>
                <w:lang w:eastAsia="en-GB"/>
              </w:rPr>
              <w:t> </w:t>
            </w:r>
          </w:p>
        </w:tc>
        <w:tc>
          <w:tcPr>
            <w:tcW w:w="992" w:type="dxa"/>
            <w:tcBorders>
              <w:top w:val="nil"/>
              <w:left w:val="nil"/>
              <w:bottom w:val="nil"/>
              <w:right w:val="nil"/>
            </w:tcBorders>
            <w:shd w:val="clear" w:color="000000" w:fill="000000"/>
            <w:noWrap/>
            <w:vAlign w:val="bottom"/>
            <w:hideMark/>
          </w:tcPr>
          <w:p w14:paraId="50158FE6" w14:textId="77777777" w:rsidR="00262CE6" w:rsidRPr="00262CE6" w:rsidRDefault="00262CE6" w:rsidP="00262CE6">
            <w:pPr>
              <w:jc w:val="center"/>
              <w:rPr>
                <w:rFonts w:cs="Arial"/>
                <w:b/>
                <w:bCs/>
                <w:color w:val="FFFFFF"/>
                <w:sz w:val="22"/>
                <w:szCs w:val="22"/>
                <w:lang w:eastAsia="en-GB"/>
              </w:rPr>
            </w:pPr>
            <w:r w:rsidRPr="00262CE6">
              <w:rPr>
                <w:rFonts w:cs="Arial"/>
                <w:b/>
                <w:bCs/>
                <w:color w:val="FFFFFF"/>
                <w:sz w:val="22"/>
                <w:szCs w:val="22"/>
                <w:lang w:eastAsia="en-GB"/>
              </w:rPr>
              <w:t>£000</w:t>
            </w:r>
          </w:p>
        </w:tc>
        <w:tc>
          <w:tcPr>
            <w:tcW w:w="1276" w:type="dxa"/>
            <w:tcBorders>
              <w:top w:val="nil"/>
              <w:left w:val="nil"/>
              <w:bottom w:val="nil"/>
              <w:right w:val="single" w:sz="4" w:space="0" w:color="auto"/>
            </w:tcBorders>
            <w:shd w:val="clear" w:color="000000" w:fill="000000"/>
            <w:noWrap/>
            <w:vAlign w:val="bottom"/>
            <w:hideMark/>
          </w:tcPr>
          <w:p w14:paraId="663E4E6F" w14:textId="77777777" w:rsidR="00262CE6" w:rsidRPr="00262CE6" w:rsidRDefault="00262CE6" w:rsidP="00262CE6">
            <w:pPr>
              <w:jc w:val="center"/>
              <w:rPr>
                <w:rFonts w:cs="Arial"/>
                <w:b/>
                <w:bCs/>
                <w:color w:val="FFFFFF"/>
                <w:sz w:val="22"/>
                <w:szCs w:val="22"/>
                <w:lang w:eastAsia="en-GB"/>
              </w:rPr>
            </w:pPr>
            <w:r w:rsidRPr="00262CE6">
              <w:rPr>
                <w:rFonts w:cs="Arial"/>
                <w:b/>
                <w:bCs/>
                <w:color w:val="FFFFFF"/>
                <w:sz w:val="22"/>
                <w:szCs w:val="22"/>
                <w:lang w:eastAsia="en-GB"/>
              </w:rPr>
              <w:t>£000</w:t>
            </w:r>
          </w:p>
        </w:tc>
      </w:tr>
      <w:tr w:rsidR="00262CE6" w:rsidRPr="00262CE6" w14:paraId="34AEE1DD" w14:textId="77777777" w:rsidTr="00262CE6">
        <w:trPr>
          <w:trHeight w:val="290"/>
          <w:jc w:val="center"/>
        </w:trPr>
        <w:tc>
          <w:tcPr>
            <w:tcW w:w="3823" w:type="dxa"/>
            <w:tcBorders>
              <w:top w:val="nil"/>
              <w:left w:val="single" w:sz="4" w:space="0" w:color="auto"/>
              <w:bottom w:val="nil"/>
              <w:right w:val="nil"/>
            </w:tcBorders>
            <w:shd w:val="clear" w:color="auto" w:fill="auto"/>
            <w:noWrap/>
            <w:vAlign w:val="bottom"/>
            <w:hideMark/>
          </w:tcPr>
          <w:p w14:paraId="4E6D3E86" w14:textId="77777777" w:rsidR="00262CE6" w:rsidRPr="00262CE6" w:rsidRDefault="00262CE6" w:rsidP="00262CE6">
            <w:pPr>
              <w:rPr>
                <w:rFonts w:cs="Arial"/>
                <w:sz w:val="22"/>
                <w:szCs w:val="22"/>
                <w:lang w:eastAsia="en-GB"/>
              </w:rPr>
            </w:pPr>
            <w:r w:rsidRPr="00262CE6">
              <w:rPr>
                <w:rFonts w:cs="Arial"/>
                <w:sz w:val="22"/>
                <w:szCs w:val="22"/>
                <w:lang w:eastAsia="en-GB"/>
              </w:rPr>
              <w:t> </w:t>
            </w:r>
          </w:p>
        </w:tc>
        <w:tc>
          <w:tcPr>
            <w:tcW w:w="992" w:type="dxa"/>
            <w:tcBorders>
              <w:top w:val="nil"/>
              <w:left w:val="nil"/>
              <w:bottom w:val="nil"/>
              <w:right w:val="nil"/>
            </w:tcBorders>
            <w:shd w:val="clear" w:color="auto" w:fill="auto"/>
            <w:noWrap/>
            <w:vAlign w:val="bottom"/>
            <w:hideMark/>
          </w:tcPr>
          <w:p w14:paraId="500474D1" w14:textId="77777777" w:rsidR="00262CE6" w:rsidRPr="00262CE6" w:rsidRDefault="00262CE6" w:rsidP="00262CE6">
            <w:pPr>
              <w:rPr>
                <w:rFonts w:cs="Arial"/>
                <w:sz w:val="22"/>
                <w:szCs w:val="22"/>
                <w:lang w:eastAsia="en-GB"/>
              </w:rPr>
            </w:pPr>
          </w:p>
        </w:tc>
        <w:tc>
          <w:tcPr>
            <w:tcW w:w="1276" w:type="dxa"/>
            <w:tcBorders>
              <w:top w:val="nil"/>
              <w:left w:val="nil"/>
              <w:bottom w:val="nil"/>
              <w:right w:val="single" w:sz="4" w:space="0" w:color="auto"/>
            </w:tcBorders>
            <w:shd w:val="clear" w:color="auto" w:fill="auto"/>
            <w:noWrap/>
            <w:vAlign w:val="bottom"/>
            <w:hideMark/>
          </w:tcPr>
          <w:p w14:paraId="56026378" w14:textId="77777777" w:rsidR="00262CE6" w:rsidRPr="00262CE6" w:rsidRDefault="00262CE6" w:rsidP="00262CE6">
            <w:pPr>
              <w:rPr>
                <w:rFonts w:ascii="Times New Roman" w:hAnsi="Times New Roman"/>
                <w:sz w:val="22"/>
                <w:szCs w:val="22"/>
                <w:lang w:eastAsia="en-GB"/>
              </w:rPr>
            </w:pPr>
          </w:p>
        </w:tc>
      </w:tr>
      <w:tr w:rsidR="00262CE6" w:rsidRPr="00262CE6" w14:paraId="0C5A79DB" w14:textId="77777777" w:rsidTr="00262CE6">
        <w:trPr>
          <w:trHeight w:val="300"/>
          <w:jc w:val="center"/>
        </w:trPr>
        <w:tc>
          <w:tcPr>
            <w:tcW w:w="3823" w:type="dxa"/>
            <w:tcBorders>
              <w:top w:val="nil"/>
              <w:left w:val="single" w:sz="4" w:space="0" w:color="auto"/>
              <w:bottom w:val="nil"/>
              <w:right w:val="nil"/>
            </w:tcBorders>
            <w:shd w:val="clear" w:color="auto" w:fill="auto"/>
            <w:noWrap/>
            <w:vAlign w:val="bottom"/>
            <w:hideMark/>
          </w:tcPr>
          <w:p w14:paraId="341BAB03" w14:textId="77777777" w:rsidR="00262CE6" w:rsidRPr="00262CE6" w:rsidRDefault="00262CE6" w:rsidP="00262CE6">
            <w:pPr>
              <w:rPr>
                <w:rFonts w:cs="Arial"/>
                <w:b/>
                <w:bCs/>
                <w:sz w:val="22"/>
                <w:szCs w:val="22"/>
                <w:lang w:eastAsia="en-GB"/>
              </w:rPr>
            </w:pPr>
            <w:r w:rsidRPr="00262CE6">
              <w:rPr>
                <w:rFonts w:cs="Arial"/>
                <w:b/>
                <w:bCs/>
                <w:sz w:val="22"/>
                <w:szCs w:val="22"/>
                <w:lang w:eastAsia="en-GB"/>
              </w:rPr>
              <w:t>Non Specific Grant Income</w:t>
            </w:r>
          </w:p>
        </w:tc>
        <w:tc>
          <w:tcPr>
            <w:tcW w:w="992" w:type="dxa"/>
            <w:tcBorders>
              <w:top w:val="nil"/>
              <w:left w:val="nil"/>
              <w:bottom w:val="nil"/>
              <w:right w:val="nil"/>
            </w:tcBorders>
            <w:shd w:val="clear" w:color="auto" w:fill="auto"/>
            <w:noWrap/>
            <w:vAlign w:val="bottom"/>
            <w:hideMark/>
          </w:tcPr>
          <w:p w14:paraId="247C4FC2" w14:textId="77777777" w:rsidR="00262CE6" w:rsidRPr="00262CE6" w:rsidRDefault="00262CE6" w:rsidP="00262CE6">
            <w:pPr>
              <w:rPr>
                <w:rFonts w:cs="Arial"/>
                <w:b/>
                <w:bCs/>
                <w:sz w:val="22"/>
                <w:szCs w:val="22"/>
                <w:lang w:eastAsia="en-GB"/>
              </w:rPr>
            </w:pPr>
          </w:p>
        </w:tc>
        <w:tc>
          <w:tcPr>
            <w:tcW w:w="1276" w:type="dxa"/>
            <w:tcBorders>
              <w:top w:val="nil"/>
              <w:left w:val="nil"/>
              <w:bottom w:val="nil"/>
              <w:right w:val="single" w:sz="4" w:space="0" w:color="auto"/>
            </w:tcBorders>
            <w:shd w:val="clear" w:color="auto" w:fill="auto"/>
            <w:noWrap/>
            <w:vAlign w:val="bottom"/>
            <w:hideMark/>
          </w:tcPr>
          <w:p w14:paraId="500C8BC2" w14:textId="77777777" w:rsidR="00262CE6" w:rsidRPr="00262CE6" w:rsidRDefault="00262CE6" w:rsidP="00262CE6">
            <w:pPr>
              <w:rPr>
                <w:rFonts w:ascii="Times New Roman" w:hAnsi="Times New Roman"/>
                <w:sz w:val="22"/>
                <w:szCs w:val="22"/>
                <w:lang w:eastAsia="en-GB"/>
              </w:rPr>
            </w:pPr>
          </w:p>
        </w:tc>
      </w:tr>
      <w:tr w:rsidR="00262CE6" w:rsidRPr="00262CE6" w14:paraId="47D6B86A" w14:textId="77777777" w:rsidTr="00262CE6">
        <w:trPr>
          <w:trHeight w:val="300"/>
          <w:jc w:val="center"/>
        </w:trPr>
        <w:tc>
          <w:tcPr>
            <w:tcW w:w="3823" w:type="dxa"/>
            <w:tcBorders>
              <w:top w:val="nil"/>
              <w:left w:val="single" w:sz="4" w:space="0" w:color="auto"/>
              <w:bottom w:val="nil"/>
              <w:right w:val="nil"/>
            </w:tcBorders>
            <w:shd w:val="clear" w:color="auto" w:fill="auto"/>
            <w:noWrap/>
            <w:vAlign w:val="bottom"/>
            <w:hideMark/>
          </w:tcPr>
          <w:p w14:paraId="06017B03" w14:textId="77777777" w:rsidR="00262CE6" w:rsidRPr="00262CE6" w:rsidRDefault="00262CE6" w:rsidP="00262CE6">
            <w:pPr>
              <w:rPr>
                <w:rFonts w:cs="Arial"/>
                <w:sz w:val="22"/>
                <w:szCs w:val="22"/>
                <w:lang w:eastAsia="en-GB"/>
              </w:rPr>
            </w:pPr>
            <w:r w:rsidRPr="00262CE6">
              <w:rPr>
                <w:rFonts w:cs="Arial"/>
                <w:sz w:val="22"/>
                <w:szCs w:val="22"/>
                <w:lang w:eastAsia="en-GB"/>
              </w:rPr>
              <w:t xml:space="preserve">    National Park Grant</w:t>
            </w:r>
          </w:p>
        </w:tc>
        <w:tc>
          <w:tcPr>
            <w:tcW w:w="992" w:type="dxa"/>
            <w:tcBorders>
              <w:top w:val="nil"/>
              <w:left w:val="nil"/>
              <w:bottom w:val="nil"/>
              <w:right w:val="nil"/>
            </w:tcBorders>
            <w:shd w:val="clear" w:color="auto" w:fill="auto"/>
            <w:noWrap/>
            <w:vAlign w:val="bottom"/>
            <w:hideMark/>
          </w:tcPr>
          <w:p w14:paraId="01D8DB44" w14:textId="77777777" w:rsidR="00262CE6" w:rsidRPr="00262CE6" w:rsidRDefault="00262CE6" w:rsidP="00262CE6">
            <w:pPr>
              <w:jc w:val="right"/>
              <w:rPr>
                <w:rFonts w:cs="Arial"/>
                <w:sz w:val="22"/>
                <w:szCs w:val="22"/>
                <w:lang w:eastAsia="en-GB"/>
              </w:rPr>
            </w:pPr>
            <w:r w:rsidRPr="00262CE6">
              <w:rPr>
                <w:rFonts w:cs="Arial"/>
                <w:sz w:val="22"/>
                <w:szCs w:val="22"/>
                <w:lang w:eastAsia="en-GB"/>
              </w:rPr>
              <w:t>5,590</w:t>
            </w:r>
          </w:p>
        </w:tc>
        <w:tc>
          <w:tcPr>
            <w:tcW w:w="1276" w:type="dxa"/>
            <w:tcBorders>
              <w:top w:val="nil"/>
              <w:left w:val="nil"/>
              <w:bottom w:val="nil"/>
              <w:right w:val="single" w:sz="4" w:space="0" w:color="auto"/>
            </w:tcBorders>
            <w:shd w:val="clear" w:color="auto" w:fill="auto"/>
            <w:noWrap/>
            <w:vAlign w:val="bottom"/>
            <w:hideMark/>
          </w:tcPr>
          <w:p w14:paraId="77606384" w14:textId="77777777" w:rsidR="00262CE6" w:rsidRPr="00262CE6" w:rsidRDefault="00262CE6" w:rsidP="00262CE6">
            <w:pPr>
              <w:jc w:val="right"/>
              <w:rPr>
                <w:rFonts w:cs="Arial"/>
                <w:sz w:val="22"/>
                <w:szCs w:val="22"/>
                <w:lang w:eastAsia="en-GB"/>
              </w:rPr>
            </w:pPr>
            <w:r w:rsidRPr="00262CE6">
              <w:rPr>
                <w:rFonts w:cs="Arial"/>
                <w:sz w:val="22"/>
                <w:szCs w:val="22"/>
                <w:lang w:eastAsia="en-GB"/>
              </w:rPr>
              <w:t>6,030</w:t>
            </w:r>
          </w:p>
        </w:tc>
      </w:tr>
      <w:tr w:rsidR="00262CE6" w:rsidRPr="00262CE6" w14:paraId="0687ED79" w14:textId="77777777" w:rsidTr="00262CE6">
        <w:trPr>
          <w:trHeight w:val="300"/>
          <w:jc w:val="center"/>
        </w:trPr>
        <w:tc>
          <w:tcPr>
            <w:tcW w:w="3823" w:type="dxa"/>
            <w:tcBorders>
              <w:top w:val="nil"/>
              <w:left w:val="single" w:sz="4" w:space="0" w:color="auto"/>
              <w:bottom w:val="nil"/>
              <w:right w:val="nil"/>
            </w:tcBorders>
            <w:shd w:val="clear" w:color="auto" w:fill="auto"/>
            <w:noWrap/>
            <w:vAlign w:val="bottom"/>
            <w:hideMark/>
          </w:tcPr>
          <w:p w14:paraId="2EE9A63B" w14:textId="77777777" w:rsidR="00262CE6" w:rsidRDefault="00262CE6" w:rsidP="00262CE6">
            <w:pPr>
              <w:rPr>
                <w:rFonts w:cs="Arial"/>
                <w:sz w:val="22"/>
                <w:szCs w:val="22"/>
                <w:lang w:eastAsia="en-GB"/>
              </w:rPr>
            </w:pPr>
            <w:r w:rsidRPr="00262CE6">
              <w:rPr>
                <w:rFonts w:cs="Arial"/>
                <w:sz w:val="22"/>
                <w:szCs w:val="22"/>
                <w:lang w:eastAsia="en-GB"/>
              </w:rPr>
              <w:t xml:space="preserve">    </w:t>
            </w:r>
          </w:p>
          <w:p w14:paraId="136D95D9" w14:textId="379003C3" w:rsidR="00262CE6" w:rsidRPr="00262CE6" w:rsidRDefault="00262CE6" w:rsidP="00262CE6">
            <w:pPr>
              <w:rPr>
                <w:rFonts w:cs="Arial"/>
                <w:sz w:val="22"/>
                <w:szCs w:val="22"/>
                <w:lang w:eastAsia="en-GB"/>
              </w:rPr>
            </w:pPr>
            <w:r>
              <w:rPr>
                <w:rFonts w:cs="Arial"/>
                <w:sz w:val="22"/>
                <w:szCs w:val="22"/>
                <w:lang w:eastAsia="en-GB"/>
              </w:rPr>
              <w:t xml:space="preserve">    </w:t>
            </w:r>
            <w:r w:rsidRPr="00262CE6">
              <w:rPr>
                <w:rFonts w:cs="Arial"/>
                <w:sz w:val="22"/>
                <w:szCs w:val="22"/>
                <w:lang w:eastAsia="en-GB"/>
              </w:rPr>
              <w:t>Capital Grants &amp; Contributions</w:t>
            </w:r>
            <w:r>
              <w:rPr>
                <w:rFonts w:cs="Arial"/>
                <w:sz w:val="22"/>
                <w:szCs w:val="22"/>
                <w:lang w:eastAsia="en-GB"/>
              </w:rPr>
              <w:t>:</w:t>
            </w:r>
          </w:p>
        </w:tc>
        <w:tc>
          <w:tcPr>
            <w:tcW w:w="992" w:type="dxa"/>
            <w:tcBorders>
              <w:top w:val="nil"/>
              <w:left w:val="nil"/>
              <w:bottom w:val="nil"/>
              <w:right w:val="nil"/>
            </w:tcBorders>
            <w:shd w:val="clear" w:color="auto" w:fill="auto"/>
            <w:noWrap/>
            <w:vAlign w:val="bottom"/>
            <w:hideMark/>
          </w:tcPr>
          <w:p w14:paraId="6E1A696A" w14:textId="77777777" w:rsidR="00262CE6" w:rsidRPr="00262CE6" w:rsidRDefault="00262CE6" w:rsidP="00262CE6">
            <w:pPr>
              <w:rPr>
                <w:rFonts w:cs="Arial"/>
                <w:sz w:val="22"/>
                <w:szCs w:val="22"/>
                <w:lang w:eastAsia="en-GB"/>
              </w:rPr>
            </w:pPr>
          </w:p>
        </w:tc>
        <w:tc>
          <w:tcPr>
            <w:tcW w:w="1276" w:type="dxa"/>
            <w:tcBorders>
              <w:top w:val="nil"/>
              <w:left w:val="nil"/>
              <w:bottom w:val="nil"/>
              <w:right w:val="single" w:sz="4" w:space="0" w:color="auto"/>
            </w:tcBorders>
            <w:shd w:val="clear" w:color="auto" w:fill="auto"/>
            <w:noWrap/>
            <w:vAlign w:val="bottom"/>
            <w:hideMark/>
          </w:tcPr>
          <w:p w14:paraId="064B0192" w14:textId="77777777" w:rsidR="00262CE6" w:rsidRPr="00262CE6" w:rsidRDefault="00262CE6" w:rsidP="00262CE6">
            <w:pPr>
              <w:rPr>
                <w:rFonts w:ascii="Times New Roman" w:hAnsi="Times New Roman"/>
                <w:sz w:val="22"/>
                <w:szCs w:val="22"/>
                <w:lang w:eastAsia="en-GB"/>
              </w:rPr>
            </w:pPr>
          </w:p>
        </w:tc>
      </w:tr>
      <w:tr w:rsidR="00262CE6" w:rsidRPr="00262CE6" w14:paraId="140F298A" w14:textId="77777777" w:rsidTr="00262CE6">
        <w:trPr>
          <w:trHeight w:val="290"/>
          <w:jc w:val="center"/>
        </w:trPr>
        <w:tc>
          <w:tcPr>
            <w:tcW w:w="3823" w:type="dxa"/>
            <w:tcBorders>
              <w:top w:val="nil"/>
              <w:left w:val="single" w:sz="4" w:space="0" w:color="auto"/>
              <w:bottom w:val="nil"/>
              <w:right w:val="nil"/>
            </w:tcBorders>
            <w:shd w:val="clear" w:color="auto" w:fill="auto"/>
            <w:noWrap/>
            <w:vAlign w:val="bottom"/>
            <w:hideMark/>
          </w:tcPr>
          <w:p w14:paraId="27ADED9C" w14:textId="77777777" w:rsidR="00262CE6" w:rsidRPr="00262CE6" w:rsidRDefault="00262CE6" w:rsidP="00262CE6">
            <w:pPr>
              <w:rPr>
                <w:rFonts w:ascii="Calibri" w:hAnsi="Calibri" w:cs="Calibri"/>
                <w:color w:val="000000"/>
                <w:sz w:val="22"/>
                <w:szCs w:val="22"/>
                <w:lang w:eastAsia="en-GB"/>
              </w:rPr>
            </w:pPr>
            <w:r w:rsidRPr="00262CE6">
              <w:rPr>
                <w:rFonts w:ascii="Calibri" w:hAnsi="Calibri" w:cs="Calibri"/>
                <w:color w:val="000000"/>
                <w:sz w:val="22"/>
                <w:szCs w:val="22"/>
                <w:lang w:eastAsia="en-GB"/>
              </w:rPr>
              <w:t> </w:t>
            </w:r>
          </w:p>
        </w:tc>
        <w:tc>
          <w:tcPr>
            <w:tcW w:w="992" w:type="dxa"/>
            <w:tcBorders>
              <w:top w:val="nil"/>
              <w:left w:val="nil"/>
              <w:bottom w:val="nil"/>
              <w:right w:val="nil"/>
            </w:tcBorders>
            <w:shd w:val="clear" w:color="auto" w:fill="auto"/>
            <w:noWrap/>
            <w:vAlign w:val="bottom"/>
            <w:hideMark/>
          </w:tcPr>
          <w:p w14:paraId="56814B6B" w14:textId="77777777" w:rsidR="00262CE6" w:rsidRPr="00262CE6" w:rsidRDefault="00262CE6" w:rsidP="00262CE6">
            <w:pPr>
              <w:rPr>
                <w:rFonts w:ascii="Calibri" w:hAnsi="Calibri" w:cs="Calibri"/>
                <w:color w:val="000000"/>
                <w:sz w:val="22"/>
                <w:szCs w:val="22"/>
                <w:lang w:eastAsia="en-GB"/>
              </w:rPr>
            </w:pPr>
          </w:p>
        </w:tc>
        <w:tc>
          <w:tcPr>
            <w:tcW w:w="1276" w:type="dxa"/>
            <w:tcBorders>
              <w:top w:val="nil"/>
              <w:left w:val="nil"/>
              <w:bottom w:val="nil"/>
              <w:right w:val="single" w:sz="4" w:space="0" w:color="auto"/>
            </w:tcBorders>
            <w:shd w:val="clear" w:color="auto" w:fill="auto"/>
            <w:noWrap/>
            <w:vAlign w:val="bottom"/>
            <w:hideMark/>
          </w:tcPr>
          <w:p w14:paraId="3937283B" w14:textId="77777777" w:rsidR="00262CE6" w:rsidRPr="00262CE6" w:rsidRDefault="00262CE6" w:rsidP="00262CE6">
            <w:pPr>
              <w:rPr>
                <w:rFonts w:ascii="Times New Roman" w:hAnsi="Times New Roman"/>
                <w:sz w:val="22"/>
                <w:szCs w:val="22"/>
                <w:lang w:eastAsia="en-GB"/>
              </w:rPr>
            </w:pPr>
          </w:p>
        </w:tc>
      </w:tr>
      <w:tr w:rsidR="00262CE6" w:rsidRPr="00262CE6" w14:paraId="0C9C8F83" w14:textId="77777777" w:rsidTr="00262CE6">
        <w:trPr>
          <w:trHeight w:val="300"/>
          <w:jc w:val="center"/>
        </w:trPr>
        <w:tc>
          <w:tcPr>
            <w:tcW w:w="3823" w:type="dxa"/>
            <w:tcBorders>
              <w:top w:val="nil"/>
              <w:left w:val="single" w:sz="4" w:space="0" w:color="auto"/>
              <w:bottom w:val="nil"/>
              <w:right w:val="nil"/>
            </w:tcBorders>
            <w:shd w:val="clear" w:color="auto" w:fill="auto"/>
            <w:noWrap/>
            <w:vAlign w:val="bottom"/>
            <w:hideMark/>
          </w:tcPr>
          <w:p w14:paraId="24B95F43" w14:textId="77777777" w:rsidR="00262CE6" w:rsidRPr="00262CE6" w:rsidRDefault="00262CE6" w:rsidP="00262CE6">
            <w:pPr>
              <w:rPr>
                <w:rFonts w:cs="Arial"/>
                <w:sz w:val="22"/>
                <w:szCs w:val="22"/>
                <w:lang w:eastAsia="en-GB"/>
              </w:rPr>
            </w:pPr>
            <w:r w:rsidRPr="00262CE6">
              <w:rPr>
                <w:rFonts w:cs="Arial"/>
                <w:sz w:val="22"/>
                <w:szCs w:val="22"/>
                <w:lang w:eastAsia="en-GB"/>
              </w:rPr>
              <w:t xml:space="preserve">         ESIF</w:t>
            </w:r>
          </w:p>
        </w:tc>
        <w:tc>
          <w:tcPr>
            <w:tcW w:w="992" w:type="dxa"/>
            <w:tcBorders>
              <w:top w:val="nil"/>
              <w:left w:val="nil"/>
              <w:bottom w:val="nil"/>
              <w:right w:val="nil"/>
            </w:tcBorders>
            <w:shd w:val="clear" w:color="auto" w:fill="auto"/>
            <w:noWrap/>
            <w:vAlign w:val="bottom"/>
            <w:hideMark/>
          </w:tcPr>
          <w:p w14:paraId="768855CB" w14:textId="77777777" w:rsidR="00262CE6" w:rsidRPr="00262CE6" w:rsidRDefault="00262CE6" w:rsidP="00262CE6">
            <w:pPr>
              <w:jc w:val="right"/>
              <w:rPr>
                <w:rFonts w:cs="Arial"/>
                <w:sz w:val="22"/>
                <w:szCs w:val="22"/>
                <w:lang w:eastAsia="en-GB"/>
              </w:rPr>
            </w:pPr>
            <w:r w:rsidRPr="00262CE6">
              <w:rPr>
                <w:rFonts w:cs="Arial"/>
                <w:sz w:val="22"/>
                <w:szCs w:val="22"/>
                <w:lang w:eastAsia="en-GB"/>
              </w:rPr>
              <w:t>70</w:t>
            </w:r>
          </w:p>
        </w:tc>
        <w:tc>
          <w:tcPr>
            <w:tcW w:w="1276" w:type="dxa"/>
            <w:tcBorders>
              <w:top w:val="nil"/>
              <w:left w:val="nil"/>
              <w:bottom w:val="nil"/>
              <w:right w:val="single" w:sz="4" w:space="0" w:color="auto"/>
            </w:tcBorders>
            <w:shd w:val="clear" w:color="auto" w:fill="auto"/>
            <w:noWrap/>
            <w:vAlign w:val="bottom"/>
            <w:hideMark/>
          </w:tcPr>
          <w:p w14:paraId="67503F62" w14:textId="77777777" w:rsidR="00262CE6" w:rsidRPr="00262CE6" w:rsidRDefault="00262CE6" w:rsidP="00262CE6">
            <w:pPr>
              <w:jc w:val="right"/>
              <w:rPr>
                <w:rFonts w:cs="Arial"/>
                <w:sz w:val="22"/>
                <w:szCs w:val="22"/>
                <w:lang w:eastAsia="en-GB"/>
              </w:rPr>
            </w:pPr>
            <w:r w:rsidRPr="00262CE6">
              <w:rPr>
                <w:rFonts w:cs="Arial"/>
                <w:sz w:val="22"/>
                <w:szCs w:val="22"/>
                <w:lang w:eastAsia="en-GB"/>
              </w:rPr>
              <w:t>774</w:t>
            </w:r>
          </w:p>
        </w:tc>
      </w:tr>
      <w:tr w:rsidR="00262CE6" w:rsidRPr="00262CE6" w14:paraId="5856E696" w14:textId="77777777" w:rsidTr="00262CE6">
        <w:trPr>
          <w:trHeight w:val="300"/>
          <w:jc w:val="center"/>
        </w:trPr>
        <w:tc>
          <w:tcPr>
            <w:tcW w:w="3823" w:type="dxa"/>
            <w:tcBorders>
              <w:top w:val="nil"/>
              <w:left w:val="single" w:sz="4" w:space="0" w:color="auto"/>
              <w:bottom w:val="nil"/>
              <w:right w:val="nil"/>
            </w:tcBorders>
            <w:shd w:val="clear" w:color="auto" w:fill="auto"/>
            <w:noWrap/>
            <w:vAlign w:val="bottom"/>
            <w:hideMark/>
          </w:tcPr>
          <w:p w14:paraId="6D3A4032" w14:textId="77777777" w:rsidR="00262CE6" w:rsidRPr="00262CE6" w:rsidRDefault="00262CE6" w:rsidP="00262CE6">
            <w:pPr>
              <w:rPr>
                <w:rFonts w:cs="Arial"/>
                <w:sz w:val="22"/>
                <w:szCs w:val="22"/>
                <w:lang w:eastAsia="en-GB"/>
              </w:rPr>
            </w:pPr>
            <w:r w:rsidRPr="00262CE6">
              <w:rPr>
                <w:rFonts w:cs="Arial"/>
                <w:sz w:val="22"/>
                <w:szCs w:val="22"/>
                <w:lang w:eastAsia="en-GB"/>
              </w:rPr>
              <w:t xml:space="preserve">         DEFRA</w:t>
            </w:r>
          </w:p>
        </w:tc>
        <w:tc>
          <w:tcPr>
            <w:tcW w:w="992" w:type="dxa"/>
            <w:tcBorders>
              <w:top w:val="nil"/>
              <w:left w:val="nil"/>
              <w:bottom w:val="nil"/>
              <w:right w:val="nil"/>
            </w:tcBorders>
            <w:shd w:val="clear" w:color="auto" w:fill="auto"/>
            <w:noWrap/>
            <w:vAlign w:val="bottom"/>
            <w:hideMark/>
          </w:tcPr>
          <w:p w14:paraId="6EBDB36D" w14:textId="77777777" w:rsidR="00262CE6" w:rsidRPr="00262CE6" w:rsidRDefault="00262CE6" w:rsidP="00262CE6">
            <w:pPr>
              <w:jc w:val="right"/>
              <w:rPr>
                <w:rFonts w:cs="Arial"/>
                <w:sz w:val="22"/>
                <w:szCs w:val="22"/>
                <w:lang w:eastAsia="en-GB"/>
              </w:rPr>
            </w:pPr>
            <w:r w:rsidRPr="00262CE6">
              <w:rPr>
                <w:rFonts w:cs="Arial"/>
                <w:sz w:val="22"/>
                <w:szCs w:val="22"/>
                <w:lang w:eastAsia="en-GB"/>
              </w:rPr>
              <w:t>0</w:t>
            </w:r>
          </w:p>
        </w:tc>
        <w:tc>
          <w:tcPr>
            <w:tcW w:w="1276" w:type="dxa"/>
            <w:tcBorders>
              <w:top w:val="nil"/>
              <w:left w:val="nil"/>
              <w:bottom w:val="nil"/>
              <w:right w:val="single" w:sz="4" w:space="0" w:color="auto"/>
            </w:tcBorders>
            <w:shd w:val="clear" w:color="auto" w:fill="auto"/>
            <w:noWrap/>
            <w:vAlign w:val="bottom"/>
            <w:hideMark/>
          </w:tcPr>
          <w:p w14:paraId="7E9940C6" w14:textId="77777777" w:rsidR="00262CE6" w:rsidRPr="00262CE6" w:rsidRDefault="00262CE6" w:rsidP="00262CE6">
            <w:pPr>
              <w:jc w:val="right"/>
              <w:rPr>
                <w:rFonts w:cs="Arial"/>
                <w:sz w:val="22"/>
                <w:szCs w:val="22"/>
                <w:lang w:eastAsia="en-GB"/>
              </w:rPr>
            </w:pPr>
            <w:r w:rsidRPr="00262CE6">
              <w:rPr>
                <w:rFonts w:cs="Arial"/>
                <w:sz w:val="22"/>
                <w:szCs w:val="22"/>
                <w:lang w:eastAsia="en-GB"/>
              </w:rPr>
              <w:t>86</w:t>
            </w:r>
          </w:p>
        </w:tc>
      </w:tr>
      <w:tr w:rsidR="00262CE6" w:rsidRPr="00262CE6" w14:paraId="165AD35B" w14:textId="77777777" w:rsidTr="00262CE6">
        <w:trPr>
          <w:trHeight w:val="300"/>
          <w:jc w:val="center"/>
        </w:trPr>
        <w:tc>
          <w:tcPr>
            <w:tcW w:w="3823" w:type="dxa"/>
            <w:tcBorders>
              <w:top w:val="nil"/>
              <w:left w:val="single" w:sz="4" w:space="0" w:color="auto"/>
              <w:bottom w:val="nil"/>
              <w:right w:val="nil"/>
            </w:tcBorders>
            <w:shd w:val="clear" w:color="auto" w:fill="auto"/>
            <w:noWrap/>
            <w:vAlign w:val="bottom"/>
            <w:hideMark/>
          </w:tcPr>
          <w:p w14:paraId="18D8EFAC" w14:textId="77777777" w:rsidR="00262CE6" w:rsidRPr="00262CE6" w:rsidRDefault="00262CE6" w:rsidP="00262CE6">
            <w:pPr>
              <w:rPr>
                <w:rFonts w:cs="Arial"/>
                <w:sz w:val="22"/>
                <w:szCs w:val="22"/>
                <w:lang w:eastAsia="en-GB"/>
              </w:rPr>
            </w:pPr>
            <w:r w:rsidRPr="00262CE6">
              <w:rPr>
                <w:rFonts w:cs="Arial"/>
                <w:sz w:val="22"/>
                <w:szCs w:val="22"/>
                <w:lang w:eastAsia="en-GB"/>
              </w:rPr>
              <w:t xml:space="preserve">         Local Enterprise Partnership</w:t>
            </w:r>
          </w:p>
        </w:tc>
        <w:tc>
          <w:tcPr>
            <w:tcW w:w="992" w:type="dxa"/>
            <w:tcBorders>
              <w:top w:val="nil"/>
              <w:left w:val="nil"/>
              <w:bottom w:val="nil"/>
              <w:right w:val="nil"/>
            </w:tcBorders>
            <w:shd w:val="clear" w:color="auto" w:fill="auto"/>
            <w:noWrap/>
            <w:vAlign w:val="bottom"/>
            <w:hideMark/>
          </w:tcPr>
          <w:p w14:paraId="556F5188" w14:textId="77777777" w:rsidR="00262CE6" w:rsidRPr="00262CE6" w:rsidRDefault="00262CE6" w:rsidP="00262CE6">
            <w:pPr>
              <w:jc w:val="right"/>
              <w:rPr>
                <w:rFonts w:cs="Arial"/>
                <w:sz w:val="22"/>
                <w:szCs w:val="22"/>
                <w:lang w:eastAsia="en-GB"/>
              </w:rPr>
            </w:pPr>
            <w:r w:rsidRPr="00262CE6">
              <w:rPr>
                <w:rFonts w:cs="Arial"/>
                <w:sz w:val="22"/>
                <w:szCs w:val="22"/>
                <w:lang w:eastAsia="en-GB"/>
              </w:rPr>
              <w:t>0</w:t>
            </w:r>
          </w:p>
        </w:tc>
        <w:tc>
          <w:tcPr>
            <w:tcW w:w="1276" w:type="dxa"/>
            <w:tcBorders>
              <w:top w:val="nil"/>
              <w:left w:val="nil"/>
              <w:bottom w:val="nil"/>
              <w:right w:val="single" w:sz="4" w:space="0" w:color="auto"/>
            </w:tcBorders>
            <w:shd w:val="clear" w:color="auto" w:fill="auto"/>
            <w:noWrap/>
            <w:vAlign w:val="bottom"/>
            <w:hideMark/>
          </w:tcPr>
          <w:p w14:paraId="2A97A327" w14:textId="77777777" w:rsidR="00262CE6" w:rsidRPr="00262CE6" w:rsidRDefault="00262CE6" w:rsidP="00262CE6">
            <w:pPr>
              <w:jc w:val="right"/>
              <w:rPr>
                <w:rFonts w:cs="Arial"/>
                <w:sz w:val="22"/>
                <w:szCs w:val="22"/>
                <w:lang w:eastAsia="en-GB"/>
              </w:rPr>
            </w:pPr>
            <w:r w:rsidRPr="00262CE6">
              <w:rPr>
                <w:rFonts w:cs="Arial"/>
                <w:sz w:val="22"/>
                <w:szCs w:val="22"/>
                <w:lang w:eastAsia="en-GB"/>
              </w:rPr>
              <w:t>445</w:t>
            </w:r>
          </w:p>
        </w:tc>
      </w:tr>
      <w:tr w:rsidR="00262CE6" w:rsidRPr="00262CE6" w14:paraId="49F935B1" w14:textId="77777777" w:rsidTr="00262CE6">
        <w:trPr>
          <w:trHeight w:val="300"/>
          <w:jc w:val="center"/>
        </w:trPr>
        <w:tc>
          <w:tcPr>
            <w:tcW w:w="3823" w:type="dxa"/>
            <w:tcBorders>
              <w:top w:val="nil"/>
              <w:left w:val="single" w:sz="4" w:space="0" w:color="auto"/>
              <w:bottom w:val="nil"/>
              <w:right w:val="nil"/>
            </w:tcBorders>
            <w:shd w:val="clear" w:color="auto" w:fill="auto"/>
            <w:noWrap/>
            <w:vAlign w:val="bottom"/>
            <w:hideMark/>
          </w:tcPr>
          <w:p w14:paraId="356B08C6" w14:textId="77777777" w:rsidR="00262CE6" w:rsidRPr="00262CE6" w:rsidRDefault="00262CE6" w:rsidP="00262CE6">
            <w:pPr>
              <w:rPr>
                <w:rFonts w:cs="Arial"/>
                <w:sz w:val="22"/>
                <w:szCs w:val="22"/>
                <w:lang w:eastAsia="en-GB"/>
              </w:rPr>
            </w:pPr>
            <w:r w:rsidRPr="00262CE6">
              <w:rPr>
                <w:rFonts w:cs="Arial"/>
                <w:sz w:val="22"/>
                <w:szCs w:val="22"/>
                <w:lang w:eastAsia="en-GB"/>
              </w:rPr>
              <w:t xml:space="preserve">         Lake District Foundation</w:t>
            </w:r>
          </w:p>
        </w:tc>
        <w:tc>
          <w:tcPr>
            <w:tcW w:w="992" w:type="dxa"/>
            <w:tcBorders>
              <w:top w:val="nil"/>
              <w:left w:val="nil"/>
              <w:bottom w:val="nil"/>
              <w:right w:val="nil"/>
            </w:tcBorders>
            <w:shd w:val="clear" w:color="auto" w:fill="auto"/>
            <w:noWrap/>
            <w:vAlign w:val="bottom"/>
            <w:hideMark/>
          </w:tcPr>
          <w:p w14:paraId="663C6F0A" w14:textId="77777777" w:rsidR="00262CE6" w:rsidRPr="00262CE6" w:rsidRDefault="00262CE6" w:rsidP="00262CE6">
            <w:pPr>
              <w:jc w:val="right"/>
              <w:rPr>
                <w:rFonts w:cs="Arial"/>
                <w:sz w:val="22"/>
                <w:szCs w:val="22"/>
                <w:lang w:eastAsia="en-GB"/>
              </w:rPr>
            </w:pPr>
            <w:r w:rsidRPr="00262CE6">
              <w:rPr>
                <w:rFonts w:cs="Arial"/>
                <w:sz w:val="22"/>
                <w:szCs w:val="22"/>
                <w:lang w:eastAsia="en-GB"/>
              </w:rPr>
              <w:t>0</w:t>
            </w:r>
          </w:p>
        </w:tc>
        <w:tc>
          <w:tcPr>
            <w:tcW w:w="1276" w:type="dxa"/>
            <w:tcBorders>
              <w:top w:val="nil"/>
              <w:left w:val="nil"/>
              <w:bottom w:val="nil"/>
              <w:right w:val="single" w:sz="4" w:space="0" w:color="auto"/>
            </w:tcBorders>
            <w:shd w:val="clear" w:color="auto" w:fill="auto"/>
            <w:noWrap/>
            <w:vAlign w:val="bottom"/>
            <w:hideMark/>
          </w:tcPr>
          <w:p w14:paraId="377CCE0A" w14:textId="77777777" w:rsidR="00262CE6" w:rsidRPr="00262CE6" w:rsidRDefault="00262CE6" w:rsidP="00262CE6">
            <w:pPr>
              <w:jc w:val="right"/>
              <w:rPr>
                <w:rFonts w:cs="Arial"/>
                <w:sz w:val="22"/>
                <w:szCs w:val="22"/>
                <w:lang w:eastAsia="en-GB"/>
              </w:rPr>
            </w:pPr>
            <w:r w:rsidRPr="00262CE6">
              <w:rPr>
                <w:rFonts w:cs="Arial"/>
                <w:sz w:val="22"/>
                <w:szCs w:val="22"/>
                <w:lang w:eastAsia="en-GB"/>
              </w:rPr>
              <w:t>17</w:t>
            </w:r>
          </w:p>
        </w:tc>
      </w:tr>
      <w:tr w:rsidR="00262CE6" w:rsidRPr="00262CE6" w14:paraId="70A3932F" w14:textId="77777777" w:rsidTr="00262CE6">
        <w:trPr>
          <w:trHeight w:val="300"/>
          <w:jc w:val="center"/>
        </w:trPr>
        <w:tc>
          <w:tcPr>
            <w:tcW w:w="3823" w:type="dxa"/>
            <w:tcBorders>
              <w:top w:val="nil"/>
              <w:left w:val="single" w:sz="4" w:space="0" w:color="auto"/>
              <w:bottom w:val="nil"/>
              <w:right w:val="nil"/>
            </w:tcBorders>
            <w:shd w:val="clear" w:color="auto" w:fill="auto"/>
            <w:noWrap/>
            <w:vAlign w:val="bottom"/>
            <w:hideMark/>
          </w:tcPr>
          <w:p w14:paraId="788D9BE4" w14:textId="77777777" w:rsidR="00262CE6" w:rsidRPr="00262CE6" w:rsidRDefault="00262CE6" w:rsidP="00262CE6">
            <w:pPr>
              <w:rPr>
                <w:rFonts w:cs="Arial"/>
                <w:sz w:val="22"/>
                <w:szCs w:val="22"/>
                <w:lang w:eastAsia="en-GB"/>
              </w:rPr>
            </w:pPr>
            <w:r w:rsidRPr="00262CE6">
              <w:rPr>
                <w:rFonts w:cs="Arial"/>
                <w:sz w:val="22"/>
                <w:szCs w:val="22"/>
                <w:lang w:eastAsia="en-GB"/>
              </w:rPr>
              <w:t xml:space="preserve">         Insurance receipts</w:t>
            </w:r>
          </w:p>
        </w:tc>
        <w:tc>
          <w:tcPr>
            <w:tcW w:w="992" w:type="dxa"/>
            <w:tcBorders>
              <w:top w:val="nil"/>
              <w:left w:val="nil"/>
              <w:bottom w:val="nil"/>
              <w:right w:val="nil"/>
            </w:tcBorders>
            <w:shd w:val="clear" w:color="auto" w:fill="auto"/>
            <w:noWrap/>
            <w:vAlign w:val="bottom"/>
            <w:hideMark/>
          </w:tcPr>
          <w:p w14:paraId="6BA27CCD" w14:textId="77777777" w:rsidR="00262CE6" w:rsidRPr="00262CE6" w:rsidRDefault="00262CE6" w:rsidP="00262CE6">
            <w:pPr>
              <w:jc w:val="right"/>
              <w:rPr>
                <w:rFonts w:cs="Arial"/>
                <w:sz w:val="22"/>
                <w:szCs w:val="22"/>
                <w:lang w:eastAsia="en-GB"/>
              </w:rPr>
            </w:pPr>
            <w:r w:rsidRPr="00262CE6">
              <w:rPr>
                <w:rFonts w:cs="Arial"/>
                <w:sz w:val="22"/>
                <w:szCs w:val="22"/>
                <w:lang w:eastAsia="en-GB"/>
              </w:rPr>
              <w:t>0</w:t>
            </w:r>
          </w:p>
        </w:tc>
        <w:tc>
          <w:tcPr>
            <w:tcW w:w="1276" w:type="dxa"/>
            <w:tcBorders>
              <w:top w:val="nil"/>
              <w:left w:val="nil"/>
              <w:bottom w:val="nil"/>
              <w:right w:val="single" w:sz="4" w:space="0" w:color="auto"/>
            </w:tcBorders>
            <w:shd w:val="clear" w:color="auto" w:fill="auto"/>
            <w:noWrap/>
            <w:vAlign w:val="bottom"/>
            <w:hideMark/>
          </w:tcPr>
          <w:p w14:paraId="539AB1CB" w14:textId="77777777" w:rsidR="00262CE6" w:rsidRPr="00262CE6" w:rsidRDefault="00262CE6" w:rsidP="00262CE6">
            <w:pPr>
              <w:jc w:val="right"/>
              <w:rPr>
                <w:rFonts w:cs="Arial"/>
                <w:sz w:val="22"/>
                <w:szCs w:val="22"/>
                <w:lang w:eastAsia="en-GB"/>
              </w:rPr>
            </w:pPr>
            <w:r w:rsidRPr="00262CE6">
              <w:rPr>
                <w:rFonts w:cs="Arial"/>
                <w:sz w:val="22"/>
                <w:szCs w:val="22"/>
                <w:lang w:eastAsia="en-GB"/>
              </w:rPr>
              <w:t>41</w:t>
            </w:r>
          </w:p>
        </w:tc>
      </w:tr>
      <w:tr w:rsidR="00262CE6" w:rsidRPr="00262CE6" w14:paraId="252CE3E5" w14:textId="77777777" w:rsidTr="00262CE6">
        <w:trPr>
          <w:trHeight w:val="300"/>
          <w:jc w:val="center"/>
        </w:trPr>
        <w:tc>
          <w:tcPr>
            <w:tcW w:w="3823" w:type="dxa"/>
            <w:tcBorders>
              <w:top w:val="nil"/>
              <w:left w:val="single" w:sz="4" w:space="0" w:color="auto"/>
              <w:bottom w:val="nil"/>
              <w:right w:val="nil"/>
            </w:tcBorders>
            <w:shd w:val="clear" w:color="auto" w:fill="auto"/>
            <w:noWrap/>
            <w:vAlign w:val="bottom"/>
            <w:hideMark/>
          </w:tcPr>
          <w:p w14:paraId="4E525521" w14:textId="77777777" w:rsidR="00262CE6" w:rsidRPr="00262CE6" w:rsidRDefault="00262CE6" w:rsidP="00262CE6">
            <w:pPr>
              <w:rPr>
                <w:rFonts w:cs="Arial"/>
                <w:sz w:val="22"/>
                <w:szCs w:val="22"/>
                <w:lang w:eastAsia="en-GB"/>
              </w:rPr>
            </w:pPr>
            <w:r w:rsidRPr="00262CE6">
              <w:rPr>
                <w:rFonts w:cs="Arial"/>
                <w:sz w:val="22"/>
                <w:szCs w:val="22"/>
                <w:lang w:eastAsia="en-GB"/>
              </w:rPr>
              <w:t xml:space="preserve">         Woodland Trust</w:t>
            </w:r>
          </w:p>
        </w:tc>
        <w:tc>
          <w:tcPr>
            <w:tcW w:w="992" w:type="dxa"/>
            <w:tcBorders>
              <w:top w:val="nil"/>
              <w:left w:val="nil"/>
              <w:bottom w:val="nil"/>
              <w:right w:val="nil"/>
            </w:tcBorders>
            <w:shd w:val="clear" w:color="auto" w:fill="auto"/>
            <w:noWrap/>
            <w:vAlign w:val="bottom"/>
            <w:hideMark/>
          </w:tcPr>
          <w:p w14:paraId="4798B1EC" w14:textId="77777777" w:rsidR="00262CE6" w:rsidRPr="00262CE6" w:rsidRDefault="00262CE6" w:rsidP="00262CE6">
            <w:pPr>
              <w:jc w:val="right"/>
              <w:rPr>
                <w:rFonts w:cs="Arial"/>
                <w:sz w:val="22"/>
                <w:szCs w:val="22"/>
                <w:lang w:eastAsia="en-GB"/>
              </w:rPr>
            </w:pPr>
            <w:r w:rsidRPr="00262CE6">
              <w:rPr>
                <w:rFonts w:cs="Arial"/>
                <w:sz w:val="22"/>
                <w:szCs w:val="22"/>
                <w:lang w:eastAsia="en-GB"/>
              </w:rPr>
              <w:t>129</w:t>
            </w:r>
          </w:p>
        </w:tc>
        <w:tc>
          <w:tcPr>
            <w:tcW w:w="1276" w:type="dxa"/>
            <w:tcBorders>
              <w:top w:val="nil"/>
              <w:left w:val="nil"/>
              <w:bottom w:val="nil"/>
              <w:right w:val="single" w:sz="4" w:space="0" w:color="auto"/>
            </w:tcBorders>
            <w:shd w:val="clear" w:color="auto" w:fill="auto"/>
            <w:noWrap/>
            <w:vAlign w:val="bottom"/>
            <w:hideMark/>
          </w:tcPr>
          <w:p w14:paraId="47EE89E5" w14:textId="77777777" w:rsidR="00262CE6" w:rsidRPr="00262CE6" w:rsidRDefault="00262CE6" w:rsidP="00262CE6">
            <w:pPr>
              <w:jc w:val="right"/>
              <w:rPr>
                <w:rFonts w:cs="Arial"/>
                <w:sz w:val="22"/>
                <w:szCs w:val="22"/>
                <w:lang w:eastAsia="en-GB"/>
              </w:rPr>
            </w:pPr>
            <w:r w:rsidRPr="00262CE6">
              <w:rPr>
                <w:rFonts w:cs="Arial"/>
                <w:sz w:val="22"/>
                <w:szCs w:val="22"/>
                <w:lang w:eastAsia="en-GB"/>
              </w:rPr>
              <w:t>0</w:t>
            </w:r>
          </w:p>
        </w:tc>
      </w:tr>
      <w:tr w:rsidR="00262CE6" w:rsidRPr="00262CE6" w14:paraId="21CF3374" w14:textId="77777777" w:rsidTr="00262CE6">
        <w:trPr>
          <w:trHeight w:val="300"/>
          <w:jc w:val="center"/>
        </w:trPr>
        <w:tc>
          <w:tcPr>
            <w:tcW w:w="3823" w:type="dxa"/>
            <w:tcBorders>
              <w:top w:val="nil"/>
              <w:left w:val="single" w:sz="4" w:space="0" w:color="auto"/>
              <w:bottom w:val="nil"/>
              <w:right w:val="nil"/>
            </w:tcBorders>
            <w:shd w:val="clear" w:color="auto" w:fill="auto"/>
            <w:noWrap/>
            <w:vAlign w:val="bottom"/>
            <w:hideMark/>
          </w:tcPr>
          <w:p w14:paraId="462F8987" w14:textId="77777777" w:rsidR="00262CE6" w:rsidRPr="00262CE6" w:rsidRDefault="00262CE6" w:rsidP="00262CE6">
            <w:pPr>
              <w:rPr>
                <w:rFonts w:cs="Arial"/>
                <w:sz w:val="22"/>
                <w:szCs w:val="22"/>
                <w:lang w:eastAsia="en-GB"/>
              </w:rPr>
            </w:pPr>
            <w:r w:rsidRPr="00262CE6">
              <w:rPr>
                <w:rFonts w:cs="Arial"/>
                <w:sz w:val="22"/>
                <w:szCs w:val="22"/>
                <w:lang w:eastAsia="en-GB"/>
              </w:rPr>
              <w:t> </w:t>
            </w:r>
          </w:p>
        </w:tc>
        <w:tc>
          <w:tcPr>
            <w:tcW w:w="992" w:type="dxa"/>
            <w:tcBorders>
              <w:top w:val="nil"/>
              <w:left w:val="nil"/>
              <w:bottom w:val="nil"/>
              <w:right w:val="nil"/>
            </w:tcBorders>
            <w:shd w:val="clear" w:color="auto" w:fill="auto"/>
            <w:noWrap/>
            <w:vAlign w:val="bottom"/>
            <w:hideMark/>
          </w:tcPr>
          <w:p w14:paraId="28BBE8DF" w14:textId="77777777" w:rsidR="00262CE6" w:rsidRPr="00262CE6" w:rsidRDefault="00262CE6" w:rsidP="00262CE6">
            <w:pPr>
              <w:rPr>
                <w:rFonts w:cs="Arial"/>
                <w:sz w:val="22"/>
                <w:szCs w:val="22"/>
                <w:lang w:eastAsia="en-GB"/>
              </w:rPr>
            </w:pPr>
          </w:p>
        </w:tc>
        <w:tc>
          <w:tcPr>
            <w:tcW w:w="1276" w:type="dxa"/>
            <w:tcBorders>
              <w:top w:val="nil"/>
              <w:left w:val="nil"/>
              <w:bottom w:val="nil"/>
              <w:right w:val="single" w:sz="4" w:space="0" w:color="auto"/>
            </w:tcBorders>
            <w:shd w:val="clear" w:color="auto" w:fill="auto"/>
            <w:noWrap/>
            <w:vAlign w:val="bottom"/>
            <w:hideMark/>
          </w:tcPr>
          <w:p w14:paraId="4BE16AE8" w14:textId="77777777" w:rsidR="00262CE6" w:rsidRPr="00262CE6" w:rsidRDefault="00262CE6" w:rsidP="00262CE6">
            <w:pPr>
              <w:rPr>
                <w:rFonts w:ascii="Times New Roman" w:hAnsi="Times New Roman"/>
                <w:sz w:val="22"/>
                <w:szCs w:val="22"/>
                <w:lang w:eastAsia="en-GB"/>
              </w:rPr>
            </w:pPr>
          </w:p>
        </w:tc>
      </w:tr>
      <w:tr w:rsidR="00262CE6" w:rsidRPr="00262CE6" w14:paraId="39D30E36" w14:textId="77777777" w:rsidTr="00262CE6">
        <w:trPr>
          <w:trHeight w:val="300"/>
          <w:jc w:val="center"/>
        </w:trPr>
        <w:tc>
          <w:tcPr>
            <w:tcW w:w="3823" w:type="dxa"/>
            <w:tcBorders>
              <w:top w:val="nil"/>
              <w:left w:val="single" w:sz="4" w:space="0" w:color="auto"/>
              <w:bottom w:val="single" w:sz="4" w:space="0" w:color="auto"/>
              <w:right w:val="nil"/>
            </w:tcBorders>
            <w:shd w:val="clear" w:color="auto" w:fill="auto"/>
            <w:noWrap/>
            <w:vAlign w:val="bottom"/>
            <w:hideMark/>
          </w:tcPr>
          <w:p w14:paraId="24F5B592" w14:textId="77777777" w:rsidR="00262CE6" w:rsidRPr="00262CE6" w:rsidRDefault="00262CE6" w:rsidP="00262CE6">
            <w:pPr>
              <w:rPr>
                <w:rFonts w:cs="Arial"/>
                <w:sz w:val="22"/>
                <w:szCs w:val="22"/>
                <w:lang w:eastAsia="en-GB"/>
              </w:rPr>
            </w:pPr>
            <w:r w:rsidRPr="00262CE6">
              <w:rPr>
                <w:rFonts w:cs="Arial"/>
                <w:sz w:val="22"/>
                <w:szCs w:val="22"/>
                <w:lang w:eastAsia="en-GB"/>
              </w:rPr>
              <w:t> </w:t>
            </w:r>
          </w:p>
        </w:tc>
        <w:tc>
          <w:tcPr>
            <w:tcW w:w="992" w:type="dxa"/>
            <w:tcBorders>
              <w:top w:val="single" w:sz="4" w:space="0" w:color="auto"/>
              <w:left w:val="nil"/>
              <w:bottom w:val="single" w:sz="4" w:space="0" w:color="auto"/>
              <w:right w:val="nil"/>
            </w:tcBorders>
            <w:shd w:val="clear" w:color="auto" w:fill="auto"/>
            <w:noWrap/>
            <w:vAlign w:val="bottom"/>
            <w:hideMark/>
          </w:tcPr>
          <w:p w14:paraId="01436002" w14:textId="77777777" w:rsidR="00262CE6" w:rsidRPr="00262CE6" w:rsidRDefault="00262CE6" w:rsidP="00262CE6">
            <w:pPr>
              <w:jc w:val="right"/>
              <w:rPr>
                <w:rFonts w:cs="Arial"/>
                <w:b/>
                <w:bCs/>
                <w:sz w:val="22"/>
                <w:szCs w:val="22"/>
                <w:lang w:eastAsia="en-GB"/>
              </w:rPr>
            </w:pPr>
            <w:r w:rsidRPr="00262CE6">
              <w:rPr>
                <w:rFonts w:cs="Arial"/>
                <w:b/>
                <w:bCs/>
                <w:sz w:val="22"/>
                <w:szCs w:val="22"/>
                <w:lang w:eastAsia="en-GB"/>
              </w:rPr>
              <w:t>5,789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0C6E886" w14:textId="77777777" w:rsidR="00262CE6" w:rsidRPr="00262CE6" w:rsidRDefault="00262CE6" w:rsidP="00262CE6">
            <w:pPr>
              <w:jc w:val="right"/>
              <w:rPr>
                <w:rFonts w:cs="Arial"/>
                <w:b/>
                <w:bCs/>
                <w:sz w:val="22"/>
                <w:szCs w:val="22"/>
                <w:lang w:eastAsia="en-GB"/>
              </w:rPr>
            </w:pPr>
            <w:r w:rsidRPr="00262CE6">
              <w:rPr>
                <w:rFonts w:cs="Arial"/>
                <w:b/>
                <w:bCs/>
                <w:sz w:val="22"/>
                <w:szCs w:val="22"/>
                <w:lang w:eastAsia="en-GB"/>
              </w:rPr>
              <w:t>7,393</w:t>
            </w:r>
          </w:p>
        </w:tc>
      </w:tr>
    </w:tbl>
    <w:p w14:paraId="373BAFEC" w14:textId="6F2D3D7C" w:rsidR="00843769" w:rsidRDefault="00843769" w:rsidP="00040C1A">
      <w:pPr>
        <w:ind w:left="567"/>
        <w:rPr>
          <w:highlight w:val="yellow"/>
        </w:rPr>
      </w:pPr>
    </w:p>
    <w:p w14:paraId="0C6D814D" w14:textId="77777777" w:rsidR="008F5F09" w:rsidRDefault="008F5F09" w:rsidP="00040C1A">
      <w:pPr>
        <w:ind w:left="567"/>
        <w:rPr>
          <w:highlight w:val="yellow"/>
        </w:rPr>
      </w:pPr>
    </w:p>
    <w:tbl>
      <w:tblPr>
        <w:tblW w:w="7422" w:type="dxa"/>
        <w:jc w:val="center"/>
        <w:tblLook w:val="04A0" w:firstRow="1" w:lastRow="0" w:firstColumn="1" w:lastColumn="0" w:noHBand="0" w:noVBand="1"/>
      </w:tblPr>
      <w:tblGrid>
        <w:gridCol w:w="4996"/>
        <w:gridCol w:w="1284"/>
        <w:gridCol w:w="1142"/>
      </w:tblGrid>
      <w:tr w:rsidR="00262CE6" w:rsidRPr="00262CE6" w14:paraId="31590B01" w14:textId="77777777" w:rsidTr="000D7C2D">
        <w:trPr>
          <w:trHeight w:val="266"/>
          <w:tblHeader/>
          <w:jc w:val="center"/>
        </w:trPr>
        <w:tc>
          <w:tcPr>
            <w:tcW w:w="4996" w:type="dxa"/>
            <w:tcBorders>
              <w:top w:val="single" w:sz="4" w:space="0" w:color="auto"/>
              <w:left w:val="single" w:sz="4" w:space="0" w:color="auto"/>
              <w:bottom w:val="nil"/>
              <w:right w:val="nil"/>
            </w:tcBorders>
            <w:shd w:val="clear" w:color="000000" w:fill="000000"/>
            <w:noWrap/>
            <w:vAlign w:val="bottom"/>
            <w:hideMark/>
          </w:tcPr>
          <w:p w14:paraId="06D44E7B" w14:textId="6D7655BC" w:rsidR="00262CE6" w:rsidRPr="00262CE6" w:rsidRDefault="00262CE6" w:rsidP="00262CE6">
            <w:pPr>
              <w:rPr>
                <w:rFonts w:cs="Arial"/>
                <w:color w:val="FFFFFF"/>
                <w:sz w:val="22"/>
                <w:szCs w:val="22"/>
                <w:lang w:eastAsia="en-GB"/>
              </w:rPr>
            </w:pPr>
          </w:p>
        </w:tc>
        <w:tc>
          <w:tcPr>
            <w:tcW w:w="1284" w:type="dxa"/>
            <w:tcBorders>
              <w:top w:val="single" w:sz="4" w:space="0" w:color="auto"/>
              <w:left w:val="nil"/>
              <w:bottom w:val="nil"/>
              <w:right w:val="nil"/>
            </w:tcBorders>
            <w:shd w:val="clear" w:color="000000" w:fill="000000"/>
            <w:noWrap/>
            <w:vAlign w:val="bottom"/>
            <w:hideMark/>
          </w:tcPr>
          <w:p w14:paraId="19D38414" w14:textId="77777777" w:rsidR="00262CE6" w:rsidRPr="00262CE6" w:rsidRDefault="00262CE6" w:rsidP="00262CE6">
            <w:pPr>
              <w:jc w:val="center"/>
              <w:rPr>
                <w:rFonts w:cs="Arial"/>
                <w:b/>
                <w:bCs/>
                <w:color w:val="FFFFFF"/>
                <w:sz w:val="22"/>
                <w:szCs w:val="22"/>
                <w:lang w:eastAsia="en-GB"/>
              </w:rPr>
            </w:pPr>
            <w:r w:rsidRPr="00262CE6">
              <w:rPr>
                <w:rFonts w:cs="Arial"/>
                <w:b/>
                <w:bCs/>
                <w:color w:val="FFFFFF"/>
                <w:sz w:val="22"/>
                <w:szCs w:val="22"/>
                <w:lang w:eastAsia="en-GB"/>
              </w:rPr>
              <w:t>2021/22</w:t>
            </w:r>
          </w:p>
        </w:tc>
        <w:tc>
          <w:tcPr>
            <w:tcW w:w="1142" w:type="dxa"/>
            <w:tcBorders>
              <w:top w:val="single" w:sz="4" w:space="0" w:color="auto"/>
              <w:left w:val="nil"/>
              <w:bottom w:val="nil"/>
              <w:right w:val="single" w:sz="4" w:space="0" w:color="auto"/>
            </w:tcBorders>
            <w:shd w:val="clear" w:color="000000" w:fill="000000"/>
            <w:noWrap/>
            <w:vAlign w:val="bottom"/>
            <w:hideMark/>
          </w:tcPr>
          <w:p w14:paraId="627EB0FF" w14:textId="77777777" w:rsidR="00262CE6" w:rsidRPr="00262CE6" w:rsidRDefault="00262CE6" w:rsidP="00262CE6">
            <w:pPr>
              <w:jc w:val="center"/>
              <w:rPr>
                <w:rFonts w:cs="Arial"/>
                <w:b/>
                <w:bCs/>
                <w:color w:val="FFFFFF"/>
                <w:sz w:val="22"/>
                <w:szCs w:val="22"/>
                <w:lang w:eastAsia="en-GB"/>
              </w:rPr>
            </w:pPr>
            <w:r w:rsidRPr="00262CE6">
              <w:rPr>
                <w:rFonts w:cs="Arial"/>
                <w:b/>
                <w:bCs/>
                <w:color w:val="FFFFFF"/>
                <w:sz w:val="22"/>
                <w:szCs w:val="22"/>
                <w:lang w:eastAsia="en-GB"/>
              </w:rPr>
              <w:t>2022/23</w:t>
            </w:r>
          </w:p>
        </w:tc>
      </w:tr>
      <w:tr w:rsidR="00262CE6" w:rsidRPr="00262CE6" w14:paraId="570ED38A" w14:textId="77777777" w:rsidTr="000D7C2D">
        <w:trPr>
          <w:trHeight w:val="266"/>
          <w:tblHeader/>
          <w:jc w:val="center"/>
        </w:trPr>
        <w:tc>
          <w:tcPr>
            <w:tcW w:w="4996" w:type="dxa"/>
            <w:tcBorders>
              <w:top w:val="nil"/>
              <w:left w:val="single" w:sz="4" w:space="0" w:color="auto"/>
              <w:bottom w:val="nil"/>
              <w:right w:val="nil"/>
            </w:tcBorders>
            <w:shd w:val="clear" w:color="000000" w:fill="000000"/>
            <w:noWrap/>
            <w:vAlign w:val="bottom"/>
            <w:hideMark/>
          </w:tcPr>
          <w:p w14:paraId="4007F7C9" w14:textId="77777777" w:rsidR="00262CE6" w:rsidRPr="00262CE6" w:rsidRDefault="00262CE6" w:rsidP="00262CE6">
            <w:pPr>
              <w:rPr>
                <w:rFonts w:cs="Arial"/>
                <w:color w:val="FFFFFF"/>
                <w:sz w:val="22"/>
                <w:szCs w:val="22"/>
                <w:lang w:eastAsia="en-GB"/>
              </w:rPr>
            </w:pPr>
            <w:r w:rsidRPr="00262CE6">
              <w:rPr>
                <w:rFonts w:cs="Arial"/>
                <w:color w:val="FFFFFF"/>
                <w:sz w:val="22"/>
                <w:szCs w:val="22"/>
                <w:lang w:eastAsia="en-GB"/>
              </w:rPr>
              <w:t> </w:t>
            </w:r>
          </w:p>
        </w:tc>
        <w:tc>
          <w:tcPr>
            <w:tcW w:w="1284" w:type="dxa"/>
            <w:tcBorders>
              <w:top w:val="nil"/>
              <w:left w:val="nil"/>
              <w:bottom w:val="nil"/>
              <w:right w:val="nil"/>
            </w:tcBorders>
            <w:shd w:val="clear" w:color="000000" w:fill="000000"/>
            <w:noWrap/>
            <w:vAlign w:val="bottom"/>
            <w:hideMark/>
          </w:tcPr>
          <w:p w14:paraId="0CB9AC5F" w14:textId="77777777" w:rsidR="00262CE6" w:rsidRPr="00262CE6" w:rsidRDefault="00262CE6" w:rsidP="00262CE6">
            <w:pPr>
              <w:jc w:val="center"/>
              <w:rPr>
                <w:rFonts w:cs="Arial"/>
                <w:b/>
                <w:bCs/>
                <w:color w:val="FFFFFF"/>
                <w:sz w:val="22"/>
                <w:szCs w:val="22"/>
                <w:lang w:eastAsia="en-GB"/>
              </w:rPr>
            </w:pPr>
            <w:r w:rsidRPr="00262CE6">
              <w:rPr>
                <w:rFonts w:cs="Arial"/>
                <w:b/>
                <w:bCs/>
                <w:color w:val="FFFFFF"/>
                <w:sz w:val="22"/>
                <w:szCs w:val="22"/>
                <w:lang w:eastAsia="en-GB"/>
              </w:rPr>
              <w:t>£000</w:t>
            </w:r>
          </w:p>
        </w:tc>
        <w:tc>
          <w:tcPr>
            <w:tcW w:w="1142" w:type="dxa"/>
            <w:tcBorders>
              <w:top w:val="nil"/>
              <w:left w:val="nil"/>
              <w:bottom w:val="nil"/>
              <w:right w:val="single" w:sz="4" w:space="0" w:color="auto"/>
            </w:tcBorders>
            <w:shd w:val="clear" w:color="000000" w:fill="000000"/>
            <w:noWrap/>
            <w:vAlign w:val="bottom"/>
            <w:hideMark/>
          </w:tcPr>
          <w:p w14:paraId="4A165D87" w14:textId="77777777" w:rsidR="00262CE6" w:rsidRPr="00262CE6" w:rsidRDefault="00262CE6" w:rsidP="00262CE6">
            <w:pPr>
              <w:jc w:val="center"/>
              <w:rPr>
                <w:rFonts w:cs="Arial"/>
                <w:b/>
                <w:bCs/>
                <w:color w:val="FFFFFF"/>
                <w:sz w:val="22"/>
                <w:szCs w:val="22"/>
                <w:lang w:eastAsia="en-GB"/>
              </w:rPr>
            </w:pPr>
            <w:r w:rsidRPr="00262CE6">
              <w:rPr>
                <w:rFonts w:cs="Arial"/>
                <w:b/>
                <w:bCs/>
                <w:color w:val="FFFFFF"/>
                <w:sz w:val="22"/>
                <w:szCs w:val="22"/>
                <w:lang w:eastAsia="en-GB"/>
              </w:rPr>
              <w:t>£000</w:t>
            </w:r>
          </w:p>
        </w:tc>
      </w:tr>
      <w:tr w:rsidR="00262CE6" w:rsidRPr="00262CE6" w14:paraId="794C2927" w14:textId="77777777" w:rsidTr="000D7C2D">
        <w:trPr>
          <w:trHeight w:val="266"/>
          <w:tblHeader/>
          <w:jc w:val="center"/>
        </w:trPr>
        <w:tc>
          <w:tcPr>
            <w:tcW w:w="4996" w:type="dxa"/>
            <w:tcBorders>
              <w:top w:val="single" w:sz="4" w:space="0" w:color="auto"/>
              <w:left w:val="single" w:sz="4" w:space="0" w:color="auto"/>
              <w:bottom w:val="nil"/>
              <w:right w:val="nil"/>
            </w:tcBorders>
            <w:shd w:val="clear" w:color="000000" w:fill="FFFFFF"/>
            <w:noWrap/>
            <w:vAlign w:val="bottom"/>
            <w:hideMark/>
          </w:tcPr>
          <w:p w14:paraId="6ED64A9E" w14:textId="77777777" w:rsidR="00262CE6" w:rsidRPr="00262CE6" w:rsidRDefault="00262CE6" w:rsidP="00262CE6">
            <w:pPr>
              <w:rPr>
                <w:rFonts w:ascii="Calibri" w:hAnsi="Calibri" w:cs="Calibri"/>
                <w:color w:val="000000"/>
                <w:sz w:val="22"/>
                <w:szCs w:val="22"/>
                <w:lang w:eastAsia="en-GB"/>
              </w:rPr>
            </w:pPr>
            <w:r w:rsidRPr="00262CE6">
              <w:rPr>
                <w:rFonts w:ascii="Calibri" w:hAnsi="Calibri" w:cs="Calibri"/>
                <w:color w:val="000000"/>
                <w:sz w:val="22"/>
                <w:szCs w:val="22"/>
                <w:lang w:eastAsia="en-GB"/>
              </w:rPr>
              <w:t> </w:t>
            </w:r>
          </w:p>
        </w:tc>
        <w:tc>
          <w:tcPr>
            <w:tcW w:w="1284" w:type="dxa"/>
            <w:tcBorders>
              <w:top w:val="single" w:sz="4" w:space="0" w:color="auto"/>
              <w:left w:val="nil"/>
              <w:bottom w:val="nil"/>
              <w:right w:val="nil"/>
            </w:tcBorders>
            <w:shd w:val="clear" w:color="000000" w:fill="FFFFFF"/>
            <w:noWrap/>
            <w:vAlign w:val="bottom"/>
            <w:hideMark/>
          </w:tcPr>
          <w:p w14:paraId="2DF98869" w14:textId="77777777" w:rsidR="00262CE6" w:rsidRPr="00262CE6" w:rsidRDefault="00262CE6" w:rsidP="00262CE6">
            <w:pPr>
              <w:rPr>
                <w:rFonts w:ascii="Calibri" w:hAnsi="Calibri" w:cs="Calibri"/>
                <w:color w:val="000000"/>
                <w:sz w:val="22"/>
                <w:szCs w:val="22"/>
                <w:lang w:eastAsia="en-GB"/>
              </w:rPr>
            </w:pPr>
            <w:r w:rsidRPr="00262CE6">
              <w:rPr>
                <w:rFonts w:ascii="Calibri" w:hAnsi="Calibri" w:cs="Calibri"/>
                <w:color w:val="000000"/>
                <w:sz w:val="22"/>
                <w:szCs w:val="22"/>
                <w:lang w:eastAsia="en-GB"/>
              </w:rPr>
              <w:t> </w:t>
            </w:r>
          </w:p>
        </w:tc>
        <w:tc>
          <w:tcPr>
            <w:tcW w:w="1142" w:type="dxa"/>
            <w:tcBorders>
              <w:top w:val="single" w:sz="4" w:space="0" w:color="auto"/>
              <w:left w:val="nil"/>
              <w:bottom w:val="nil"/>
              <w:right w:val="single" w:sz="4" w:space="0" w:color="auto"/>
            </w:tcBorders>
            <w:shd w:val="clear" w:color="000000" w:fill="FFFFFF"/>
            <w:noWrap/>
            <w:vAlign w:val="bottom"/>
            <w:hideMark/>
          </w:tcPr>
          <w:p w14:paraId="58F2E51B" w14:textId="77777777" w:rsidR="00262CE6" w:rsidRPr="00262CE6" w:rsidRDefault="00262CE6" w:rsidP="00262CE6">
            <w:pPr>
              <w:rPr>
                <w:rFonts w:ascii="Calibri" w:hAnsi="Calibri" w:cs="Calibri"/>
                <w:color w:val="000000"/>
                <w:sz w:val="22"/>
                <w:szCs w:val="22"/>
                <w:lang w:eastAsia="en-GB"/>
              </w:rPr>
            </w:pPr>
            <w:r w:rsidRPr="00262CE6">
              <w:rPr>
                <w:rFonts w:ascii="Calibri" w:hAnsi="Calibri" w:cs="Calibri"/>
                <w:color w:val="000000"/>
                <w:sz w:val="22"/>
                <w:szCs w:val="22"/>
                <w:lang w:eastAsia="en-GB"/>
              </w:rPr>
              <w:t> </w:t>
            </w:r>
          </w:p>
        </w:tc>
      </w:tr>
      <w:tr w:rsidR="00262CE6" w:rsidRPr="00262CE6" w14:paraId="4FC8AC20"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79D3B008" w14:textId="77777777" w:rsidR="00262CE6" w:rsidRPr="00262CE6" w:rsidRDefault="00262CE6" w:rsidP="00262CE6">
            <w:pPr>
              <w:rPr>
                <w:rFonts w:cs="Arial"/>
                <w:b/>
                <w:bCs/>
                <w:sz w:val="22"/>
                <w:szCs w:val="22"/>
                <w:lang w:eastAsia="en-GB"/>
              </w:rPr>
            </w:pPr>
            <w:r w:rsidRPr="00262CE6">
              <w:rPr>
                <w:rFonts w:cs="Arial"/>
                <w:b/>
                <w:bCs/>
                <w:sz w:val="22"/>
                <w:szCs w:val="22"/>
                <w:lang w:eastAsia="en-GB"/>
              </w:rPr>
              <w:t>Specific Grant Income</w:t>
            </w:r>
          </w:p>
        </w:tc>
        <w:tc>
          <w:tcPr>
            <w:tcW w:w="1284" w:type="dxa"/>
            <w:tcBorders>
              <w:top w:val="nil"/>
              <w:left w:val="nil"/>
              <w:bottom w:val="nil"/>
              <w:right w:val="nil"/>
            </w:tcBorders>
            <w:shd w:val="clear" w:color="000000" w:fill="FFFFFF"/>
            <w:noWrap/>
            <w:vAlign w:val="bottom"/>
            <w:hideMark/>
          </w:tcPr>
          <w:p w14:paraId="49150E47" w14:textId="77777777" w:rsidR="00262CE6" w:rsidRPr="00262CE6" w:rsidRDefault="00262CE6" w:rsidP="00262CE6">
            <w:pPr>
              <w:rPr>
                <w:rFonts w:ascii="Calibri" w:hAnsi="Calibri" w:cs="Calibri"/>
                <w:color w:val="000000"/>
                <w:sz w:val="22"/>
                <w:szCs w:val="22"/>
                <w:lang w:eastAsia="en-GB"/>
              </w:rPr>
            </w:pPr>
            <w:r w:rsidRPr="00262CE6">
              <w:rPr>
                <w:rFonts w:ascii="Calibri" w:hAnsi="Calibri" w:cs="Calibri"/>
                <w:color w:val="000000"/>
                <w:sz w:val="22"/>
                <w:szCs w:val="22"/>
                <w:lang w:eastAsia="en-GB"/>
              </w:rPr>
              <w:t> </w:t>
            </w:r>
          </w:p>
        </w:tc>
        <w:tc>
          <w:tcPr>
            <w:tcW w:w="1142" w:type="dxa"/>
            <w:tcBorders>
              <w:top w:val="nil"/>
              <w:left w:val="nil"/>
              <w:bottom w:val="nil"/>
              <w:right w:val="single" w:sz="4" w:space="0" w:color="auto"/>
            </w:tcBorders>
            <w:shd w:val="clear" w:color="000000" w:fill="FFFFFF"/>
            <w:noWrap/>
            <w:vAlign w:val="bottom"/>
            <w:hideMark/>
          </w:tcPr>
          <w:p w14:paraId="47D19EDF" w14:textId="77777777" w:rsidR="00262CE6" w:rsidRPr="00262CE6" w:rsidRDefault="00262CE6" w:rsidP="00262CE6">
            <w:pPr>
              <w:rPr>
                <w:rFonts w:ascii="Calibri" w:hAnsi="Calibri" w:cs="Calibri"/>
                <w:color w:val="000000"/>
                <w:sz w:val="22"/>
                <w:szCs w:val="22"/>
                <w:lang w:eastAsia="en-GB"/>
              </w:rPr>
            </w:pPr>
            <w:r w:rsidRPr="00262CE6">
              <w:rPr>
                <w:rFonts w:ascii="Calibri" w:hAnsi="Calibri" w:cs="Calibri"/>
                <w:color w:val="000000"/>
                <w:sz w:val="22"/>
                <w:szCs w:val="22"/>
                <w:lang w:eastAsia="en-GB"/>
              </w:rPr>
              <w:t> </w:t>
            </w:r>
          </w:p>
        </w:tc>
      </w:tr>
      <w:tr w:rsidR="00262CE6" w:rsidRPr="00262CE6" w14:paraId="28D3CDF3"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60801CAB" w14:textId="77777777" w:rsidR="00262CE6" w:rsidRPr="00262CE6" w:rsidRDefault="00262CE6" w:rsidP="00262CE6">
            <w:pPr>
              <w:rPr>
                <w:rFonts w:cs="Arial"/>
                <w:sz w:val="22"/>
                <w:szCs w:val="22"/>
                <w:lang w:eastAsia="en-GB"/>
              </w:rPr>
            </w:pPr>
            <w:r w:rsidRPr="00262CE6">
              <w:rPr>
                <w:rFonts w:cs="Arial"/>
                <w:sz w:val="22"/>
                <w:szCs w:val="22"/>
                <w:lang w:eastAsia="en-GB"/>
              </w:rPr>
              <w:t>DEFRA</w:t>
            </w:r>
          </w:p>
        </w:tc>
        <w:tc>
          <w:tcPr>
            <w:tcW w:w="1284" w:type="dxa"/>
            <w:tcBorders>
              <w:top w:val="nil"/>
              <w:left w:val="nil"/>
              <w:bottom w:val="nil"/>
              <w:right w:val="nil"/>
            </w:tcBorders>
            <w:shd w:val="clear" w:color="000000" w:fill="FFFFFF"/>
            <w:noWrap/>
            <w:vAlign w:val="bottom"/>
            <w:hideMark/>
          </w:tcPr>
          <w:p w14:paraId="2DD8AC2E" w14:textId="77777777" w:rsidR="00262CE6" w:rsidRPr="00262CE6" w:rsidRDefault="00262CE6" w:rsidP="00262CE6">
            <w:pPr>
              <w:jc w:val="right"/>
              <w:rPr>
                <w:rFonts w:cs="Arial"/>
                <w:sz w:val="22"/>
                <w:szCs w:val="22"/>
                <w:lang w:eastAsia="en-GB"/>
              </w:rPr>
            </w:pPr>
            <w:r w:rsidRPr="00262CE6">
              <w:rPr>
                <w:rFonts w:cs="Arial"/>
                <w:sz w:val="22"/>
                <w:szCs w:val="22"/>
                <w:lang w:eastAsia="en-GB"/>
              </w:rPr>
              <w:t>673</w:t>
            </w:r>
          </w:p>
        </w:tc>
        <w:tc>
          <w:tcPr>
            <w:tcW w:w="1142" w:type="dxa"/>
            <w:tcBorders>
              <w:top w:val="nil"/>
              <w:left w:val="nil"/>
              <w:bottom w:val="nil"/>
              <w:right w:val="single" w:sz="4" w:space="0" w:color="auto"/>
            </w:tcBorders>
            <w:shd w:val="clear" w:color="000000" w:fill="FFFFFF"/>
            <w:noWrap/>
            <w:vAlign w:val="bottom"/>
            <w:hideMark/>
          </w:tcPr>
          <w:p w14:paraId="6C52354D" w14:textId="107DFC32" w:rsidR="00262CE6" w:rsidRPr="00262CE6" w:rsidRDefault="00262CE6" w:rsidP="00262CE6">
            <w:pPr>
              <w:jc w:val="right"/>
              <w:rPr>
                <w:rFonts w:cs="Arial"/>
                <w:sz w:val="22"/>
                <w:szCs w:val="22"/>
                <w:lang w:eastAsia="en-GB"/>
              </w:rPr>
            </w:pPr>
            <w:r w:rsidRPr="00262CE6">
              <w:rPr>
                <w:rFonts w:cs="Arial"/>
                <w:sz w:val="22"/>
                <w:szCs w:val="22"/>
                <w:lang w:eastAsia="en-GB"/>
              </w:rPr>
              <w:t>1,</w:t>
            </w:r>
            <w:r w:rsidR="006A2C55">
              <w:rPr>
                <w:rFonts w:cs="Arial"/>
                <w:sz w:val="22"/>
                <w:szCs w:val="22"/>
                <w:lang w:eastAsia="en-GB"/>
              </w:rPr>
              <w:t>105</w:t>
            </w:r>
          </w:p>
        </w:tc>
      </w:tr>
      <w:tr w:rsidR="00262CE6" w:rsidRPr="00262CE6" w14:paraId="555B6A17"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6090AA3C" w14:textId="77777777" w:rsidR="00262CE6" w:rsidRPr="00262CE6" w:rsidRDefault="00262CE6" w:rsidP="00262CE6">
            <w:pPr>
              <w:rPr>
                <w:rFonts w:cs="Arial"/>
                <w:sz w:val="22"/>
                <w:szCs w:val="22"/>
                <w:lang w:eastAsia="en-GB"/>
              </w:rPr>
            </w:pPr>
            <w:r w:rsidRPr="00262CE6">
              <w:rPr>
                <w:rFonts w:cs="Arial"/>
                <w:sz w:val="22"/>
                <w:szCs w:val="22"/>
                <w:lang w:eastAsia="en-GB"/>
              </w:rPr>
              <w:t>Cumbria County Council Total</w:t>
            </w:r>
          </w:p>
        </w:tc>
        <w:tc>
          <w:tcPr>
            <w:tcW w:w="1284" w:type="dxa"/>
            <w:tcBorders>
              <w:top w:val="nil"/>
              <w:left w:val="nil"/>
              <w:bottom w:val="nil"/>
              <w:right w:val="nil"/>
            </w:tcBorders>
            <w:shd w:val="clear" w:color="000000" w:fill="FFFFFF"/>
            <w:noWrap/>
            <w:vAlign w:val="bottom"/>
            <w:hideMark/>
          </w:tcPr>
          <w:p w14:paraId="28DF9A2A" w14:textId="77777777" w:rsidR="00262CE6" w:rsidRPr="00262CE6" w:rsidRDefault="00262CE6" w:rsidP="00262CE6">
            <w:pPr>
              <w:jc w:val="right"/>
              <w:rPr>
                <w:rFonts w:cs="Arial"/>
                <w:sz w:val="22"/>
                <w:szCs w:val="22"/>
                <w:lang w:eastAsia="en-GB"/>
              </w:rPr>
            </w:pPr>
            <w:r w:rsidRPr="00262CE6">
              <w:rPr>
                <w:rFonts w:cs="Arial"/>
                <w:sz w:val="22"/>
                <w:szCs w:val="22"/>
                <w:lang w:eastAsia="en-GB"/>
              </w:rPr>
              <w:t>457</w:t>
            </w:r>
          </w:p>
        </w:tc>
        <w:tc>
          <w:tcPr>
            <w:tcW w:w="1142" w:type="dxa"/>
            <w:tcBorders>
              <w:top w:val="nil"/>
              <w:left w:val="nil"/>
              <w:bottom w:val="nil"/>
              <w:right w:val="single" w:sz="4" w:space="0" w:color="auto"/>
            </w:tcBorders>
            <w:shd w:val="clear" w:color="000000" w:fill="FFFFFF"/>
            <w:noWrap/>
            <w:vAlign w:val="bottom"/>
            <w:hideMark/>
          </w:tcPr>
          <w:p w14:paraId="2529F2FC" w14:textId="77777777" w:rsidR="00262CE6" w:rsidRPr="00262CE6" w:rsidRDefault="00262CE6" w:rsidP="00262CE6">
            <w:pPr>
              <w:jc w:val="right"/>
              <w:rPr>
                <w:rFonts w:cs="Arial"/>
                <w:sz w:val="22"/>
                <w:szCs w:val="22"/>
                <w:lang w:eastAsia="en-GB"/>
              </w:rPr>
            </w:pPr>
            <w:r w:rsidRPr="00262CE6">
              <w:rPr>
                <w:rFonts w:cs="Arial"/>
                <w:sz w:val="22"/>
                <w:szCs w:val="22"/>
                <w:lang w:eastAsia="en-GB"/>
              </w:rPr>
              <w:t>250</w:t>
            </w:r>
          </w:p>
        </w:tc>
      </w:tr>
      <w:tr w:rsidR="00262CE6" w:rsidRPr="00262CE6" w14:paraId="69BDBA51"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2F01C534" w14:textId="77777777" w:rsidR="00262CE6" w:rsidRPr="00262CE6" w:rsidRDefault="00262CE6" w:rsidP="00262CE6">
            <w:pPr>
              <w:rPr>
                <w:rFonts w:cs="Arial"/>
                <w:sz w:val="22"/>
                <w:szCs w:val="22"/>
                <w:lang w:eastAsia="en-GB"/>
              </w:rPr>
            </w:pPr>
            <w:r w:rsidRPr="00262CE6">
              <w:rPr>
                <w:rFonts w:cs="Arial"/>
                <w:sz w:val="22"/>
                <w:szCs w:val="22"/>
                <w:lang w:eastAsia="en-GB"/>
              </w:rPr>
              <w:t>National Trust</w:t>
            </w:r>
          </w:p>
        </w:tc>
        <w:tc>
          <w:tcPr>
            <w:tcW w:w="1284" w:type="dxa"/>
            <w:tcBorders>
              <w:top w:val="nil"/>
              <w:left w:val="nil"/>
              <w:bottom w:val="nil"/>
              <w:right w:val="nil"/>
            </w:tcBorders>
            <w:shd w:val="clear" w:color="000000" w:fill="FFFFFF"/>
            <w:noWrap/>
            <w:vAlign w:val="bottom"/>
            <w:hideMark/>
          </w:tcPr>
          <w:p w14:paraId="71F7355A" w14:textId="77777777" w:rsidR="00262CE6" w:rsidRPr="00262CE6" w:rsidRDefault="00262CE6" w:rsidP="00262CE6">
            <w:pPr>
              <w:jc w:val="right"/>
              <w:rPr>
                <w:rFonts w:cs="Arial"/>
                <w:sz w:val="22"/>
                <w:szCs w:val="22"/>
                <w:lang w:eastAsia="en-GB"/>
              </w:rPr>
            </w:pPr>
            <w:r w:rsidRPr="00262CE6">
              <w:rPr>
                <w:rFonts w:cs="Arial"/>
                <w:sz w:val="22"/>
                <w:szCs w:val="22"/>
                <w:lang w:eastAsia="en-GB"/>
              </w:rPr>
              <w:t>131</w:t>
            </w:r>
          </w:p>
        </w:tc>
        <w:tc>
          <w:tcPr>
            <w:tcW w:w="1142" w:type="dxa"/>
            <w:tcBorders>
              <w:top w:val="nil"/>
              <w:left w:val="nil"/>
              <w:bottom w:val="nil"/>
              <w:right w:val="single" w:sz="4" w:space="0" w:color="auto"/>
            </w:tcBorders>
            <w:shd w:val="clear" w:color="000000" w:fill="FFFFFF"/>
            <w:noWrap/>
            <w:vAlign w:val="bottom"/>
            <w:hideMark/>
          </w:tcPr>
          <w:p w14:paraId="33C6B941" w14:textId="77777777" w:rsidR="00262CE6" w:rsidRPr="00262CE6" w:rsidRDefault="00262CE6" w:rsidP="00262CE6">
            <w:pPr>
              <w:jc w:val="right"/>
              <w:rPr>
                <w:rFonts w:cs="Arial"/>
                <w:sz w:val="22"/>
                <w:szCs w:val="22"/>
                <w:lang w:eastAsia="en-GB"/>
              </w:rPr>
            </w:pPr>
            <w:r w:rsidRPr="00262CE6">
              <w:rPr>
                <w:rFonts w:cs="Arial"/>
                <w:sz w:val="22"/>
                <w:szCs w:val="22"/>
                <w:lang w:eastAsia="en-GB"/>
              </w:rPr>
              <w:t>25</w:t>
            </w:r>
          </w:p>
        </w:tc>
      </w:tr>
      <w:tr w:rsidR="00262CE6" w:rsidRPr="00262CE6" w14:paraId="35FF4E1B"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2EA1AF1C" w14:textId="77777777" w:rsidR="00262CE6" w:rsidRPr="00262CE6" w:rsidRDefault="00262CE6" w:rsidP="00262CE6">
            <w:pPr>
              <w:rPr>
                <w:rFonts w:cs="Arial"/>
                <w:sz w:val="22"/>
                <w:szCs w:val="22"/>
                <w:lang w:eastAsia="en-GB"/>
              </w:rPr>
            </w:pPr>
            <w:r w:rsidRPr="00262CE6">
              <w:rPr>
                <w:rFonts w:cs="Arial"/>
                <w:sz w:val="22"/>
                <w:szCs w:val="22"/>
                <w:lang w:eastAsia="en-GB"/>
              </w:rPr>
              <w:t>Lake District Foundation</w:t>
            </w:r>
          </w:p>
        </w:tc>
        <w:tc>
          <w:tcPr>
            <w:tcW w:w="1284" w:type="dxa"/>
            <w:tcBorders>
              <w:top w:val="nil"/>
              <w:left w:val="nil"/>
              <w:bottom w:val="nil"/>
              <w:right w:val="nil"/>
            </w:tcBorders>
            <w:shd w:val="clear" w:color="000000" w:fill="FFFFFF"/>
            <w:noWrap/>
            <w:vAlign w:val="bottom"/>
            <w:hideMark/>
          </w:tcPr>
          <w:p w14:paraId="0BC79E6A" w14:textId="77777777" w:rsidR="00262CE6" w:rsidRPr="00262CE6" w:rsidRDefault="00262CE6" w:rsidP="00262CE6">
            <w:pPr>
              <w:jc w:val="right"/>
              <w:rPr>
                <w:rFonts w:cs="Arial"/>
                <w:sz w:val="22"/>
                <w:szCs w:val="22"/>
                <w:lang w:eastAsia="en-GB"/>
              </w:rPr>
            </w:pPr>
            <w:r w:rsidRPr="00262CE6">
              <w:rPr>
                <w:rFonts w:cs="Arial"/>
                <w:sz w:val="22"/>
                <w:szCs w:val="22"/>
                <w:lang w:eastAsia="en-GB"/>
              </w:rPr>
              <w:t>83</w:t>
            </w:r>
          </w:p>
        </w:tc>
        <w:tc>
          <w:tcPr>
            <w:tcW w:w="1142" w:type="dxa"/>
            <w:tcBorders>
              <w:top w:val="nil"/>
              <w:left w:val="nil"/>
              <w:bottom w:val="nil"/>
              <w:right w:val="single" w:sz="4" w:space="0" w:color="auto"/>
            </w:tcBorders>
            <w:shd w:val="clear" w:color="000000" w:fill="FFFFFF"/>
            <w:noWrap/>
            <w:vAlign w:val="bottom"/>
            <w:hideMark/>
          </w:tcPr>
          <w:p w14:paraId="041508CD" w14:textId="77777777" w:rsidR="00262CE6" w:rsidRPr="00262CE6" w:rsidRDefault="00262CE6" w:rsidP="00262CE6">
            <w:pPr>
              <w:jc w:val="right"/>
              <w:rPr>
                <w:rFonts w:cs="Arial"/>
                <w:sz w:val="22"/>
                <w:szCs w:val="22"/>
                <w:lang w:eastAsia="en-GB"/>
              </w:rPr>
            </w:pPr>
            <w:r w:rsidRPr="00262CE6">
              <w:rPr>
                <w:rFonts w:cs="Arial"/>
                <w:sz w:val="22"/>
                <w:szCs w:val="22"/>
                <w:lang w:eastAsia="en-GB"/>
              </w:rPr>
              <w:t>63</w:t>
            </w:r>
          </w:p>
        </w:tc>
      </w:tr>
      <w:tr w:rsidR="00262CE6" w:rsidRPr="00262CE6" w14:paraId="2B6CFE4E"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1E642D0A" w14:textId="77777777" w:rsidR="00262CE6" w:rsidRPr="00262CE6" w:rsidRDefault="00262CE6" w:rsidP="00262CE6">
            <w:pPr>
              <w:rPr>
                <w:rFonts w:cs="Arial"/>
                <w:sz w:val="22"/>
                <w:szCs w:val="22"/>
                <w:lang w:eastAsia="en-GB"/>
              </w:rPr>
            </w:pPr>
            <w:r w:rsidRPr="00262CE6">
              <w:rPr>
                <w:rFonts w:cs="Arial"/>
                <w:sz w:val="22"/>
                <w:szCs w:val="22"/>
                <w:lang w:eastAsia="en-GB"/>
              </w:rPr>
              <w:t>Rural Payments Agency</w:t>
            </w:r>
          </w:p>
        </w:tc>
        <w:tc>
          <w:tcPr>
            <w:tcW w:w="1284" w:type="dxa"/>
            <w:tcBorders>
              <w:top w:val="nil"/>
              <w:left w:val="nil"/>
              <w:bottom w:val="nil"/>
              <w:right w:val="nil"/>
            </w:tcBorders>
            <w:shd w:val="clear" w:color="000000" w:fill="FFFFFF"/>
            <w:noWrap/>
            <w:vAlign w:val="bottom"/>
            <w:hideMark/>
          </w:tcPr>
          <w:p w14:paraId="04209A33" w14:textId="77777777" w:rsidR="00262CE6" w:rsidRPr="00262CE6" w:rsidRDefault="00262CE6" w:rsidP="00262CE6">
            <w:pPr>
              <w:jc w:val="right"/>
              <w:rPr>
                <w:rFonts w:cs="Arial"/>
                <w:sz w:val="22"/>
                <w:szCs w:val="22"/>
                <w:lang w:eastAsia="en-GB"/>
              </w:rPr>
            </w:pPr>
            <w:r w:rsidRPr="00262CE6">
              <w:rPr>
                <w:rFonts w:cs="Arial"/>
                <w:sz w:val="22"/>
                <w:szCs w:val="22"/>
                <w:lang w:eastAsia="en-GB"/>
              </w:rPr>
              <w:t>51</w:t>
            </w:r>
          </w:p>
        </w:tc>
        <w:tc>
          <w:tcPr>
            <w:tcW w:w="1142" w:type="dxa"/>
            <w:tcBorders>
              <w:top w:val="nil"/>
              <w:left w:val="nil"/>
              <w:bottom w:val="nil"/>
              <w:right w:val="single" w:sz="4" w:space="0" w:color="auto"/>
            </w:tcBorders>
            <w:shd w:val="clear" w:color="000000" w:fill="FFFFFF"/>
            <w:noWrap/>
            <w:vAlign w:val="bottom"/>
            <w:hideMark/>
          </w:tcPr>
          <w:p w14:paraId="71C84787" w14:textId="77777777" w:rsidR="00262CE6" w:rsidRPr="00262CE6" w:rsidRDefault="00262CE6" w:rsidP="00262CE6">
            <w:pPr>
              <w:jc w:val="right"/>
              <w:rPr>
                <w:rFonts w:cs="Arial"/>
                <w:sz w:val="22"/>
                <w:szCs w:val="22"/>
                <w:lang w:eastAsia="en-GB"/>
              </w:rPr>
            </w:pPr>
            <w:r w:rsidRPr="00262CE6">
              <w:rPr>
                <w:rFonts w:cs="Arial"/>
                <w:sz w:val="22"/>
                <w:szCs w:val="22"/>
                <w:lang w:eastAsia="en-GB"/>
              </w:rPr>
              <w:t>14</w:t>
            </w:r>
          </w:p>
        </w:tc>
      </w:tr>
      <w:tr w:rsidR="00262CE6" w:rsidRPr="00262CE6" w14:paraId="05ECE439"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0F64BE58" w14:textId="77777777" w:rsidR="00262CE6" w:rsidRPr="00262CE6" w:rsidRDefault="00262CE6" w:rsidP="00262CE6">
            <w:pPr>
              <w:rPr>
                <w:rFonts w:cs="Arial"/>
                <w:sz w:val="22"/>
                <w:szCs w:val="22"/>
                <w:lang w:eastAsia="en-GB"/>
              </w:rPr>
            </w:pPr>
            <w:r w:rsidRPr="00262CE6">
              <w:rPr>
                <w:rFonts w:cs="Arial"/>
                <w:sz w:val="22"/>
                <w:szCs w:val="22"/>
                <w:lang w:eastAsia="en-GB"/>
              </w:rPr>
              <w:t>National Heritage</w:t>
            </w:r>
          </w:p>
        </w:tc>
        <w:tc>
          <w:tcPr>
            <w:tcW w:w="1284" w:type="dxa"/>
            <w:tcBorders>
              <w:top w:val="nil"/>
              <w:left w:val="nil"/>
              <w:bottom w:val="nil"/>
              <w:right w:val="nil"/>
            </w:tcBorders>
            <w:shd w:val="clear" w:color="000000" w:fill="FFFFFF"/>
            <w:noWrap/>
            <w:vAlign w:val="bottom"/>
            <w:hideMark/>
          </w:tcPr>
          <w:p w14:paraId="26E6FECD" w14:textId="77777777" w:rsidR="00262CE6" w:rsidRPr="00262CE6" w:rsidRDefault="00262CE6" w:rsidP="00262CE6">
            <w:pPr>
              <w:jc w:val="right"/>
              <w:rPr>
                <w:rFonts w:cs="Arial"/>
                <w:sz w:val="22"/>
                <w:szCs w:val="22"/>
                <w:lang w:eastAsia="en-GB"/>
              </w:rPr>
            </w:pPr>
            <w:r w:rsidRPr="00262CE6">
              <w:rPr>
                <w:rFonts w:cs="Arial"/>
                <w:sz w:val="22"/>
                <w:szCs w:val="22"/>
                <w:lang w:eastAsia="en-GB"/>
              </w:rPr>
              <w:t>50</w:t>
            </w:r>
          </w:p>
        </w:tc>
        <w:tc>
          <w:tcPr>
            <w:tcW w:w="1142" w:type="dxa"/>
            <w:tcBorders>
              <w:top w:val="nil"/>
              <w:left w:val="nil"/>
              <w:bottom w:val="nil"/>
              <w:right w:val="single" w:sz="4" w:space="0" w:color="auto"/>
            </w:tcBorders>
            <w:shd w:val="clear" w:color="000000" w:fill="FFFFFF"/>
            <w:noWrap/>
            <w:vAlign w:val="bottom"/>
            <w:hideMark/>
          </w:tcPr>
          <w:p w14:paraId="06C9C73B" w14:textId="77777777" w:rsidR="00262CE6" w:rsidRPr="00262CE6" w:rsidRDefault="00262CE6" w:rsidP="00262CE6">
            <w:pPr>
              <w:jc w:val="right"/>
              <w:rPr>
                <w:rFonts w:cs="Arial"/>
                <w:sz w:val="22"/>
                <w:szCs w:val="22"/>
                <w:lang w:eastAsia="en-GB"/>
              </w:rPr>
            </w:pPr>
            <w:r w:rsidRPr="00262CE6">
              <w:rPr>
                <w:rFonts w:cs="Arial"/>
                <w:sz w:val="22"/>
                <w:szCs w:val="22"/>
                <w:lang w:eastAsia="en-GB"/>
              </w:rPr>
              <w:t>0</w:t>
            </w:r>
          </w:p>
        </w:tc>
      </w:tr>
      <w:tr w:rsidR="00262CE6" w:rsidRPr="00262CE6" w14:paraId="3C606066"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6BFC249D" w14:textId="77777777" w:rsidR="00262CE6" w:rsidRPr="00262CE6" w:rsidRDefault="00262CE6" w:rsidP="00262CE6">
            <w:pPr>
              <w:rPr>
                <w:rFonts w:cs="Arial"/>
                <w:sz w:val="22"/>
                <w:szCs w:val="22"/>
                <w:lang w:eastAsia="en-GB"/>
              </w:rPr>
            </w:pPr>
            <w:r w:rsidRPr="00262CE6">
              <w:rPr>
                <w:rFonts w:cs="Arial"/>
                <w:sz w:val="22"/>
                <w:szCs w:val="22"/>
                <w:lang w:eastAsia="en-GB"/>
              </w:rPr>
              <w:t>South Lakeland District Council</w:t>
            </w:r>
          </w:p>
        </w:tc>
        <w:tc>
          <w:tcPr>
            <w:tcW w:w="1284" w:type="dxa"/>
            <w:tcBorders>
              <w:top w:val="nil"/>
              <w:left w:val="nil"/>
              <w:bottom w:val="nil"/>
              <w:right w:val="nil"/>
            </w:tcBorders>
            <w:shd w:val="clear" w:color="000000" w:fill="FFFFFF"/>
            <w:noWrap/>
            <w:vAlign w:val="bottom"/>
            <w:hideMark/>
          </w:tcPr>
          <w:p w14:paraId="431586EF" w14:textId="77777777" w:rsidR="00262CE6" w:rsidRPr="00262CE6" w:rsidRDefault="00262CE6" w:rsidP="00262CE6">
            <w:pPr>
              <w:jc w:val="right"/>
              <w:rPr>
                <w:rFonts w:cs="Arial"/>
                <w:sz w:val="22"/>
                <w:szCs w:val="22"/>
                <w:lang w:eastAsia="en-GB"/>
              </w:rPr>
            </w:pPr>
            <w:r w:rsidRPr="00262CE6">
              <w:rPr>
                <w:rFonts w:cs="Arial"/>
                <w:sz w:val="22"/>
                <w:szCs w:val="22"/>
                <w:lang w:eastAsia="en-GB"/>
              </w:rPr>
              <w:t>45</w:t>
            </w:r>
          </w:p>
        </w:tc>
        <w:tc>
          <w:tcPr>
            <w:tcW w:w="1142" w:type="dxa"/>
            <w:tcBorders>
              <w:top w:val="nil"/>
              <w:left w:val="nil"/>
              <w:bottom w:val="nil"/>
              <w:right w:val="single" w:sz="4" w:space="0" w:color="auto"/>
            </w:tcBorders>
            <w:shd w:val="clear" w:color="000000" w:fill="FFFFFF"/>
            <w:noWrap/>
            <w:vAlign w:val="bottom"/>
            <w:hideMark/>
          </w:tcPr>
          <w:p w14:paraId="2BE647E1" w14:textId="77777777" w:rsidR="00262CE6" w:rsidRPr="00262CE6" w:rsidRDefault="00262CE6" w:rsidP="00262CE6">
            <w:pPr>
              <w:jc w:val="right"/>
              <w:rPr>
                <w:rFonts w:cs="Arial"/>
                <w:sz w:val="22"/>
                <w:szCs w:val="22"/>
                <w:lang w:eastAsia="en-GB"/>
              </w:rPr>
            </w:pPr>
            <w:r w:rsidRPr="00262CE6">
              <w:rPr>
                <w:rFonts w:cs="Arial"/>
                <w:sz w:val="22"/>
                <w:szCs w:val="22"/>
                <w:lang w:eastAsia="en-GB"/>
              </w:rPr>
              <w:t>60</w:t>
            </w:r>
          </w:p>
        </w:tc>
      </w:tr>
      <w:tr w:rsidR="00262CE6" w:rsidRPr="00262CE6" w14:paraId="3ECA5758"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585F04D7" w14:textId="77777777" w:rsidR="00262CE6" w:rsidRPr="00262CE6" w:rsidRDefault="00262CE6" w:rsidP="00262CE6">
            <w:pPr>
              <w:rPr>
                <w:rFonts w:cs="Arial"/>
                <w:sz w:val="22"/>
                <w:szCs w:val="22"/>
                <w:lang w:eastAsia="en-GB"/>
              </w:rPr>
            </w:pPr>
            <w:r w:rsidRPr="00262CE6">
              <w:rPr>
                <w:rFonts w:cs="Arial"/>
                <w:sz w:val="22"/>
                <w:szCs w:val="22"/>
                <w:lang w:eastAsia="en-GB"/>
              </w:rPr>
              <w:t>South Downs National Park</w:t>
            </w:r>
          </w:p>
        </w:tc>
        <w:tc>
          <w:tcPr>
            <w:tcW w:w="1284" w:type="dxa"/>
            <w:tcBorders>
              <w:top w:val="nil"/>
              <w:left w:val="nil"/>
              <w:bottom w:val="nil"/>
              <w:right w:val="nil"/>
            </w:tcBorders>
            <w:shd w:val="clear" w:color="000000" w:fill="FFFFFF"/>
            <w:noWrap/>
            <w:vAlign w:val="bottom"/>
            <w:hideMark/>
          </w:tcPr>
          <w:p w14:paraId="50499980" w14:textId="77777777" w:rsidR="00262CE6" w:rsidRPr="00262CE6" w:rsidRDefault="00262CE6" w:rsidP="00262CE6">
            <w:pPr>
              <w:jc w:val="right"/>
              <w:rPr>
                <w:rFonts w:cs="Arial"/>
                <w:sz w:val="22"/>
                <w:szCs w:val="22"/>
                <w:lang w:eastAsia="en-GB"/>
              </w:rPr>
            </w:pPr>
            <w:r w:rsidRPr="00262CE6">
              <w:rPr>
                <w:rFonts w:cs="Arial"/>
                <w:sz w:val="22"/>
                <w:szCs w:val="22"/>
                <w:lang w:eastAsia="en-GB"/>
              </w:rPr>
              <w:t>32</w:t>
            </w:r>
          </w:p>
        </w:tc>
        <w:tc>
          <w:tcPr>
            <w:tcW w:w="1142" w:type="dxa"/>
            <w:tcBorders>
              <w:top w:val="nil"/>
              <w:left w:val="nil"/>
              <w:bottom w:val="nil"/>
              <w:right w:val="single" w:sz="4" w:space="0" w:color="auto"/>
            </w:tcBorders>
            <w:shd w:val="clear" w:color="000000" w:fill="FFFFFF"/>
            <w:noWrap/>
            <w:vAlign w:val="bottom"/>
            <w:hideMark/>
          </w:tcPr>
          <w:p w14:paraId="3292A4D5" w14:textId="77777777" w:rsidR="00262CE6" w:rsidRPr="00262CE6" w:rsidRDefault="00262CE6" w:rsidP="00262CE6">
            <w:pPr>
              <w:jc w:val="right"/>
              <w:rPr>
                <w:rFonts w:cs="Arial"/>
                <w:sz w:val="22"/>
                <w:szCs w:val="22"/>
                <w:lang w:eastAsia="en-GB"/>
              </w:rPr>
            </w:pPr>
            <w:r w:rsidRPr="00262CE6">
              <w:rPr>
                <w:rFonts w:cs="Arial"/>
                <w:sz w:val="22"/>
                <w:szCs w:val="22"/>
                <w:lang w:eastAsia="en-GB"/>
              </w:rPr>
              <w:t>168</w:t>
            </w:r>
          </w:p>
        </w:tc>
      </w:tr>
      <w:tr w:rsidR="00262CE6" w:rsidRPr="00262CE6" w14:paraId="2AB7A531"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7385AE3F" w14:textId="77777777" w:rsidR="00262CE6" w:rsidRPr="00262CE6" w:rsidRDefault="00262CE6" w:rsidP="00262CE6">
            <w:pPr>
              <w:rPr>
                <w:rFonts w:cs="Arial"/>
                <w:sz w:val="22"/>
                <w:szCs w:val="22"/>
                <w:lang w:eastAsia="en-GB"/>
              </w:rPr>
            </w:pPr>
            <w:r w:rsidRPr="00262CE6">
              <w:rPr>
                <w:rFonts w:cs="Arial"/>
                <w:sz w:val="22"/>
                <w:szCs w:val="22"/>
                <w:lang w:eastAsia="en-GB"/>
              </w:rPr>
              <w:t>Forestry Commission</w:t>
            </w:r>
          </w:p>
        </w:tc>
        <w:tc>
          <w:tcPr>
            <w:tcW w:w="1284" w:type="dxa"/>
            <w:tcBorders>
              <w:top w:val="nil"/>
              <w:left w:val="nil"/>
              <w:bottom w:val="nil"/>
              <w:right w:val="nil"/>
            </w:tcBorders>
            <w:shd w:val="clear" w:color="000000" w:fill="FFFFFF"/>
            <w:noWrap/>
            <w:vAlign w:val="bottom"/>
            <w:hideMark/>
          </w:tcPr>
          <w:p w14:paraId="6A7A9A93" w14:textId="77777777" w:rsidR="00262CE6" w:rsidRPr="00262CE6" w:rsidRDefault="00262CE6" w:rsidP="00262CE6">
            <w:pPr>
              <w:jc w:val="right"/>
              <w:rPr>
                <w:rFonts w:cs="Arial"/>
                <w:sz w:val="22"/>
                <w:szCs w:val="22"/>
                <w:lang w:eastAsia="en-GB"/>
              </w:rPr>
            </w:pPr>
            <w:r w:rsidRPr="00262CE6">
              <w:rPr>
                <w:rFonts w:cs="Arial"/>
                <w:sz w:val="22"/>
                <w:szCs w:val="22"/>
                <w:lang w:eastAsia="en-GB"/>
              </w:rPr>
              <w:t>29</w:t>
            </w:r>
          </w:p>
        </w:tc>
        <w:tc>
          <w:tcPr>
            <w:tcW w:w="1142" w:type="dxa"/>
            <w:tcBorders>
              <w:top w:val="nil"/>
              <w:left w:val="nil"/>
              <w:bottom w:val="nil"/>
              <w:right w:val="single" w:sz="4" w:space="0" w:color="auto"/>
            </w:tcBorders>
            <w:shd w:val="clear" w:color="000000" w:fill="FFFFFF"/>
            <w:noWrap/>
            <w:vAlign w:val="bottom"/>
            <w:hideMark/>
          </w:tcPr>
          <w:p w14:paraId="7C88E49F" w14:textId="77777777" w:rsidR="00262CE6" w:rsidRPr="00262CE6" w:rsidRDefault="00262CE6" w:rsidP="00262CE6">
            <w:pPr>
              <w:jc w:val="right"/>
              <w:rPr>
                <w:rFonts w:cs="Arial"/>
                <w:sz w:val="22"/>
                <w:szCs w:val="22"/>
                <w:lang w:eastAsia="en-GB"/>
              </w:rPr>
            </w:pPr>
            <w:r w:rsidRPr="00262CE6">
              <w:rPr>
                <w:rFonts w:cs="Arial"/>
                <w:sz w:val="22"/>
                <w:szCs w:val="22"/>
                <w:lang w:eastAsia="en-GB"/>
              </w:rPr>
              <w:t>24</w:t>
            </w:r>
          </w:p>
        </w:tc>
      </w:tr>
      <w:tr w:rsidR="00262CE6" w:rsidRPr="00262CE6" w14:paraId="1892501B"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62492556" w14:textId="77777777" w:rsidR="00262CE6" w:rsidRPr="00262CE6" w:rsidRDefault="00262CE6" w:rsidP="00262CE6">
            <w:pPr>
              <w:rPr>
                <w:rFonts w:cs="Arial"/>
                <w:sz w:val="22"/>
                <w:szCs w:val="22"/>
                <w:lang w:eastAsia="en-GB"/>
              </w:rPr>
            </w:pPr>
            <w:r w:rsidRPr="00262CE6">
              <w:rPr>
                <w:rFonts w:cs="Arial"/>
                <w:sz w:val="22"/>
                <w:szCs w:val="22"/>
                <w:lang w:eastAsia="en-GB"/>
              </w:rPr>
              <w:t>Cumbria Action</w:t>
            </w:r>
          </w:p>
        </w:tc>
        <w:tc>
          <w:tcPr>
            <w:tcW w:w="1284" w:type="dxa"/>
            <w:tcBorders>
              <w:top w:val="nil"/>
              <w:left w:val="nil"/>
              <w:bottom w:val="nil"/>
              <w:right w:val="nil"/>
            </w:tcBorders>
            <w:shd w:val="clear" w:color="000000" w:fill="FFFFFF"/>
            <w:noWrap/>
            <w:vAlign w:val="bottom"/>
            <w:hideMark/>
          </w:tcPr>
          <w:p w14:paraId="2B2A3A99" w14:textId="77777777" w:rsidR="00262CE6" w:rsidRPr="00262CE6" w:rsidRDefault="00262CE6" w:rsidP="00262CE6">
            <w:pPr>
              <w:jc w:val="right"/>
              <w:rPr>
                <w:rFonts w:cs="Arial"/>
                <w:sz w:val="22"/>
                <w:szCs w:val="22"/>
                <w:lang w:eastAsia="en-GB"/>
              </w:rPr>
            </w:pPr>
            <w:r w:rsidRPr="00262CE6">
              <w:rPr>
                <w:rFonts w:cs="Arial"/>
                <w:sz w:val="22"/>
                <w:szCs w:val="22"/>
                <w:lang w:eastAsia="en-GB"/>
              </w:rPr>
              <w:t>21</w:t>
            </w:r>
          </w:p>
        </w:tc>
        <w:tc>
          <w:tcPr>
            <w:tcW w:w="1142" w:type="dxa"/>
            <w:tcBorders>
              <w:top w:val="nil"/>
              <w:left w:val="nil"/>
              <w:bottom w:val="nil"/>
              <w:right w:val="single" w:sz="4" w:space="0" w:color="auto"/>
            </w:tcBorders>
            <w:shd w:val="clear" w:color="000000" w:fill="FFFFFF"/>
            <w:noWrap/>
            <w:vAlign w:val="bottom"/>
            <w:hideMark/>
          </w:tcPr>
          <w:p w14:paraId="0E16B7B5" w14:textId="77777777" w:rsidR="00262CE6" w:rsidRPr="00262CE6" w:rsidRDefault="00262CE6" w:rsidP="00262CE6">
            <w:pPr>
              <w:jc w:val="right"/>
              <w:rPr>
                <w:rFonts w:cs="Arial"/>
                <w:sz w:val="22"/>
                <w:szCs w:val="22"/>
                <w:lang w:eastAsia="en-GB"/>
              </w:rPr>
            </w:pPr>
            <w:r w:rsidRPr="00262CE6">
              <w:rPr>
                <w:rFonts w:cs="Arial"/>
                <w:sz w:val="22"/>
                <w:szCs w:val="22"/>
                <w:lang w:eastAsia="en-GB"/>
              </w:rPr>
              <w:t>21</w:t>
            </w:r>
          </w:p>
        </w:tc>
      </w:tr>
      <w:tr w:rsidR="00262CE6" w:rsidRPr="00262CE6" w14:paraId="1FD4F22B"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4017DBDF" w14:textId="77777777" w:rsidR="00262CE6" w:rsidRPr="00262CE6" w:rsidRDefault="00262CE6" w:rsidP="00262CE6">
            <w:pPr>
              <w:rPr>
                <w:rFonts w:cs="Arial"/>
                <w:sz w:val="22"/>
                <w:szCs w:val="22"/>
                <w:lang w:eastAsia="en-GB"/>
              </w:rPr>
            </w:pPr>
            <w:proofErr w:type="spellStart"/>
            <w:r w:rsidRPr="00262CE6">
              <w:rPr>
                <w:rFonts w:cs="Arial"/>
                <w:sz w:val="22"/>
                <w:szCs w:val="22"/>
                <w:lang w:eastAsia="en-GB"/>
              </w:rPr>
              <w:t>Allerdale</w:t>
            </w:r>
            <w:proofErr w:type="spellEnd"/>
            <w:r w:rsidRPr="00262CE6">
              <w:rPr>
                <w:rFonts w:cs="Arial"/>
                <w:sz w:val="22"/>
                <w:szCs w:val="22"/>
                <w:lang w:eastAsia="en-GB"/>
              </w:rPr>
              <w:t xml:space="preserve"> Borough Council </w:t>
            </w:r>
          </w:p>
        </w:tc>
        <w:tc>
          <w:tcPr>
            <w:tcW w:w="1284" w:type="dxa"/>
            <w:tcBorders>
              <w:top w:val="nil"/>
              <w:left w:val="nil"/>
              <w:bottom w:val="nil"/>
              <w:right w:val="nil"/>
            </w:tcBorders>
            <w:shd w:val="clear" w:color="000000" w:fill="FFFFFF"/>
            <w:noWrap/>
            <w:vAlign w:val="bottom"/>
            <w:hideMark/>
          </w:tcPr>
          <w:p w14:paraId="6E5ADF76" w14:textId="77777777" w:rsidR="00262CE6" w:rsidRPr="00262CE6" w:rsidRDefault="00262CE6" w:rsidP="00262CE6">
            <w:pPr>
              <w:jc w:val="right"/>
              <w:rPr>
                <w:rFonts w:cs="Arial"/>
                <w:sz w:val="22"/>
                <w:szCs w:val="22"/>
                <w:lang w:eastAsia="en-GB"/>
              </w:rPr>
            </w:pPr>
            <w:r w:rsidRPr="00262CE6">
              <w:rPr>
                <w:rFonts w:cs="Arial"/>
                <w:sz w:val="22"/>
                <w:szCs w:val="22"/>
                <w:lang w:eastAsia="en-GB"/>
              </w:rPr>
              <w:t>17</w:t>
            </w:r>
          </w:p>
        </w:tc>
        <w:tc>
          <w:tcPr>
            <w:tcW w:w="1142" w:type="dxa"/>
            <w:tcBorders>
              <w:top w:val="nil"/>
              <w:left w:val="nil"/>
              <w:bottom w:val="nil"/>
              <w:right w:val="single" w:sz="4" w:space="0" w:color="auto"/>
            </w:tcBorders>
            <w:shd w:val="clear" w:color="000000" w:fill="FFFFFF"/>
            <w:noWrap/>
            <w:vAlign w:val="bottom"/>
            <w:hideMark/>
          </w:tcPr>
          <w:p w14:paraId="2F3BAFD3" w14:textId="77777777" w:rsidR="00262CE6" w:rsidRPr="00262CE6" w:rsidRDefault="00262CE6" w:rsidP="00262CE6">
            <w:pPr>
              <w:jc w:val="right"/>
              <w:rPr>
                <w:rFonts w:cs="Arial"/>
                <w:sz w:val="22"/>
                <w:szCs w:val="22"/>
                <w:lang w:eastAsia="en-GB"/>
              </w:rPr>
            </w:pPr>
            <w:r w:rsidRPr="00262CE6">
              <w:rPr>
                <w:rFonts w:cs="Arial"/>
                <w:sz w:val="22"/>
                <w:szCs w:val="22"/>
                <w:lang w:eastAsia="en-GB"/>
              </w:rPr>
              <w:t>24</w:t>
            </w:r>
          </w:p>
        </w:tc>
      </w:tr>
      <w:tr w:rsidR="00262CE6" w:rsidRPr="00262CE6" w14:paraId="134607D9"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475B1E28" w14:textId="6B7363AB" w:rsidR="00262CE6" w:rsidRPr="00262CE6" w:rsidRDefault="00262CE6" w:rsidP="00262CE6">
            <w:pPr>
              <w:rPr>
                <w:rFonts w:cs="Arial"/>
                <w:sz w:val="22"/>
                <w:szCs w:val="22"/>
                <w:lang w:eastAsia="en-GB"/>
              </w:rPr>
            </w:pPr>
            <w:proofErr w:type="spellStart"/>
            <w:r w:rsidRPr="00262CE6">
              <w:rPr>
                <w:rFonts w:cs="Arial"/>
                <w:sz w:val="22"/>
                <w:szCs w:val="22"/>
                <w:lang w:eastAsia="en-GB"/>
              </w:rPr>
              <w:t>Fipl</w:t>
            </w:r>
            <w:proofErr w:type="spellEnd"/>
            <w:r w:rsidRPr="00262CE6">
              <w:rPr>
                <w:rFonts w:cs="Arial"/>
                <w:sz w:val="22"/>
                <w:szCs w:val="22"/>
                <w:lang w:eastAsia="en-GB"/>
              </w:rPr>
              <w:t xml:space="preserve"> </w:t>
            </w:r>
            <w:r w:rsidR="008425B2">
              <w:rPr>
                <w:rFonts w:cs="Arial"/>
                <w:sz w:val="22"/>
                <w:szCs w:val="22"/>
                <w:lang w:eastAsia="en-GB"/>
              </w:rPr>
              <w:t>LDNPA schemes</w:t>
            </w:r>
          </w:p>
        </w:tc>
        <w:tc>
          <w:tcPr>
            <w:tcW w:w="1284" w:type="dxa"/>
            <w:tcBorders>
              <w:top w:val="nil"/>
              <w:left w:val="nil"/>
              <w:bottom w:val="nil"/>
              <w:right w:val="nil"/>
            </w:tcBorders>
            <w:shd w:val="clear" w:color="000000" w:fill="FFFFFF"/>
            <w:noWrap/>
            <w:vAlign w:val="bottom"/>
            <w:hideMark/>
          </w:tcPr>
          <w:p w14:paraId="0DA0C9C3" w14:textId="77777777" w:rsidR="00262CE6" w:rsidRPr="00262CE6" w:rsidRDefault="00262CE6" w:rsidP="00262CE6">
            <w:pPr>
              <w:jc w:val="right"/>
              <w:rPr>
                <w:rFonts w:cs="Arial"/>
                <w:sz w:val="22"/>
                <w:szCs w:val="22"/>
                <w:lang w:eastAsia="en-GB"/>
              </w:rPr>
            </w:pPr>
            <w:r w:rsidRPr="00262CE6">
              <w:rPr>
                <w:rFonts w:cs="Arial"/>
                <w:sz w:val="22"/>
                <w:szCs w:val="22"/>
                <w:lang w:eastAsia="en-GB"/>
              </w:rPr>
              <w:t>13</w:t>
            </w:r>
          </w:p>
        </w:tc>
        <w:tc>
          <w:tcPr>
            <w:tcW w:w="1142" w:type="dxa"/>
            <w:tcBorders>
              <w:top w:val="nil"/>
              <w:left w:val="nil"/>
              <w:bottom w:val="nil"/>
              <w:right w:val="single" w:sz="4" w:space="0" w:color="auto"/>
            </w:tcBorders>
            <w:shd w:val="clear" w:color="000000" w:fill="FFFFFF"/>
            <w:noWrap/>
            <w:vAlign w:val="bottom"/>
            <w:hideMark/>
          </w:tcPr>
          <w:p w14:paraId="6C690086" w14:textId="77777777" w:rsidR="00262CE6" w:rsidRPr="00262CE6" w:rsidRDefault="00262CE6" w:rsidP="00262CE6">
            <w:pPr>
              <w:jc w:val="right"/>
              <w:rPr>
                <w:rFonts w:cs="Arial"/>
                <w:sz w:val="22"/>
                <w:szCs w:val="22"/>
                <w:lang w:eastAsia="en-GB"/>
              </w:rPr>
            </w:pPr>
            <w:r w:rsidRPr="00262CE6">
              <w:rPr>
                <w:rFonts w:cs="Arial"/>
                <w:sz w:val="22"/>
                <w:szCs w:val="22"/>
                <w:lang w:eastAsia="en-GB"/>
              </w:rPr>
              <w:t>200</w:t>
            </w:r>
          </w:p>
        </w:tc>
      </w:tr>
      <w:tr w:rsidR="00262CE6" w:rsidRPr="00262CE6" w14:paraId="4E2C42AB"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00A7CA5B" w14:textId="77777777" w:rsidR="00262CE6" w:rsidRPr="00262CE6" w:rsidRDefault="00262CE6" w:rsidP="00262CE6">
            <w:pPr>
              <w:rPr>
                <w:rFonts w:cs="Arial"/>
                <w:sz w:val="22"/>
                <w:szCs w:val="22"/>
                <w:lang w:eastAsia="en-GB"/>
              </w:rPr>
            </w:pPr>
            <w:r w:rsidRPr="00262CE6">
              <w:rPr>
                <w:rFonts w:cs="Arial"/>
                <w:sz w:val="22"/>
                <w:szCs w:val="22"/>
                <w:lang w:eastAsia="en-GB"/>
              </w:rPr>
              <w:t>HMRC</w:t>
            </w:r>
          </w:p>
        </w:tc>
        <w:tc>
          <w:tcPr>
            <w:tcW w:w="1284" w:type="dxa"/>
            <w:tcBorders>
              <w:top w:val="nil"/>
              <w:left w:val="nil"/>
              <w:bottom w:val="nil"/>
              <w:right w:val="nil"/>
            </w:tcBorders>
            <w:shd w:val="clear" w:color="000000" w:fill="FFFFFF"/>
            <w:noWrap/>
            <w:vAlign w:val="bottom"/>
            <w:hideMark/>
          </w:tcPr>
          <w:p w14:paraId="400AB337" w14:textId="77777777" w:rsidR="00262CE6" w:rsidRPr="00262CE6" w:rsidRDefault="00262CE6" w:rsidP="00262CE6">
            <w:pPr>
              <w:jc w:val="right"/>
              <w:rPr>
                <w:rFonts w:cs="Arial"/>
                <w:sz w:val="22"/>
                <w:szCs w:val="22"/>
                <w:lang w:eastAsia="en-GB"/>
              </w:rPr>
            </w:pPr>
            <w:r w:rsidRPr="00262CE6">
              <w:rPr>
                <w:rFonts w:cs="Arial"/>
                <w:sz w:val="22"/>
                <w:szCs w:val="22"/>
                <w:lang w:eastAsia="en-GB"/>
              </w:rPr>
              <w:t>12</w:t>
            </w:r>
          </w:p>
        </w:tc>
        <w:tc>
          <w:tcPr>
            <w:tcW w:w="1142" w:type="dxa"/>
            <w:tcBorders>
              <w:top w:val="nil"/>
              <w:left w:val="nil"/>
              <w:bottom w:val="nil"/>
              <w:right w:val="single" w:sz="4" w:space="0" w:color="auto"/>
            </w:tcBorders>
            <w:shd w:val="clear" w:color="000000" w:fill="FFFFFF"/>
            <w:noWrap/>
            <w:vAlign w:val="bottom"/>
            <w:hideMark/>
          </w:tcPr>
          <w:p w14:paraId="758A1A9F" w14:textId="77777777" w:rsidR="00262CE6" w:rsidRPr="00262CE6" w:rsidRDefault="00262CE6" w:rsidP="00262CE6">
            <w:pPr>
              <w:jc w:val="right"/>
              <w:rPr>
                <w:rFonts w:cs="Arial"/>
                <w:sz w:val="22"/>
                <w:szCs w:val="22"/>
                <w:lang w:eastAsia="en-GB"/>
              </w:rPr>
            </w:pPr>
            <w:r w:rsidRPr="00262CE6">
              <w:rPr>
                <w:rFonts w:cs="Arial"/>
                <w:sz w:val="22"/>
                <w:szCs w:val="22"/>
                <w:lang w:eastAsia="en-GB"/>
              </w:rPr>
              <w:t>0</w:t>
            </w:r>
          </w:p>
        </w:tc>
      </w:tr>
      <w:tr w:rsidR="00262CE6" w:rsidRPr="00262CE6" w14:paraId="04A71A65"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13066C2C" w14:textId="77777777" w:rsidR="00262CE6" w:rsidRPr="00262CE6" w:rsidRDefault="00262CE6" w:rsidP="00262CE6">
            <w:pPr>
              <w:rPr>
                <w:rFonts w:cs="Arial"/>
                <w:sz w:val="22"/>
                <w:szCs w:val="22"/>
                <w:lang w:eastAsia="en-GB"/>
              </w:rPr>
            </w:pPr>
            <w:r w:rsidRPr="00262CE6">
              <w:rPr>
                <w:rFonts w:cs="Arial"/>
                <w:sz w:val="22"/>
                <w:szCs w:val="22"/>
                <w:lang w:eastAsia="en-GB"/>
              </w:rPr>
              <w:t>Education &amp; Skills Funding Agency</w:t>
            </w:r>
          </w:p>
        </w:tc>
        <w:tc>
          <w:tcPr>
            <w:tcW w:w="1284" w:type="dxa"/>
            <w:tcBorders>
              <w:top w:val="nil"/>
              <w:left w:val="nil"/>
              <w:bottom w:val="nil"/>
              <w:right w:val="nil"/>
            </w:tcBorders>
            <w:shd w:val="clear" w:color="000000" w:fill="FFFFFF"/>
            <w:noWrap/>
            <w:vAlign w:val="bottom"/>
            <w:hideMark/>
          </w:tcPr>
          <w:p w14:paraId="7870837C" w14:textId="77777777" w:rsidR="00262CE6" w:rsidRPr="00262CE6" w:rsidRDefault="00262CE6" w:rsidP="00262CE6">
            <w:pPr>
              <w:jc w:val="right"/>
              <w:rPr>
                <w:rFonts w:cs="Arial"/>
                <w:sz w:val="22"/>
                <w:szCs w:val="22"/>
                <w:lang w:eastAsia="en-GB"/>
              </w:rPr>
            </w:pPr>
            <w:r w:rsidRPr="00262CE6">
              <w:rPr>
                <w:rFonts w:cs="Arial"/>
                <w:sz w:val="22"/>
                <w:szCs w:val="22"/>
                <w:lang w:eastAsia="en-GB"/>
              </w:rPr>
              <w:t>6</w:t>
            </w:r>
          </w:p>
        </w:tc>
        <w:tc>
          <w:tcPr>
            <w:tcW w:w="1142" w:type="dxa"/>
            <w:tcBorders>
              <w:top w:val="nil"/>
              <w:left w:val="nil"/>
              <w:bottom w:val="nil"/>
              <w:right w:val="single" w:sz="4" w:space="0" w:color="auto"/>
            </w:tcBorders>
            <w:shd w:val="clear" w:color="000000" w:fill="FFFFFF"/>
            <w:noWrap/>
            <w:vAlign w:val="bottom"/>
            <w:hideMark/>
          </w:tcPr>
          <w:p w14:paraId="0F713266" w14:textId="77777777" w:rsidR="00262CE6" w:rsidRPr="00262CE6" w:rsidRDefault="00262CE6" w:rsidP="00262CE6">
            <w:pPr>
              <w:jc w:val="right"/>
              <w:rPr>
                <w:rFonts w:cs="Arial"/>
                <w:sz w:val="22"/>
                <w:szCs w:val="22"/>
                <w:lang w:eastAsia="en-GB"/>
              </w:rPr>
            </w:pPr>
            <w:r w:rsidRPr="00262CE6">
              <w:rPr>
                <w:rFonts w:cs="Arial"/>
                <w:sz w:val="22"/>
                <w:szCs w:val="22"/>
                <w:lang w:eastAsia="en-GB"/>
              </w:rPr>
              <w:t>0</w:t>
            </w:r>
          </w:p>
        </w:tc>
      </w:tr>
      <w:tr w:rsidR="00262CE6" w:rsidRPr="00262CE6" w14:paraId="508331F3"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19AC5608" w14:textId="77777777" w:rsidR="00262CE6" w:rsidRPr="00262CE6" w:rsidRDefault="00262CE6" w:rsidP="00262CE6">
            <w:pPr>
              <w:rPr>
                <w:rFonts w:cs="Arial"/>
                <w:sz w:val="22"/>
                <w:szCs w:val="22"/>
                <w:lang w:eastAsia="en-GB"/>
              </w:rPr>
            </w:pPr>
            <w:r w:rsidRPr="00262CE6">
              <w:rPr>
                <w:rFonts w:cs="Arial"/>
                <w:sz w:val="22"/>
                <w:szCs w:val="22"/>
                <w:lang w:eastAsia="en-GB"/>
              </w:rPr>
              <w:t>Department Levelling Up Housing Communities</w:t>
            </w:r>
          </w:p>
        </w:tc>
        <w:tc>
          <w:tcPr>
            <w:tcW w:w="1284" w:type="dxa"/>
            <w:tcBorders>
              <w:top w:val="nil"/>
              <w:left w:val="nil"/>
              <w:bottom w:val="nil"/>
              <w:right w:val="nil"/>
            </w:tcBorders>
            <w:shd w:val="clear" w:color="000000" w:fill="FFFFFF"/>
            <w:noWrap/>
            <w:vAlign w:val="bottom"/>
            <w:hideMark/>
          </w:tcPr>
          <w:p w14:paraId="036D335F" w14:textId="77777777" w:rsidR="00262CE6" w:rsidRPr="00262CE6" w:rsidRDefault="00262CE6" w:rsidP="00262CE6">
            <w:pPr>
              <w:jc w:val="right"/>
              <w:rPr>
                <w:rFonts w:cs="Arial"/>
                <w:sz w:val="22"/>
                <w:szCs w:val="22"/>
                <w:lang w:eastAsia="en-GB"/>
              </w:rPr>
            </w:pPr>
            <w:r w:rsidRPr="00262CE6">
              <w:rPr>
                <w:rFonts w:cs="Arial"/>
                <w:sz w:val="22"/>
                <w:szCs w:val="22"/>
                <w:lang w:eastAsia="en-GB"/>
              </w:rPr>
              <w:t>6</w:t>
            </w:r>
          </w:p>
        </w:tc>
        <w:tc>
          <w:tcPr>
            <w:tcW w:w="1142" w:type="dxa"/>
            <w:tcBorders>
              <w:top w:val="nil"/>
              <w:left w:val="nil"/>
              <w:bottom w:val="nil"/>
              <w:right w:val="single" w:sz="4" w:space="0" w:color="auto"/>
            </w:tcBorders>
            <w:shd w:val="clear" w:color="000000" w:fill="FFFFFF"/>
            <w:noWrap/>
            <w:vAlign w:val="bottom"/>
            <w:hideMark/>
          </w:tcPr>
          <w:p w14:paraId="0F587B69" w14:textId="77777777" w:rsidR="00262CE6" w:rsidRPr="00262CE6" w:rsidRDefault="00262CE6" w:rsidP="00262CE6">
            <w:pPr>
              <w:jc w:val="right"/>
              <w:rPr>
                <w:rFonts w:cs="Arial"/>
                <w:sz w:val="22"/>
                <w:szCs w:val="22"/>
                <w:lang w:eastAsia="en-GB"/>
              </w:rPr>
            </w:pPr>
            <w:r w:rsidRPr="00262CE6">
              <w:rPr>
                <w:rFonts w:cs="Arial"/>
                <w:sz w:val="22"/>
                <w:szCs w:val="22"/>
                <w:lang w:eastAsia="en-GB"/>
              </w:rPr>
              <w:t>127</w:t>
            </w:r>
          </w:p>
        </w:tc>
      </w:tr>
      <w:tr w:rsidR="00262CE6" w:rsidRPr="00262CE6" w14:paraId="562B54DB"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54202A11" w14:textId="77777777" w:rsidR="00262CE6" w:rsidRPr="00262CE6" w:rsidRDefault="00262CE6" w:rsidP="00262CE6">
            <w:pPr>
              <w:rPr>
                <w:rFonts w:cs="Arial"/>
                <w:sz w:val="22"/>
                <w:szCs w:val="22"/>
                <w:lang w:eastAsia="en-GB"/>
              </w:rPr>
            </w:pPr>
            <w:r w:rsidRPr="00262CE6">
              <w:rPr>
                <w:rFonts w:cs="Arial"/>
                <w:sz w:val="22"/>
                <w:szCs w:val="22"/>
                <w:lang w:eastAsia="en-GB"/>
              </w:rPr>
              <w:t>Historic England Total</w:t>
            </w:r>
          </w:p>
        </w:tc>
        <w:tc>
          <w:tcPr>
            <w:tcW w:w="1284" w:type="dxa"/>
            <w:tcBorders>
              <w:top w:val="nil"/>
              <w:left w:val="nil"/>
              <w:bottom w:val="nil"/>
              <w:right w:val="nil"/>
            </w:tcBorders>
            <w:shd w:val="clear" w:color="000000" w:fill="FFFFFF"/>
            <w:noWrap/>
            <w:vAlign w:val="bottom"/>
            <w:hideMark/>
          </w:tcPr>
          <w:p w14:paraId="70FAB281" w14:textId="77777777" w:rsidR="00262CE6" w:rsidRPr="00262CE6" w:rsidRDefault="00262CE6" w:rsidP="00262CE6">
            <w:pPr>
              <w:jc w:val="right"/>
              <w:rPr>
                <w:rFonts w:cs="Arial"/>
                <w:sz w:val="22"/>
                <w:szCs w:val="22"/>
                <w:lang w:eastAsia="en-GB"/>
              </w:rPr>
            </w:pPr>
            <w:r w:rsidRPr="00262CE6">
              <w:rPr>
                <w:rFonts w:cs="Arial"/>
                <w:sz w:val="22"/>
                <w:szCs w:val="22"/>
                <w:lang w:eastAsia="en-GB"/>
              </w:rPr>
              <w:t>2</w:t>
            </w:r>
          </w:p>
        </w:tc>
        <w:tc>
          <w:tcPr>
            <w:tcW w:w="1142" w:type="dxa"/>
            <w:tcBorders>
              <w:top w:val="nil"/>
              <w:left w:val="nil"/>
              <w:bottom w:val="nil"/>
              <w:right w:val="single" w:sz="4" w:space="0" w:color="auto"/>
            </w:tcBorders>
            <w:shd w:val="clear" w:color="000000" w:fill="FFFFFF"/>
            <w:noWrap/>
            <w:vAlign w:val="bottom"/>
            <w:hideMark/>
          </w:tcPr>
          <w:p w14:paraId="5C9EE105" w14:textId="77777777" w:rsidR="00262CE6" w:rsidRPr="00262CE6" w:rsidRDefault="00262CE6" w:rsidP="00262CE6">
            <w:pPr>
              <w:jc w:val="right"/>
              <w:rPr>
                <w:rFonts w:cs="Arial"/>
                <w:sz w:val="22"/>
                <w:szCs w:val="22"/>
                <w:lang w:eastAsia="en-GB"/>
              </w:rPr>
            </w:pPr>
            <w:r w:rsidRPr="00262CE6">
              <w:rPr>
                <w:rFonts w:cs="Arial"/>
                <w:sz w:val="22"/>
                <w:szCs w:val="22"/>
                <w:lang w:eastAsia="en-GB"/>
              </w:rPr>
              <w:t>0</w:t>
            </w:r>
          </w:p>
        </w:tc>
      </w:tr>
      <w:tr w:rsidR="00262CE6" w:rsidRPr="00262CE6" w14:paraId="337F7500"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57633FCE" w14:textId="77777777" w:rsidR="00262CE6" w:rsidRPr="00262CE6" w:rsidRDefault="00262CE6" w:rsidP="00262CE6">
            <w:pPr>
              <w:rPr>
                <w:rFonts w:cs="Arial"/>
                <w:sz w:val="22"/>
                <w:szCs w:val="22"/>
                <w:lang w:eastAsia="en-GB"/>
              </w:rPr>
            </w:pPr>
            <w:r w:rsidRPr="00262CE6">
              <w:rPr>
                <w:rFonts w:cs="Arial"/>
                <w:sz w:val="22"/>
                <w:szCs w:val="22"/>
                <w:lang w:eastAsia="en-GB"/>
              </w:rPr>
              <w:t>Heritage Lottery</w:t>
            </w:r>
          </w:p>
        </w:tc>
        <w:tc>
          <w:tcPr>
            <w:tcW w:w="1284" w:type="dxa"/>
            <w:tcBorders>
              <w:top w:val="nil"/>
              <w:left w:val="nil"/>
              <w:bottom w:val="nil"/>
              <w:right w:val="nil"/>
            </w:tcBorders>
            <w:shd w:val="clear" w:color="000000" w:fill="FFFFFF"/>
            <w:noWrap/>
            <w:vAlign w:val="bottom"/>
            <w:hideMark/>
          </w:tcPr>
          <w:p w14:paraId="1593B168" w14:textId="77777777" w:rsidR="00262CE6" w:rsidRPr="00262CE6" w:rsidRDefault="00262CE6" w:rsidP="00262CE6">
            <w:pPr>
              <w:jc w:val="right"/>
              <w:rPr>
                <w:rFonts w:cs="Arial"/>
                <w:sz w:val="22"/>
                <w:szCs w:val="22"/>
                <w:lang w:eastAsia="en-GB"/>
              </w:rPr>
            </w:pPr>
            <w:r w:rsidRPr="00262CE6">
              <w:rPr>
                <w:rFonts w:cs="Arial"/>
                <w:sz w:val="22"/>
                <w:szCs w:val="22"/>
                <w:lang w:eastAsia="en-GB"/>
              </w:rPr>
              <w:t>0</w:t>
            </w:r>
          </w:p>
        </w:tc>
        <w:tc>
          <w:tcPr>
            <w:tcW w:w="1142" w:type="dxa"/>
            <w:tcBorders>
              <w:top w:val="nil"/>
              <w:left w:val="nil"/>
              <w:bottom w:val="nil"/>
              <w:right w:val="single" w:sz="4" w:space="0" w:color="auto"/>
            </w:tcBorders>
            <w:shd w:val="clear" w:color="000000" w:fill="FFFFFF"/>
            <w:noWrap/>
            <w:vAlign w:val="bottom"/>
            <w:hideMark/>
          </w:tcPr>
          <w:p w14:paraId="5E09A803" w14:textId="77777777" w:rsidR="00262CE6" w:rsidRPr="00262CE6" w:rsidRDefault="00262CE6" w:rsidP="00262CE6">
            <w:pPr>
              <w:jc w:val="right"/>
              <w:rPr>
                <w:rFonts w:cs="Arial"/>
                <w:sz w:val="22"/>
                <w:szCs w:val="22"/>
                <w:lang w:eastAsia="en-GB"/>
              </w:rPr>
            </w:pPr>
            <w:r w:rsidRPr="00262CE6">
              <w:rPr>
                <w:rFonts w:cs="Arial"/>
                <w:sz w:val="22"/>
                <w:szCs w:val="22"/>
                <w:lang w:eastAsia="en-GB"/>
              </w:rPr>
              <w:t>0</w:t>
            </w:r>
          </w:p>
        </w:tc>
      </w:tr>
      <w:tr w:rsidR="00262CE6" w:rsidRPr="00262CE6" w14:paraId="601C78EE"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3BB848C8" w14:textId="77777777" w:rsidR="00262CE6" w:rsidRPr="00262CE6" w:rsidRDefault="00262CE6" w:rsidP="00262CE6">
            <w:pPr>
              <w:rPr>
                <w:rFonts w:cs="Arial"/>
                <w:sz w:val="22"/>
                <w:szCs w:val="22"/>
                <w:lang w:eastAsia="en-GB"/>
              </w:rPr>
            </w:pPr>
            <w:r w:rsidRPr="00262CE6">
              <w:rPr>
                <w:rFonts w:cs="Arial"/>
                <w:sz w:val="22"/>
                <w:szCs w:val="22"/>
                <w:lang w:eastAsia="en-GB"/>
              </w:rPr>
              <w:t>ESIF</w:t>
            </w:r>
          </w:p>
        </w:tc>
        <w:tc>
          <w:tcPr>
            <w:tcW w:w="1284" w:type="dxa"/>
            <w:tcBorders>
              <w:top w:val="nil"/>
              <w:left w:val="nil"/>
              <w:bottom w:val="nil"/>
              <w:right w:val="nil"/>
            </w:tcBorders>
            <w:shd w:val="clear" w:color="000000" w:fill="FFFFFF"/>
            <w:noWrap/>
            <w:vAlign w:val="bottom"/>
            <w:hideMark/>
          </w:tcPr>
          <w:p w14:paraId="27CCFAF2" w14:textId="77777777" w:rsidR="00262CE6" w:rsidRPr="00262CE6" w:rsidRDefault="00262CE6" w:rsidP="00262CE6">
            <w:pPr>
              <w:jc w:val="right"/>
              <w:rPr>
                <w:rFonts w:cs="Arial"/>
                <w:sz w:val="22"/>
                <w:szCs w:val="22"/>
                <w:lang w:eastAsia="en-GB"/>
              </w:rPr>
            </w:pPr>
            <w:r w:rsidRPr="00262CE6">
              <w:rPr>
                <w:rFonts w:cs="Arial"/>
                <w:sz w:val="22"/>
                <w:szCs w:val="22"/>
                <w:lang w:eastAsia="en-GB"/>
              </w:rPr>
              <w:t>0</w:t>
            </w:r>
          </w:p>
        </w:tc>
        <w:tc>
          <w:tcPr>
            <w:tcW w:w="1142" w:type="dxa"/>
            <w:tcBorders>
              <w:top w:val="nil"/>
              <w:left w:val="nil"/>
              <w:bottom w:val="nil"/>
              <w:right w:val="single" w:sz="4" w:space="0" w:color="auto"/>
            </w:tcBorders>
            <w:shd w:val="clear" w:color="000000" w:fill="FFFFFF"/>
            <w:noWrap/>
            <w:vAlign w:val="bottom"/>
            <w:hideMark/>
          </w:tcPr>
          <w:p w14:paraId="7DC3EB07" w14:textId="77777777" w:rsidR="00262CE6" w:rsidRPr="00262CE6" w:rsidRDefault="00262CE6" w:rsidP="00262CE6">
            <w:pPr>
              <w:jc w:val="right"/>
              <w:rPr>
                <w:rFonts w:cs="Arial"/>
                <w:sz w:val="22"/>
                <w:szCs w:val="22"/>
                <w:lang w:eastAsia="en-GB"/>
              </w:rPr>
            </w:pPr>
            <w:r w:rsidRPr="00262CE6">
              <w:rPr>
                <w:rFonts w:cs="Arial"/>
                <w:sz w:val="22"/>
                <w:szCs w:val="22"/>
                <w:lang w:eastAsia="en-GB"/>
              </w:rPr>
              <w:t>12</w:t>
            </w:r>
          </w:p>
        </w:tc>
      </w:tr>
      <w:tr w:rsidR="00262CE6" w:rsidRPr="00262CE6" w14:paraId="58227FC7"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3F58395F" w14:textId="77777777" w:rsidR="00262CE6" w:rsidRPr="00262CE6" w:rsidRDefault="00262CE6" w:rsidP="00262CE6">
            <w:pPr>
              <w:rPr>
                <w:rFonts w:cs="Arial"/>
                <w:sz w:val="22"/>
                <w:szCs w:val="22"/>
                <w:lang w:eastAsia="en-GB"/>
              </w:rPr>
            </w:pPr>
            <w:r w:rsidRPr="00262CE6">
              <w:rPr>
                <w:rFonts w:cs="Arial"/>
                <w:sz w:val="22"/>
                <w:szCs w:val="22"/>
                <w:lang w:eastAsia="en-GB"/>
              </w:rPr>
              <w:t>Other Grants &amp; Contributions less than £10,000</w:t>
            </w:r>
          </w:p>
        </w:tc>
        <w:tc>
          <w:tcPr>
            <w:tcW w:w="1284" w:type="dxa"/>
            <w:tcBorders>
              <w:top w:val="nil"/>
              <w:left w:val="nil"/>
              <w:bottom w:val="nil"/>
              <w:right w:val="nil"/>
            </w:tcBorders>
            <w:shd w:val="clear" w:color="000000" w:fill="FFFFFF"/>
            <w:noWrap/>
            <w:vAlign w:val="bottom"/>
            <w:hideMark/>
          </w:tcPr>
          <w:p w14:paraId="369DD578" w14:textId="77777777" w:rsidR="00262CE6" w:rsidRPr="00262CE6" w:rsidRDefault="00262CE6" w:rsidP="00262CE6">
            <w:pPr>
              <w:jc w:val="right"/>
              <w:rPr>
                <w:rFonts w:cs="Arial"/>
                <w:sz w:val="22"/>
                <w:szCs w:val="22"/>
                <w:lang w:eastAsia="en-GB"/>
              </w:rPr>
            </w:pPr>
            <w:r w:rsidRPr="00262CE6">
              <w:rPr>
                <w:rFonts w:cs="Arial"/>
                <w:sz w:val="22"/>
                <w:szCs w:val="22"/>
                <w:lang w:eastAsia="en-GB"/>
              </w:rPr>
              <w:t>39</w:t>
            </w:r>
          </w:p>
        </w:tc>
        <w:tc>
          <w:tcPr>
            <w:tcW w:w="1142" w:type="dxa"/>
            <w:tcBorders>
              <w:top w:val="nil"/>
              <w:left w:val="nil"/>
              <w:bottom w:val="nil"/>
              <w:right w:val="single" w:sz="4" w:space="0" w:color="auto"/>
            </w:tcBorders>
            <w:shd w:val="clear" w:color="000000" w:fill="FFFFFF"/>
            <w:noWrap/>
            <w:vAlign w:val="bottom"/>
            <w:hideMark/>
          </w:tcPr>
          <w:p w14:paraId="60131BE8" w14:textId="77777777" w:rsidR="00262CE6" w:rsidRPr="00262CE6" w:rsidRDefault="00262CE6" w:rsidP="00262CE6">
            <w:pPr>
              <w:jc w:val="right"/>
              <w:rPr>
                <w:rFonts w:cs="Arial"/>
                <w:sz w:val="22"/>
                <w:szCs w:val="22"/>
                <w:lang w:eastAsia="en-GB"/>
              </w:rPr>
            </w:pPr>
            <w:r w:rsidRPr="00262CE6">
              <w:rPr>
                <w:rFonts w:cs="Arial"/>
                <w:sz w:val="22"/>
                <w:szCs w:val="22"/>
                <w:lang w:eastAsia="en-GB"/>
              </w:rPr>
              <w:t>51</w:t>
            </w:r>
          </w:p>
        </w:tc>
      </w:tr>
      <w:tr w:rsidR="00262CE6" w:rsidRPr="00262CE6" w14:paraId="7C2858E2"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3E8CCFBB" w14:textId="77777777" w:rsidR="00262CE6" w:rsidRPr="00262CE6" w:rsidRDefault="00262CE6" w:rsidP="00262CE6">
            <w:pPr>
              <w:rPr>
                <w:rFonts w:cs="Arial"/>
                <w:sz w:val="22"/>
                <w:szCs w:val="22"/>
                <w:lang w:eastAsia="en-GB"/>
              </w:rPr>
            </w:pPr>
            <w:r w:rsidRPr="00262CE6">
              <w:rPr>
                <w:rFonts w:cs="Arial"/>
                <w:sz w:val="22"/>
                <w:szCs w:val="22"/>
                <w:lang w:eastAsia="en-GB"/>
              </w:rPr>
              <w:t>National Grid</w:t>
            </w:r>
          </w:p>
        </w:tc>
        <w:tc>
          <w:tcPr>
            <w:tcW w:w="1284" w:type="dxa"/>
            <w:tcBorders>
              <w:top w:val="nil"/>
              <w:left w:val="nil"/>
              <w:bottom w:val="nil"/>
              <w:right w:val="nil"/>
            </w:tcBorders>
            <w:shd w:val="clear" w:color="000000" w:fill="FFFFFF"/>
            <w:noWrap/>
            <w:vAlign w:val="bottom"/>
            <w:hideMark/>
          </w:tcPr>
          <w:p w14:paraId="3B0A1BFD" w14:textId="77777777" w:rsidR="00262CE6" w:rsidRPr="00262CE6" w:rsidRDefault="00262CE6" w:rsidP="00262CE6">
            <w:pPr>
              <w:jc w:val="right"/>
              <w:rPr>
                <w:rFonts w:cs="Arial"/>
                <w:sz w:val="22"/>
                <w:szCs w:val="22"/>
                <w:lang w:eastAsia="en-GB"/>
              </w:rPr>
            </w:pPr>
            <w:r w:rsidRPr="00262CE6">
              <w:rPr>
                <w:rFonts w:cs="Arial"/>
                <w:sz w:val="22"/>
                <w:szCs w:val="22"/>
                <w:lang w:eastAsia="en-GB"/>
              </w:rPr>
              <w:t>0</w:t>
            </w:r>
          </w:p>
        </w:tc>
        <w:tc>
          <w:tcPr>
            <w:tcW w:w="1142" w:type="dxa"/>
            <w:tcBorders>
              <w:top w:val="nil"/>
              <w:left w:val="nil"/>
              <w:bottom w:val="nil"/>
              <w:right w:val="single" w:sz="4" w:space="0" w:color="auto"/>
            </w:tcBorders>
            <w:shd w:val="clear" w:color="000000" w:fill="FFFFFF"/>
            <w:noWrap/>
            <w:vAlign w:val="bottom"/>
            <w:hideMark/>
          </w:tcPr>
          <w:p w14:paraId="0DE097B3" w14:textId="77777777" w:rsidR="00262CE6" w:rsidRPr="00262CE6" w:rsidRDefault="00262CE6" w:rsidP="00262CE6">
            <w:pPr>
              <w:jc w:val="right"/>
              <w:rPr>
                <w:rFonts w:cs="Arial"/>
                <w:sz w:val="22"/>
                <w:szCs w:val="22"/>
                <w:lang w:eastAsia="en-GB"/>
              </w:rPr>
            </w:pPr>
            <w:r w:rsidRPr="00262CE6">
              <w:rPr>
                <w:rFonts w:cs="Arial"/>
                <w:sz w:val="22"/>
                <w:szCs w:val="22"/>
                <w:lang w:eastAsia="en-GB"/>
              </w:rPr>
              <w:t>300</w:t>
            </w:r>
          </w:p>
        </w:tc>
      </w:tr>
      <w:tr w:rsidR="00262CE6" w:rsidRPr="00262CE6" w14:paraId="392C7A79"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32E6D269" w14:textId="77777777" w:rsidR="00262CE6" w:rsidRPr="00262CE6" w:rsidRDefault="00262CE6" w:rsidP="00262CE6">
            <w:pPr>
              <w:rPr>
                <w:rFonts w:cs="Arial"/>
                <w:sz w:val="22"/>
                <w:szCs w:val="22"/>
                <w:lang w:eastAsia="en-GB"/>
              </w:rPr>
            </w:pPr>
            <w:r w:rsidRPr="00262CE6">
              <w:rPr>
                <w:rFonts w:cs="Arial"/>
                <w:sz w:val="22"/>
                <w:szCs w:val="22"/>
                <w:lang w:eastAsia="en-GB"/>
              </w:rPr>
              <w:t>Woodland Trust</w:t>
            </w:r>
          </w:p>
        </w:tc>
        <w:tc>
          <w:tcPr>
            <w:tcW w:w="1284" w:type="dxa"/>
            <w:tcBorders>
              <w:top w:val="nil"/>
              <w:left w:val="nil"/>
              <w:bottom w:val="nil"/>
              <w:right w:val="nil"/>
            </w:tcBorders>
            <w:shd w:val="clear" w:color="000000" w:fill="FFFFFF"/>
            <w:noWrap/>
            <w:vAlign w:val="bottom"/>
            <w:hideMark/>
          </w:tcPr>
          <w:p w14:paraId="5C22C6CE" w14:textId="77777777" w:rsidR="00262CE6" w:rsidRPr="00262CE6" w:rsidRDefault="00262CE6" w:rsidP="00262CE6">
            <w:pPr>
              <w:jc w:val="right"/>
              <w:rPr>
                <w:rFonts w:cs="Arial"/>
                <w:sz w:val="22"/>
                <w:szCs w:val="22"/>
                <w:lang w:eastAsia="en-GB"/>
              </w:rPr>
            </w:pPr>
            <w:r w:rsidRPr="00262CE6">
              <w:rPr>
                <w:rFonts w:cs="Arial"/>
                <w:sz w:val="22"/>
                <w:szCs w:val="22"/>
                <w:lang w:eastAsia="en-GB"/>
              </w:rPr>
              <w:t>0</w:t>
            </w:r>
          </w:p>
        </w:tc>
        <w:tc>
          <w:tcPr>
            <w:tcW w:w="1142" w:type="dxa"/>
            <w:tcBorders>
              <w:top w:val="nil"/>
              <w:left w:val="nil"/>
              <w:bottom w:val="nil"/>
              <w:right w:val="single" w:sz="4" w:space="0" w:color="auto"/>
            </w:tcBorders>
            <w:shd w:val="clear" w:color="000000" w:fill="FFFFFF"/>
            <w:noWrap/>
            <w:vAlign w:val="bottom"/>
            <w:hideMark/>
          </w:tcPr>
          <w:p w14:paraId="3D31C3AC" w14:textId="77777777" w:rsidR="00262CE6" w:rsidRPr="00262CE6" w:rsidRDefault="00262CE6" w:rsidP="00262CE6">
            <w:pPr>
              <w:jc w:val="right"/>
              <w:rPr>
                <w:rFonts w:cs="Arial"/>
                <w:sz w:val="22"/>
                <w:szCs w:val="22"/>
                <w:lang w:eastAsia="en-GB"/>
              </w:rPr>
            </w:pPr>
            <w:r w:rsidRPr="00262CE6">
              <w:rPr>
                <w:rFonts w:cs="Arial"/>
                <w:sz w:val="22"/>
                <w:szCs w:val="22"/>
                <w:lang w:eastAsia="en-GB"/>
              </w:rPr>
              <w:t>15</w:t>
            </w:r>
          </w:p>
        </w:tc>
      </w:tr>
      <w:tr w:rsidR="00262CE6" w:rsidRPr="00262CE6" w14:paraId="23EA53D5"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7A633764" w14:textId="77777777" w:rsidR="00262CE6" w:rsidRPr="00262CE6" w:rsidRDefault="00262CE6" w:rsidP="00262CE6">
            <w:pPr>
              <w:rPr>
                <w:rFonts w:cs="Arial"/>
                <w:sz w:val="22"/>
                <w:szCs w:val="22"/>
                <w:lang w:eastAsia="en-GB"/>
              </w:rPr>
            </w:pPr>
            <w:r w:rsidRPr="00262CE6">
              <w:rPr>
                <w:rFonts w:cs="Arial"/>
                <w:sz w:val="22"/>
                <w:szCs w:val="22"/>
                <w:lang w:eastAsia="en-GB"/>
              </w:rPr>
              <w:t>Revere</w:t>
            </w:r>
          </w:p>
        </w:tc>
        <w:tc>
          <w:tcPr>
            <w:tcW w:w="1284" w:type="dxa"/>
            <w:tcBorders>
              <w:top w:val="nil"/>
              <w:left w:val="nil"/>
              <w:bottom w:val="nil"/>
              <w:right w:val="nil"/>
            </w:tcBorders>
            <w:shd w:val="clear" w:color="000000" w:fill="FFFFFF"/>
            <w:noWrap/>
            <w:vAlign w:val="bottom"/>
            <w:hideMark/>
          </w:tcPr>
          <w:p w14:paraId="4B50E373" w14:textId="77777777" w:rsidR="00262CE6" w:rsidRPr="00262CE6" w:rsidRDefault="00262CE6" w:rsidP="00262CE6">
            <w:pPr>
              <w:jc w:val="right"/>
              <w:rPr>
                <w:rFonts w:cs="Arial"/>
                <w:sz w:val="22"/>
                <w:szCs w:val="22"/>
                <w:lang w:eastAsia="en-GB"/>
              </w:rPr>
            </w:pPr>
            <w:r w:rsidRPr="00262CE6">
              <w:rPr>
                <w:rFonts w:cs="Arial"/>
                <w:sz w:val="22"/>
                <w:szCs w:val="22"/>
                <w:lang w:eastAsia="en-GB"/>
              </w:rPr>
              <w:t>0</w:t>
            </w:r>
          </w:p>
        </w:tc>
        <w:tc>
          <w:tcPr>
            <w:tcW w:w="1142" w:type="dxa"/>
            <w:tcBorders>
              <w:top w:val="nil"/>
              <w:left w:val="nil"/>
              <w:bottom w:val="nil"/>
              <w:right w:val="single" w:sz="4" w:space="0" w:color="auto"/>
            </w:tcBorders>
            <w:shd w:val="clear" w:color="000000" w:fill="FFFFFF"/>
            <w:noWrap/>
            <w:vAlign w:val="bottom"/>
            <w:hideMark/>
          </w:tcPr>
          <w:p w14:paraId="793290CF" w14:textId="77777777" w:rsidR="00262CE6" w:rsidRPr="00262CE6" w:rsidRDefault="00262CE6" w:rsidP="00262CE6">
            <w:pPr>
              <w:jc w:val="right"/>
              <w:rPr>
                <w:rFonts w:cs="Arial"/>
                <w:sz w:val="22"/>
                <w:szCs w:val="22"/>
                <w:lang w:eastAsia="en-GB"/>
              </w:rPr>
            </w:pPr>
            <w:r w:rsidRPr="00262CE6">
              <w:rPr>
                <w:rFonts w:cs="Arial"/>
                <w:sz w:val="22"/>
                <w:szCs w:val="22"/>
                <w:lang w:eastAsia="en-GB"/>
              </w:rPr>
              <w:t>68</w:t>
            </w:r>
          </w:p>
        </w:tc>
      </w:tr>
      <w:tr w:rsidR="00262CE6" w:rsidRPr="00262CE6" w14:paraId="3ECD2E30"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6F9EC4F4" w14:textId="77777777" w:rsidR="00262CE6" w:rsidRPr="00262CE6" w:rsidRDefault="00262CE6" w:rsidP="00262CE6">
            <w:pPr>
              <w:rPr>
                <w:rFonts w:cs="Arial"/>
                <w:sz w:val="22"/>
                <w:szCs w:val="22"/>
                <w:lang w:eastAsia="en-GB"/>
              </w:rPr>
            </w:pPr>
            <w:r w:rsidRPr="00262CE6">
              <w:rPr>
                <w:rFonts w:cs="Arial"/>
                <w:sz w:val="22"/>
                <w:szCs w:val="22"/>
                <w:lang w:eastAsia="en-GB"/>
              </w:rPr>
              <w:t>NDA (Nuclear Decommissioning Authority)</w:t>
            </w:r>
          </w:p>
        </w:tc>
        <w:tc>
          <w:tcPr>
            <w:tcW w:w="1284" w:type="dxa"/>
            <w:tcBorders>
              <w:top w:val="nil"/>
              <w:left w:val="nil"/>
              <w:bottom w:val="nil"/>
              <w:right w:val="nil"/>
            </w:tcBorders>
            <w:shd w:val="clear" w:color="000000" w:fill="FFFFFF"/>
            <w:noWrap/>
            <w:vAlign w:val="bottom"/>
            <w:hideMark/>
          </w:tcPr>
          <w:p w14:paraId="38F6B5C8" w14:textId="77777777" w:rsidR="00262CE6" w:rsidRPr="00262CE6" w:rsidRDefault="00262CE6" w:rsidP="00262CE6">
            <w:pPr>
              <w:jc w:val="right"/>
              <w:rPr>
                <w:rFonts w:cs="Arial"/>
                <w:sz w:val="22"/>
                <w:szCs w:val="22"/>
                <w:lang w:eastAsia="en-GB"/>
              </w:rPr>
            </w:pPr>
            <w:r w:rsidRPr="00262CE6">
              <w:rPr>
                <w:rFonts w:cs="Arial"/>
                <w:sz w:val="22"/>
                <w:szCs w:val="22"/>
                <w:lang w:eastAsia="en-GB"/>
              </w:rPr>
              <w:t>0</w:t>
            </w:r>
          </w:p>
        </w:tc>
        <w:tc>
          <w:tcPr>
            <w:tcW w:w="1142" w:type="dxa"/>
            <w:tcBorders>
              <w:top w:val="nil"/>
              <w:left w:val="nil"/>
              <w:bottom w:val="nil"/>
              <w:right w:val="single" w:sz="4" w:space="0" w:color="auto"/>
            </w:tcBorders>
            <w:shd w:val="clear" w:color="000000" w:fill="FFFFFF"/>
            <w:noWrap/>
            <w:vAlign w:val="bottom"/>
            <w:hideMark/>
          </w:tcPr>
          <w:p w14:paraId="6BA89E48" w14:textId="77777777" w:rsidR="00262CE6" w:rsidRPr="00262CE6" w:rsidRDefault="00262CE6" w:rsidP="00262CE6">
            <w:pPr>
              <w:jc w:val="right"/>
              <w:rPr>
                <w:rFonts w:cs="Arial"/>
                <w:sz w:val="22"/>
                <w:szCs w:val="22"/>
                <w:lang w:eastAsia="en-GB"/>
              </w:rPr>
            </w:pPr>
            <w:r w:rsidRPr="00262CE6">
              <w:rPr>
                <w:rFonts w:cs="Arial"/>
                <w:sz w:val="22"/>
                <w:szCs w:val="22"/>
                <w:lang w:eastAsia="en-GB"/>
              </w:rPr>
              <w:t>100</w:t>
            </w:r>
          </w:p>
        </w:tc>
      </w:tr>
      <w:tr w:rsidR="00262CE6" w:rsidRPr="00262CE6" w14:paraId="142E0884"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6071AEFE" w14:textId="77777777" w:rsidR="00262CE6" w:rsidRPr="00262CE6" w:rsidRDefault="00262CE6" w:rsidP="00262CE6">
            <w:pPr>
              <w:rPr>
                <w:rFonts w:cs="Arial"/>
                <w:sz w:val="22"/>
                <w:szCs w:val="22"/>
                <w:lang w:eastAsia="en-GB"/>
              </w:rPr>
            </w:pPr>
            <w:r w:rsidRPr="00262CE6">
              <w:rPr>
                <w:rFonts w:cs="Arial"/>
                <w:sz w:val="22"/>
                <w:szCs w:val="22"/>
                <w:lang w:eastAsia="en-GB"/>
              </w:rPr>
              <w:t>ERDF</w:t>
            </w:r>
          </w:p>
        </w:tc>
        <w:tc>
          <w:tcPr>
            <w:tcW w:w="1284" w:type="dxa"/>
            <w:tcBorders>
              <w:top w:val="nil"/>
              <w:left w:val="nil"/>
              <w:bottom w:val="nil"/>
              <w:right w:val="nil"/>
            </w:tcBorders>
            <w:shd w:val="clear" w:color="000000" w:fill="FFFFFF"/>
            <w:noWrap/>
            <w:vAlign w:val="bottom"/>
            <w:hideMark/>
          </w:tcPr>
          <w:p w14:paraId="04533206" w14:textId="77777777" w:rsidR="00262CE6" w:rsidRPr="00262CE6" w:rsidRDefault="00262CE6" w:rsidP="00262CE6">
            <w:pPr>
              <w:jc w:val="right"/>
              <w:rPr>
                <w:rFonts w:cs="Arial"/>
                <w:sz w:val="22"/>
                <w:szCs w:val="22"/>
                <w:lang w:eastAsia="en-GB"/>
              </w:rPr>
            </w:pPr>
            <w:r w:rsidRPr="00262CE6">
              <w:rPr>
                <w:rFonts w:cs="Arial"/>
                <w:sz w:val="22"/>
                <w:szCs w:val="22"/>
                <w:lang w:eastAsia="en-GB"/>
              </w:rPr>
              <w:t>0</w:t>
            </w:r>
          </w:p>
        </w:tc>
        <w:tc>
          <w:tcPr>
            <w:tcW w:w="1142" w:type="dxa"/>
            <w:tcBorders>
              <w:top w:val="nil"/>
              <w:left w:val="nil"/>
              <w:bottom w:val="nil"/>
              <w:right w:val="single" w:sz="4" w:space="0" w:color="auto"/>
            </w:tcBorders>
            <w:shd w:val="clear" w:color="000000" w:fill="FFFFFF"/>
            <w:noWrap/>
            <w:vAlign w:val="bottom"/>
            <w:hideMark/>
          </w:tcPr>
          <w:p w14:paraId="06B2CB4D" w14:textId="77777777" w:rsidR="00262CE6" w:rsidRPr="00262CE6" w:rsidRDefault="00262CE6" w:rsidP="00262CE6">
            <w:pPr>
              <w:jc w:val="right"/>
              <w:rPr>
                <w:rFonts w:cs="Arial"/>
                <w:sz w:val="22"/>
                <w:szCs w:val="22"/>
                <w:lang w:eastAsia="en-GB"/>
              </w:rPr>
            </w:pPr>
            <w:r w:rsidRPr="00262CE6">
              <w:rPr>
                <w:rFonts w:cs="Arial"/>
                <w:sz w:val="22"/>
                <w:szCs w:val="22"/>
                <w:lang w:eastAsia="en-GB"/>
              </w:rPr>
              <w:t>196</w:t>
            </w:r>
          </w:p>
        </w:tc>
      </w:tr>
      <w:tr w:rsidR="00262CE6" w:rsidRPr="00262CE6" w14:paraId="55791FFE"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450964A1" w14:textId="77777777" w:rsidR="00262CE6" w:rsidRPr="00262CE6" w:rsidRDefault="00262CE6" w:rsidP="00262CE6">
            <w:pPr>
              <w:rPr>
                <w:rFonts w:cs="Arial"/>
                <w:sz w:val="22"/>
                <w:szCs w:val="22"/>
                <w:lang w:eastAsia="en-GB"/>
              </w:rPr>
            </w:pPr>
            <w:r w:rsidRPr="00262CE6">
              <w:rPr>
                <w:rFonts w:cs="Arial"/>
                <w:sz w:val="22"/>
                <w:szCs w:val="22"/>
                <w:lang w:eastAsia="en-GB"/>
              </w:rPr>
              <w:t>Copeland Borough Council</w:t>
            </w:r>
          </w:p>
        </w:tc>
        <w:tc>
          <w:tcPr>
            <w:tcW w:w="1284" w:type="dxa"/>
            <w:tcBorders>
              <w:top w:val="nil"/>
              <w:left w:val="nil"/>
              <w:bottom w:val="nil"/>
              <w:right w:val="nil"/>
            </w:tcBorders>
            <w:shd w:val="clear" w:color="000000" w:fill="FFFFFF"/>
            <w:noWrap/>
            <w:vAlign w:val="bottom"/>
            <w:hideMark/>
          </w:tcPr>
          <w:p w14:paraId="14664291" w14:textId="77777777" w:rsidR="00262CE6" w:rsidRPr="00262CE6" w:rsidRDefault="00262CE6" w:rsidP="00262CE6">
            <w:pPr>
              <w:jc w:val="right"/>
              <w:rPr>
                <w:rFonts w:cs="Arial"/>
                <w:sz w:val="22"/>
                <w:szCs w:val="22"/>
                <w:lang w:eastAsia="en-GB"/>
              </w:rPr>
            </w:pPr>
            <w:r w:rsidRPr="00262CE6">
              <w:rPr>
                <w:rFonts w:cs="Arial"/>
                <w:sz w:val="22"/>
                <w:szCs w:val="22"/>
                <w:lang w:eastAsia="en-GB"/>
              </w:rPr>
              <w:t>0</w:t>
            </w:r>
          </w:p>
        </w:tc>
        <w:tc>
          <w:tcPr>
            <w:tcW w:w="1142" w:type="dxa"/>
            <w:tcBorders>
              <w:top w:val="nil"/>
              <w:left w:val="nil"/>
              <w:bottom w:val="nil"/>
              <w:right w:val="single" w:sz="4" w:space="0" w:color="auto"/>
            </w:tcBorders>
            <w:shd w:val="clear" w:color="000000" w:fill="FFFFFF"/>
            <w:noWrap/>
            <w:vAlign w:val="bottom"/>
            <w:hideMark/>
          </w:tcPr>
          <w:p w14:paraId="3214727E" w14:textId="6E446561" w:rsidR="00262CE6" w:rsidRPr="00262CE6" w:rsidRDefault="00262CE6" w:rsidP="00262CE6">
            <w:pPr>
              <w:jc w:val="right"/>
              <w:rPr>
                <w:rFonts w:cs="Arial"/>
                <w:sz w:val="22"/>
                <w:szCs w:val="22"/>
                <w:lang w:eastAsia="en-GB"/>
              </w:rPr>
            </w:pPr>
            <w:r w:rsidRPr="00262CE6">
              <w:rPr>
                <w:rFonts w:cs="Arial"/>
                <w:sz w:val="22"/>
                <w:szCs w:val="22"/>
                <w:lang w:eastAsia="en-GB"/>
              </w:rPr>
              <w:t>2</w:t>
            </w:r>
            <w:r w:rsidR="006A2C55">
              <w:rPr>
                <w:rFonts w:cs="Arial"/>
                <w:sz w:val="22"/>
                <w:szCs w:val="22"/>
                <w:lang w:eastAsia="en-GB"/>
              </w:rPr>
              <w:t>5</w:t>
            </w:r>
          </w:p>
        </w:tc>
      </w:tr>
      <w:tr w:rsidR="00262CE6" w:rsidRPr="00262CE6" w14:paraId="6F5F1632"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22CD3369" w14:textId="77777777" w:rsidR="00262CE6" w:rsidRPr="00262CE6" w:rsidRDefault="00262CE6" w:rsidP="00262CE6">
            <w:pPr>
              <w:rPr>
                <w:rFonts w:cs="Arial"/>
                <w:sz w:val="22"/>
                <w:szCs w:val="22"/>
                <w:lang w:eastAsia="en-GB"/>
              </w:rPr>
            </w:pPr>
            <w:r w:rsidRPr="00262CE6">
              <w:rPr>
                <w:rFonts w:cs="Arial"/>
                <w:sz w:val="22"/>
                <w:szCs w:val="22"/>
                <w:lang w:eastAsia="en-GB"/>
              </w:rPr>
              <w:t>Eden District Council</w:t>
            </w:r>
          </w:p>
        </w:tc>
        <w:tc>
          <w:tcPr>
            <w:tcW w:w="1284" w:type="dxa"/>
            <w:tcBorders>
              <w:top w:val="nil"/>
              <w:left w:val="nil"/>
              <w:bottom w:val="nil"/>
              <w:right w:val="nil"/>
            </w:tcBorders>
            <w:shd w:val="clear" w:color="000000" w:fill="FFFFFF"/>
            <w:noWrap/>
            <w:vAlign w:val="bottom"/>
            <w:hideMark/>
          </w:tcPr>
          <w:p w14:paraId="3539F858" w14:textId="77777777" w:rsidR="00262CE6" w:rsidRPr="00262CE6" w:rsidRDefault="00262CE6" w:rsidP="00262CE6">
            <w:pPr>
              <w:jc w:val="right"/>
              <w:rPr>
                <w:rFonts w:cs="Arial"/>
                <w:sz w:val="22"/>
                <w:szCs w:val="22"/>
                <w:lang w:eastAsia="en-GB"/>
              </w:rPr>
            </w:pPr>
            <w:r w:rsidRPr="00262CE6">
              <w:rPr>
                <w:rFonts w:cs="Arial"/>
                <w:sz w:val="22"/>
                <w:szCs w:val="22"/>
                <w:lang w:eastAsia="en-GB"/>
              </w:rPr>
              <w:t>0</w:t>
            </w:r>
          </w:p>
        </w:tc>
        <w:tc>
          <w:tcPr>
            <w:tcW w:w="1142" w:type="dxa"/>
            <w:tcBorders>
              <w:top w:val="nil"/>
              <w:left w:val="nil"/>
              <w:bottom w:val="nil"/>
              <w:right w:val="single" w:sz="4" w:space="0" w:color="auto"/>
            </w:tcBorders>
            <w:shd w:val="clear" w:color="000000" w:fill="FFFFFF"/>
            <w:noWrap/>
            <w:vAlign w:val="bottom"/>
            <w:hideMark/>
          </w:tcPr>
          <w:p w14:paraId="0BF92076" w14:textId="77777777" w:rsidR="00262CE6" w:rsidRPr="00262CE6" w:rsidRDefault="00262CE6" w:rsidP="00262CE6">
            <w:pPr>
              <w:jc w:val="right"/>
              <w:rPr>
                <w:rFonts w:cs="Arial"/>
                <w:sz w:val="22"/>
                <w:szCs w:val="22"/>
                <w:lang w:eastAsia="en-GB"/>
              </w:rPr>
            </w:pPr>
            <w:r w:rsidRPr="00262CE6">
              <w:rPr>
                <w:rFonts w:cs="Arial"/>
                <w:sz w:val="22"/>
                <w:szCs w:val="22"/>
                <w:lang w:eastAsia="en-GB"/>
              </w:rPr>
              <w:t>12</w:t>
            </w:r>
          </w:p>
        </w:tc>
      </w:tr>
      <w:tr w:rsidR="00262CE6" w:rsidRPr="00262CE6" w14:paraId="489BFB37" w14:textId="77777777" w:rsidTr="000D7C2D">
        <w:trPr>
          <w:trHeight w:val="266"/>
          <w:tblHeader/>
          <w:jc w:val="center"/>
        </w:trPr>
        <w:tc>
          <w:tcPr>
            <w:tcW w:w="4996" w:type="dxa"/>
            <w:tcBorders>
              <w:top w:val="nil"/>
              <w:left w:val="single" w:sz="4" w:space="0" w:color="auto"/>
              <w:bottom w:val="nil"/>
              <w:right w:val="nil"/>
            </w:tcBorders>
            <w:shd w:val="clear" w:color="000000" w:fill="FFFFFF"/>
            <w:noWrap/>
            <w:vAlign w:val="bottom"/>
            <w:hideMark/>
          </w:tcPr>
          <w:p w14:paraId="2DE3795F" w14:textId="77777777" w:rsidR="00262CE6" w:rsidRPr="00262CE6" w:rsidRDefault="00262CE6" w:rsidP="00262CE6">
            <w:pPr>
              <w:rPr>
                <w:rFonts w:cs="Arial"/>
                <w:sz w:val="22"/>
                <w:szCs w:val="22"/>
                <w:lang w:eastAsia="en-GB"/>
              </w:rPr>
            </w:pPr>
            <w:r w:rsidRPr="00262CE6">
              <w:rPr>
                <w:rFonts w:cs="Arial"/>
                <w:sz w:val="22"/>
                <w:szCs w:val="22"/>
                <w:lang w:eastAsia="en-GB"/>
              </w:rPr>
              <w:t> </w:t>
            </w:r>
          </w:p>
        </w:tc>
        <w:tc>
          <w:tcPr>
            <w:tcW w:w="1284" w:type="dxa"/>
            <w:tcBorders>
              <w:top w:val="nil"/>
              <w:left w:val="nil"/>
              <w:bottom w:val="nil"/>
              <w:right w:val="nil"/>
            </w:tcBorders>
            <w:shd w:val="clear" w:color="000000" w:fill="FFFFFF"/>
            <w:noWrap/>
            <w:vAlign w:val="bottom"/>
            <w:hideMark/>
          </w:tcPr>
          <w:p w14:paraId="0AB3F912" w14:textId="77777777" w:rsidR="00262CE6" w:rsidRPr="00262CE6" w:rsidRDefault="00262CE6" w:rsidP="00262CE6">
            <w:pPr>
              <w:rPr>
                <w:rFonts w:cs="Arial"/>
                <w:sz w:val="22"/>
                <w:szCs w:val="22"/>
                <w:lang w:eastAsia="en-GB"/>
              </w:rPr>
            </w:pPr>
            <w:r w:rsidRPr="00262CE6">
              <w:rPr>
                <w:rFonts w:cs="Arial"/>
                <w:sz w:val="22"/>
                <w:szCs w:val="22"/>
                <w:lang w:eastAsia="en-GB"/>
              </w:rPr>
              <w:t> </w:t>
            </w:r>
          </w:p>
        </w:tc>
        <w:tc>
          <w:tcPr>
            <w:tcW w:w="1142" w:type="dxa"/>
            <w:tcBorders>
              <w:top w:val="nil"/>
              <w:left w:val="nil"/>
              <w:bottom w:val="nil"/>
              <w:right w:val="single" w:sz="4" w:space="0" w:color="auto"/>
            </w:tcBorders>
            <w:shd w:val="clear" w:color="000000" w:fill="FFFFFF"/>
            <w:noWrap/>
            <w:vAlign w:val="bottom"/>
            <w:hideMark/>
          </w:tcPr>
          <w:p w14:paraId="3566ECEC" w14:textId="77777777" w:rsidR="00262CE6" w:rsidRPr="00262CE6" w:rsidRDefault="00262CE6" w:rsidP="00262CE6">
            <w:pPr>
              <w:rPr>
                <w:rFonts w:cs="Arial"/>
                <w:sz w:val="22"/>
                <w:szCs w:val="22"/>
                <w:lang w:eastAsia="en-GB"/>
              </w:rPr>
            </w:pPr>
            <w:r w:rsidRPr="00262CE6">
              <w:rPr>
                <w:rFonts w:cs="Arial"/>
                <w:sz w:val="22"/>
                <w:szCs w:val="22"/>
                <w:lang w:eastAsia="en-GB"/>
              </w:rPr>
              <w:t> </w:t>
            </w:r>
          </w:p>
        </w:tc>
      </w:tr>
      <w:tr w:rsidR="00262CE6" w:rsidRPr="00262CE6" w14:paraId="4E9C1E59" w14:textId="77777777" w:rsidTr="000D7C2D">
        <w:trPr>
          <w:trHeight w:val="275"/>
          <w:tblHeader/>
          <w:jc w:val="center"/>
        </w:trPr>
        <w:tc>
          <w:tcPr>
            <w:tcW w:w="4996" w:type="dxa"/>
            <w:tcBorders>
              <w:top w:val="nil"/>
              <w:left w:val="single" w:sz="4" w:space="0" w:color="auto"/>
              <w:bottom w:val="single" w:sz="4" w:space="0" w:color="auto"/>
              <w:right w:val="nil"/>
            </w:tcBorders>
            <w:shd w:val="clear" w:color="000000" w:fill="FFFFFF"/>
            <w:noWrap/>
            <w:vAlign w:val="bottom"/>
            <w:hideMark/>
          </w:tcPr>
          <w:p w14:paraId="230152E3" w14:textId="77777777" w:rsidR="00262CE6" w:rsidRPr="00262CE6" w:rsidRDefault="00262CE6" w:rsidP="00262CE6">
            <w:pPr>
              <w:rPr>
                <w:rFonts w:cs="Arial"/>
                <w:sz w:val="22"/>
                <w:szCs w:val="22"/>
                <w:lang w:eastAsia="en-GB"/>
              </w:rPr>
            </w:pPr>
            <w:r w:rsidRPr="00262CE6">
              <w:rPr>
                <w:rFonts w:cs="Arial"/>
                <w:sz w:val="22"/>
                <w:szCs w:val="22"/>
                <w:lang w:eastAsia="en-GB"/>
              </w:rPr>
              <w:t> </w:t>
            </w:r>
          </w:p>
        </w:tc>
        <w:tc>
          <w:tcPr>
            <w:tcW w:w="1284" w:type="dxa"/>
            <w:tcBorders>
              <w:top w:val="single" w:sz="4" w:space="0" w:color="auto"/>
              <w:left w:val="nil"/>
              <w:bottom w:val="single" w:sz="4" w:space="0" w:color="auto"/>
              <w:right w:val="nil"/>
            </w:tcBorders>
            <w:shd w:val="clear" w:color="000000" w:fill="FFFFFF"/>
            <w:noWrap/>
            <w:vAlign w:val="bottom"/>
            <w:hideMark/>
          </w:tcPr>
          <w:p w14:paraId="04D58325" w14:textId="77777777" w:rsidR="00262CE6" w:rsidRPr="00262CE6" w:rsidRDefault="00262CE6" w:rsidP="00262CE6">
            <w:pPr>
              <w:jc w:val="right"/>
              <w:rPr>
                <w:rFonts w:cs="Arial"/>
                <w:b/>
                <w:bCs/>
                <w:sz w:val="22"/>
                <w:szCs w:val="22"/>
                <w:lang w:eastAsia="en-GB"/>
              </w:rPr>
            </w:pPr>
            <w:r w:rsidRPr="00262CE6">
              <w:rPr>
                <w:rFonts w:cs="Arial"/>
                <w:b/>
                <w:bCs/>
                <w:sz w:val="22"/>
                <w:szCs w:val="22"/>
                <w:lang w:eastAsia="en-GB"/>
              </w:rPr>
              <w:t>1,666</w:t>
            </w:r>
          </w:p>
        </w:tc>
        <w:tc>
          <w:tcPr>
            <w:tcW w:w="1142" w:type="dxa"/>
            <w:tcBorders>
              <w:top w:val="single" w:sz="4" w:space="0" w:color="auto"/>
              <w:left w:val="nil"/>
              <w:bottom w:val="single" w:sz="4" w:space="0" w:color="auto"/>
              <w:right w:val="single" w:sz="4" w:space="0" w:color="auto"/>
            </w:tcBorders>
            <w:shd w:val="clear" w:color="000000" w:fill="FFFFFF"/>
            <w:noWrap/>
            <w:vAlign w:val="bottom"/>
            <w:hideMark/>
          </w:tcPr>
          <w:p w14:paraId="0E14CA28" w14:textId="5688F628" w:rsidR="00262CE6" w:rsidRPr="00262CE6" w:rsidRDefault="006A2C55" w:rsidP="00262CE6">
            <w:pPr>
              <w:jc w:val="right"/>
              <w:rPr>
                <w:rFonts w:cs="Arial"/>
                <w:b/>
                <w:bCs/>
                <w:sz w:val="22"/>
                <w:szCs w:val="22"/>
                <w:lang w:eastAsia="en-GB"/>
              </w:rPr>
            </w:pPr>
            <w:r>
              <w:rPr>
                <w:rFonts w:cs="Arial"/>
                <w:b/>
                <w:bCs/>
                <w:sz w:val="22"/>
                <w:szCs w:val="22"/>
                <w:lang w:eastAsia="en-GB"/>
              </w:rPr>
              <w:t>2</w:t>
            </w:r>
            <w:r w:rsidR="00262CE6" w:rsidRPr="00262CE6">
              <w:rPr>
                <w:rFonts w:cs="Arial"/>
                <w:b/>
                <w:bCs/>
                <w:sz w:val="22"/>
                <w:szCs w:val="22"/>
                <w:lang w:eastAsia="en-GB"/>
              </w:rPr>
              <w:t>,</w:t>
            </w:r>
            <w:r>
              <w:rPr>
                <w:rFonts w:cs="Arial"/>
                <w:b/>
                <w:bCs/>
                <w:sz w:val="22"/>
                <w:szCs w:val="22"/>
                <w:lang w:eastAsia="en-GB"/>
              </w:rPr>
              <w:t>8</w:t>
            </w:r>
            <w:r w:rsidR="00262CE6" w:rsidRPr="00262CE6">
              <w:rPr>
                <w:rFonts w:cs="Arial"/>
                <w:b/>
                <w:bCs/>
                <w:sz w:val="22"/>
                <w:szCs w:val="22"/>
                <w:lang w:eastAsia="en-GB"/>
              </w:rPr>
              <w:t>60</w:t>
            </w:r>
          </w:p>
        </w:tc>
      </w:tr>
    </w:tbl>
    <w:p w14:paraId="34E26CD7" w14:textId="77777777" w:rsidR="008F5F09" w:rsidRDefault="008F5F09" w:rsidP="00BC5EE1">
      <w:pPr>
        <w:rPr>
          <w:lang w:eastAsia="en-GB"/>
        </w:rPr>
      </w:pPr>
      <w:bookmarkStart w:id="39" w:name="_MON_1401090588"/>
      <w:bookmarkStart w:id="40" w:name="_MON_1401090604"/>
      <w:bookmarkStart w:id="41" w:name="_MON_1401090646"/>
      <w:bookmarkStart w:id="42" w:name="_MON_1401090679"/>
      <w:bookmarkStart w:id="43" w:name="_MON_1401090815"/>
      <w:bookmarkStart w:id="44" w:name="_MON_1401538940"/>
      <w:bookmarkStart w:id="45" w:name="_MON_1402138132"/>
      <w:bookmarkStart w:id="46" w:name="_MON_1402295472"/>
      <w:bookmarkStart w:id="47" w:name="_MON_1429554843"/>
      <w:bookmarkStart w:id="48" w:name="_MON_1368513026"/>
      <w:bookmarkStart w:id="49" w:name="_MON_1368513066"/>
      <w:bookmarkStart w:id="50" w:name="_MON_1368513144"/>
      <w:bookmarkStart w:id="51" w:name="_MON_1368624392"/>
      <w:bookmarkStart w:id="52" w:name="_MON_1368813962"/>
      <w:bookmarkStart w:id="53" w:name="_MON_1368814042"/>
      <w:bookmarkStart w:id="54" w:name="_MON_1368814084"/>
      <w:bookmarkStart w:id="55" w:name="_MON_1368814200"/>
      <w:bookmarkStart w:id="56" w:name="_MON_1368814223"/>
      <w:bookmarkStart w:id="57" w:name="_MON_1368814259"/>
      <w:bookmarkStart w:id="58" w:name="_MON_1368814276"/>
      <w:bookmarkStart w:id="59" w:name="_MON_1369553150"/>
      <w:bookmarkStart w:id="60" w:name="_MON_1369646286"/>
      <w:bookmarkStart w:id="61" w:name="_MON_1369726948"/>
      <w:bookmarkStart w:id="62" w:name="_MON_1369726970"/>
      <w:bookmarkStart w:id="63" w:name="_MON_1369743713"/>
      <w:bookmarkStart w:id="64" w:name="_MON_1369743727"/>
      <w:bookmarkStart w:id="65" w:name="_MON_1370170248"/>
      <w:bookmarkStart w:id="66" w:name="_MON_1370170419"/>
      <w:bookmarkStart w:id="67" w:name="_MON_1370694538"/>
      <w:bookmarkStart w:id="68" w:name="_MON_1395560709"/>
      <w:bookmarkStart w:id="69" w:name="_MON_140109009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3920A1A2" w14:textId="77777777" w:rsidR="000D7C2D" w:rsidRDefault="000D7C2D" w:rsidP="00BC5EE1">
      <w:pPr>
        <w:rPr>
          <w:lang w:eastAsia="en-GB"/>
        </w:rPr>
      </w:pPr>
    </w:p>
    <w:p w14:paraId="07D743E5" w14:textId="77777777" w:rsidR="000D7C2D" w:rsidRDefault="000D7C2D" w:rsidP="00BC5EE1">
      <w:pPr>
        <w:rPr>
          <w:lang w:eastAsia="en-GB"/>
        </w:rPr>
      </w:pPr>
    </w:p>
    <w:p w14:paraId="07420150" w14:textId="77777777" w:rsidR="000D7C2D" w:rsidRDefault="000D7C2D" w:rsidP="00BC5EE1">
      <w:pPr>
        <w:rPr>
          <w:lang w:eastAsia="en-GB"/>
        </w:rPr>
      </w:pPr>
    </w:p>
    <w:p w14:paraId="4C305D21" w14:textId="77777777" w:rsidR="000D7C2D" w:rsidRDefault="000D7C2D" w:rsidP="00BC5EE1">
      <w:pPr>
        <w:rPr>
          <w:lang w:eastAsia="en-GB"/>
        </w:rPr>
      </w:pPr>
    </w:p>
    <w:p w14:paraId="7E675AAF" w14:textId="77777777" w:rsidR="000D7C2D" w:rsidRDefault="000D7C2D" w:rsidP="00BC5EE1">
      <w:pPr>
        <w:rPr>
          <w:lang w:eastAsia="en-GB"/>
        </w:rPr>
      </w:pPr>
    </w:p>
    <w:p w14:paraId="7D6C838E" w14:textId="77777777" w:rsidR="000D7C2D" w:rsidRDefault="000D7C2D" w:rsidP="00BC5EE1">
      <w:pPr>
        <w:rPr>
          <w:lang w:eastAsia="en-GB"/>
        </w:rPr>
      </w:pPr>
    </w:p>
    <w:p w14:paraId="5EC577B7" w14:textId="77777777" w:rsidR="000D7C2D" w:rsidRDefault="000D7C2D" w:rsidP="00BC5EE1">
      <w:pPr>
        <w:rPr>
          <w:lang w:eastAsia="en-GB"/>
        </w:rPr>
      </w:pPr>
    </w:p>
    <w:p w14:paraId="7028FFC2" w14:textId="77777777" w:rsidR="000D7C2D" w:rsidRDefault="000D7C2D" w:rsidP="00BC5EE1">
      <w:pPr>
        <w:rPr>
          <w:lang w:eastAsia="en-GB"/>
        </w:rPr>
      </w:pPr>
    </w:p>
    <w:p w14:paraId="4A83A8EE" w14:textId="77777777" w:rsidR="000D7C2D" w:rsidRDefault="000D7C2D" w:rsidP="00BC5EE1">
      <w:pPr>
        <w:rPr>
          <w:lang w:eastAsia="en-GB"/>
        </w:rPr>
      </w:pPr>
    </w:p>
    <w:p w14:paraId="3C4CB0EC" w14:textId="77777777" w:rsidR="000D7C2D" w:rsidRDefault="000D7C2D" w:rsidP="00BC5EE1">
      <w:pPr>
        <w:rPr>
          <w:lang w:eastAsia="en-GB"/>
        </w:rPr>
      </w:pPr>
    </w:p>
    <w:p w14:paraId="66876BA5" w14:textId="77777777" w:rsidR="000D7C2D" w:rsidRDefault="000D7C2D" w:rsidP="00BC5EE1">
      <w:pPr>
        <w:rPr>
          <w:lang w:eastAsia="en-GB"/>
        </w:rPr>
      </w:pPr>
    </w:p>
    <w:p w14:paraId="5FE5FB6C" w14:textId="77777777" w:rsidR="000D7C2D" w:rsidRDefault="000D7C2D" w:rsidP="00BC5EE1">
      <w:pPr>
        <w:rPr>
          <w:lang w:eastAsia="en-GB"/>
        </w:rPr>
      </w:pPr>
    </w:p>
    <w:p w14:paraId="23005278" w14:textId="77777777" w:rsidR="000D7C2D" w:rsidRDefault="000D7C2D" w:rsidP="00BC5EE1">
      <w:pPr>
        <w:rPr>
          <w:lang w:eastAsia="en-GB"/>
        </w:rPr>
      </w:pPr>
    </w:p>
    <w:p w14:paraId="6921B766" w14:textId="77777777" w:rsidR="000D7C2D" w:rsidRDefault="000D7C2D" w:rsidP="00BC5EE1">
      <w:pPr>
        <w:rPr>
          <w:lang w:eastAsia="en-GB"/>
        </w:rPr>
      </w:pPr>
    </w:p>
    <w:p w14:paraId="1CD00BCB" w14:textId="77777777" w:rsidR="000D7C2D" w:rsidRDefault="000D7C2D" w:rsidP="00BC5EE1">
      <w:pPr>
        <w:rPr>
          <w:lang w:eastAsia="en-GB"/>
        </w:rPr>
      </w:pPr>
    </w:p>
    <w:p w14:paraId="4ED0EB5C" w14:textId="77777777" w:rsidR="000D7C2D" w:rsidRDefault="000D7C2D" w:rsidP="00BC5EE1">
      <w:pPr>
        <w:rPr>
          <w:lang w:eastAsia="en-GB"/>
        </w:rPr>
      </w:pPr>
    </w:p>
    <w:p w14:paraId="5BBA1ECE" w14:textId="77777777" w:rsidR="000D7C2D" w:rsidRDefault="000D7C2D" w:rsidP="00BC5EE1">
      <w:pPr>
        <w:rPr>
          <w:lang w:eastAsia="en-GB"/>
        </w:rPr>
      </w:pPr>
    </w:p>
    <w:p w14:paraId="484F511F" w14:textId="77777777" w:rsidR="000D7C2D" w:rsidRDefault="000D7C2D" w:rsidP="00BC5EE1">
      <w:pPr>
        <w:rPr>
          <w:lang w:eastAsia="en-GB"/>
        </w:rPr>
      </w:pPr>
    </w:p>
    <w:p w14:paraId="4CA17B65" w14:textId="77777777" w:rsidR="000D7C2D" w:rsidRDefault="000D7C2D" w:rsidP="00BC5EE1">
      <w:pPr>
        <w:rPr>
          <w:lang w:eastAsia="en-GB"/>
        </w:rPr>
      </w:pPr>
    </w:p>
    <w:p w14:paraId="42831B22" w14:textId="77777777" w:rsidR="000D7C2D" w:rsidRDefault="000D7C2D" w:rsidP="00BC5EE1">
      <w:pPr>
        <w:rPr>
          <w:lang w:eastAsia="en-GB"/>
        </w:rPr>
      </w:pPr>
    </w:p>
    <w:p w14:paraId="408FE710" w14:textId="77777777" w:rsidR="000D7C2D" w:rsidRDefault="000D7C2D" w:rsidP="00BC5EE1">
      <w:pPr>
        <w:rPr>
          <w:lang w:eastAsia="en-GB"/>
        </w:rPr>
      </w:pPr>
    </w:p>
    <w:p w14:paraId="7AE75675" w14:textId="77777777" w:rsidR="000D7C2D" w:rsidRDefault="000D7C2D" w:rsidP="00BC5EE1">
      <w:pPr>
        <w:rPr>
          <w:lang w:eastAsia="en-GB"/>
        </w:rPr>
      </w:pPr>
    </w:p>
    <w:p w14:paraId="485A473A" w14:textId="6BA02CE6" w:rsidR="008F2002" w:rsidRDefault="00800183" w:rsidP="00BC5EE1">
      <w:pPr>
        <w:rPr>
          <w:lang w:eastAsia="en-GB"/>
        </w:rPr>
      </w:pPr>
      <w:r w:rsidRPr="00375FC3">
        <w:rPr>
          <w:lang w:eastAsia="en-GB"/>
        </w:rPr>
        <w:lastRenderedPageBreak/>
        <w:t>The Authority</w:t>
      </w:r>
      <w:r w:rsidR="00375FC3">
        <w:rPr>
          <w:lang w:eastAsia="en-GB"/>
        </w:rPr>
        <w:t xml:space="preserve"> has also </w:t>
      </w:r>
      <w:r w:rsidR="00FA6F6D" w:rsidRPr="00375FC3">
        <w:rPr>
          <w:lang w:eastAsia="en-GB"/>
        </w:rPr>
        <w:t>receive</w:t>
      </w:r>
      <w:r w:rsidR="00375FC3">
        <w:rPr>
          <w:lang w:eastAsia="en-GB"/>
        </w:rPr>
        <w:t>d</w:t>
      </w:r>
      <w:r w:rsidRPr="00375FC3">
        <w:rPr>
          <w:lang w:eastAsia="en-GB"/>
        </w:rPr>
        <w:t xml:space="preserve"> grant </w:t>
      </w:r>
      <w:r w:rsidR="00375FC3">
        <w:rPr>
          <w:lang w:eastAsia="en-GB"/>
        </w:rPr>
        <w:t xml:space="preserve">with unmet conditions </w:t>
      </w:r>
      <w:r w:rsidRPr="00375FC3">
        <w:rPr>
          <w:lang w:eastAsia="en-GB"/>
        </w:rPr>
        <w:t>that it has yet to recognise</w:t>
      </w:r>
      <w:r w:rsidR="00375FC3">
        <w:rPr>
          <w:lang w:eastAsia="en-GB"/>
        </w:rPr>
        <w:t xml:space="preserve"> as income</w:t>
      </w:r>
      <w:r w:rsidRPr="00375FC3">
        <w:rPr>
          <w:lang w:eastAsia="en-GB"/>
        </w:rPr>
        <w:t>.</w:t>
      </w:r>
      <w:r w:rsidR="00375FC3">
        <w:rPr>
          <w:lang w:eastAsia="en-GB"/>
        </w:rPr>
        <w:t xml:space="preserve"> The following were held as grant receipts in advance:</w:t>
      </w:r>
    </w:p>
    <w:p w14:paraId="4DB07F9F" w14:textId="77777777" w:rsidR="00375FC3" w:rsidRDefault="00375FC3" w:rsidP="00BC5EE1">
      <w:pPr>
        <w:rPr>
          <w:lang w:eastAsia="en-GB"/>
        </w:rPr>
      </w:pPr>
    </w:p>
    <w:tbl>
      <w:tblPr>
        <w:tblW w:w="5458" w:type="dxa"/>
        <w:jc w:val="center"/>
        <w:tblLook w:val="04A0" w:firstRow="1" w:lastRow="0" w:firstColumn="1" w:lastColumn="0" w:noHBand="0" w:noVBand="1"/>
      </w:tblPr>
      <w:tblGrid>
        <w:gridCol w:w="3001"/>
        <w:gridCol w:w="1229"/>
        <w:gridCol w:w="1228"/>
      </w:tblGrid>
      <w:tr w:rsidR="00375FC3" w:rsidRPr="00375FC3" w14:paraId="266CF033" w14:textId="77777777" w:rsidTr="000D7C2D">
        <w:trPr>
          <w:trHeight w:val="268"/>
          <w:tblHeader/>
          <w:jc w:val="center"/>
        </w:trPr>
        <w:tc>
          <w:tcPr>
            <w:tcW w:w="3001" w:type="dxa"/>
            <w:tcBorders>
              <w:top w:val="single" w:sz="4" w:space="0" w:color="auto"/>
              <w:left w:val="single" w:sz="4" w:space="0" w:color="auto"/>
              <w:bottom w:val="nil"/>
              <w:right w:val="nil"/>
            </w:tcBorders>
            <w:shd w:val="clear" w:color="000000" w:fill="000000"/>
            <w:noWrap/>
            <w:vAlign w:val="bottom"/>
            <w:hideMark/>
          </w:tcPr>
          <w:p w14:paraId="1C2808E0" w14:textId="77777777" w:rsidR="00375FC3" w:rsidRPr="00375FC3" w:rsidRDefault="00375FC3" w:rsidP="00375FC3">
            <w:pPr>
              <w:rPr>
                <w:rFonts w:cs="Arial"/>
                <w:color w:val="FFFFFF"/>
                <w:sz w:val="22"/>
                <w:szCs w:val="22"/>
                <w:lang w:eastAsia="en-GB"/>
              </w:rPr>
            </w:pPr>
            <w:r w:rsidRPr="00375FC3">
              <w:rPr>
                <w:rFonts w:cs="Arial"/>
                <w:color w:val="FFFFFF"/>
                <w:sz w:val="22"/>
                <w:szCs w:val="22"/>
                <w:lang w:eastAsia="en-GB"/>
              </w:rPr>
              <w:t> </w:t>
            </w:r>
          </w:p>
        </w:tc>
        <w:tc>
          <w:tcPr>
            <w:tcW w:w="1229" w:type="dxa"/>
            <w:tcBorders>
              <w:top w:val="single" w:sz="4" w:space="0" w:color="auto"/>
              <w:left w:val="nil"/>
              <w:bottom w:val="nil"/>
              <w:right w:val="nil"/>
            </w:tcBorders>
            <w:shd w:val="clear" w:color="000000" w:fill="000000"/>
            <w:noWrap/>
            <w:vAlign w:val="bottom"/>
            <w:hideMark/>
          </w:tcPr>
          <w:p w14:paraId="46E93398" w14:textId="77777777" w:rsidR="00375FC3" w:rsidRPr="00375FC3" w:rsidRDefault="00375FC3" w:rsidP="00375FC3">
            <w:pPr>
              <w:jc w:val="center"/>
              <w:rPr>
                <w:rFonts w:cs="Arial"/>
                <w:b/>
                <w:bCs/>
                <w:color w:val="FFFFFF"/>
                <w:sz w:val="22"/>
                <w:szCs w:val="22"/>
                <w:lang w:eastAsia="en-GB"/>
              </w:rPr>
            </w:pPr>
            <w:r w:rsidRPr="00375FC3">
              <w:rPr>
                <w:rFonts w:cs="Arial"/>
                <w:b/>
                <w:bCs/>
                <w:color w:val="FFFFFF"/>
                <w:sz w:val="22"/>
                <w:szCs w:val="22"/>
                <w:lang w:eastAsia="en-GB"/>
              </w:rPr>
              <w:t>2021/22</w:t>
            </w:r>
          </w:p>
        </w:tc>
        <w:tc>
          <w:tcPr>
            <w:tcW w:w="1228" w:type="dxa"/>
            <w:tcBorders>
              <w:top w:val="single" w:sz="4" w:space="0" w:color="auto"/>
              <w:left w:val="nil"/>
              <w:bottom w:val="nil"/>
              <w:right w:val="single" w:sz="4" w:space="0" w:color="auto"/>
            </w:tcBorders>
            <w:shd w:val="clear" w:color="000000" w:fill="000000"/>
            <w:noWrap/>
            <w:vAlign w:val="bottom"/>
            <w:hideMark/>
          </w:tcPr>
          <w:p w14:paraId="7B6D2D39" w14:textId="77777777" w:rsidR="00375FC3" w:rsidRPr="00375FC3" w:rsidRDefault="00375FC3" w:rsidP="00375FC3">
            <w:pPr>
              <w:jc w:val="center"/>
              <w:rPr>
                <w:rFonts w:cs="Arial"/>
                <w:b/>
                <w:bCs/>
                <w:color w:val="FFFFFF"/>
                <w:sz w:val="22"/>
                <w:szCs w:val="22"/>
                <w:lang w:eastAsia="en-GB"/>
              </w:rPr>
            </w:pPr>
            <w:r w:rsidRPr="00375FC3">
              <w:rPr>
                <w:rFonts w:cs="Arial"/>
                <w:b/>
                <w:bCs/>
                <w:color w:val="FFFFFF"/>
                <w:sz w:val="22"/>
                <w:szCs w:val="22"/>
                <w:lang w:eastAsia="en-GB"/>
              </w:rPr>
              <w:t>2022/23</w:t>
            </w:r>
          </w:p>
        </w:tc>
      </w:tr>
      <w:tr w:rsidR="00375FC3" w:rsidRPr="00375FC3" w14:paraId="5AE367A3" w14:textId="77777777" w:rsidTr="000D7C2D">
        <w:trPr>
          <w:trHeight w:val="268"/>
          <w:tblHeader/>
          <w:jc w:val="center"/>
        </w:trPr>
        <w:tc>
          <w:tcPr>
            <w:tcW w:w="3001" w:type="dxa"/>
            <w:tcBorders>
              <w:top w:val="nil"/>
              <w:left w:val="single" w:sz="4" w:space="0" w:color="auto"/>
              <w:bottom w:val="nil"/>
              <w:right w:val="nil"/>
            </w:tcBorders>
            <w:shd w:val="clear" w:color="000000" w:fill="000000"/>
            <w:noWrap/>
            <w:vAlign w:val="bottom"/>
            <w:hideMark/>
          </w:tcPr>
          <w:p w14:paraId="3C479E2F" w14:textId="77777777" w:rsidR="00375FC3" w:rsidRPr="00375FC3" w:rsidRDefault="00375FC3" w:rsidP="00375FC3">
            <w:pPr>
              <w:rPr>
                <w:rFonts w:cs="Arial"/>
                <w:color w:val="FFFFFF"/>
                <w:sz w:val="22"/>
                <w:szCs w:val="22"/>
                <w:lang w:eastAsia="en-GB"/>
              </w:rPr>
            </w:pPr>
            <w:r w:rsidRPr="00375FC3">
              <w:rPr>
                <w:rFonts w:cs="Arial"/>
                <w:color w:val="FFFFFF"/>
                <w:sz w:val="22"/>
                <w:szCs w:val="22"/>
                <w:lang w:eastAsia="en-GB"/>
              </w:rPr>
              <w:t> </w:t>
            </w:r>
          </w:p>
        </w:tc>
        <w:tc>
          <w:tcPr>
            <w:tcW w:w="1229" w:type="dxa"/>
            <w:tcBorders>
              <w:top w:val="nil"/>
              <w:left w:val="nil"/>
              <w:bottom w:val="nil"/>
              <w:right w:val="nil"/>
            </w:tcBorders>
            <w:shd w:val="clear" w:color="000000" w:fill="000000"/>
            <w:noWrap/>
            <w:vAlign w:val="bottom"/>
            <w:hideMark/>
          </w:tcPr>
          <w:p w14:paraId="228C39C2" w14:textId="77777777" w:rsidR="00375FC3" w:rsidRPr="00375FC3" w:rsidRDefault="00375FC3" w:rsidP="00375FC3">
            <w:pPr>
              <w:jc w:val="center"/>
              <w:rPr>
                <w:rFonts w:cs="Arial"/>
                <w:b/>
                <w:bCs/>
                <w:color w:val="FFFFFF"/>
                <w:sz w:val="22"/>
                <w:szCs w:val="22"/>
                <w:lang w:eastAsia="en-GB"/>
              </w:rPr>
            </w:pPr>
            <w:r w:rsidRPr="00375FC3">
              <w:rPr>
                <w:rFonts w:cs="Arial"/>
                <w:b/>
                <w:bCs/>
                <w:color w:val="FFFFFF"/>
                <w:sz w:val="22"/>
                <w:szCs w:val="22"/>
                <w:lang w:eastAsia="en-GB"/>
              </w:rPr>
              <w:t>£000</w:t>
            </w:r>
          </w:p>
        </w:tc>
        <w:tc>
          <w:tcPr>
            <w:tcW w:w="1228" w:type="dxa"/>
            <w:tcBorders>
              <w:top w:val="nil"/>
              <w:left w:val="nil"/>
              <w:bottom w:val="nil"/>
              <w:right w:val="single" w:sz="4" w:space="0" w:color="auto"/>
            </w:tcBorders>
            <w:shd w:val="clear" w:color="000000" w:fill="000000"/>
            <w:noWrap/>
            <w:vAlign w:val="bottom"/>
            <w:hideMark/>
          </w:tcPr>
          <w:p w14:paraId="7890824B" w14:textId="77777777" w:rsidR="00375FC3" w:rsidRPr="00375FC3" w:rsidRDefault="00375FC3" w:rsidP="00375FC3">
            <w:pPr>
              <w:jc w:val="center"/>
              <w:rPr>
                <w:rFonts w:cs="Arial"/>
                <w:b/>
                <w:bCs/>
                <w:color w:val="FFFFFF"/>
                <w:sz w:val="22"/>
                <w:szCs w:val="22"/>
                <w:lang w:eastAsia="en-GB"/>
              </w:rPr>
            </w:pPr>
            <w:r w:rsidRPr="00375FC3">
              <w:rPr>
                <w:rFonts w:cs="Arial"/>
                <w:b/>
                <w:bCs/>
                <w:color w:val="FFFFFF"/>
                <w:sz w:val="22"/>
                <w:szCs w:val="22"/>
                <w:lang w:eastAsia="en-GB"/>
              </w:rPr>
              <w:t>£000</w:t>
            </w:r>
          </w:p>
        </w:tc>
      </w:tr>
      <w:tr w:rsidR="00375FC3" w:rsidRPr="00375FC3" w14:paraId="526695BA" w14:textId="77777777" w:rsidTr="000D7C2D">
        <w:trPr>
          <w:trHeight w:val="268"/>
          <w:tblHeader/>
          <w:jc w:val="center"/>
        </w:trPr>
        <w:tc>
          <w:tcPr>
            <w:tcW w:w="3001" w:type="dxa"/>
            <w:tcBorders>
              <w:top w:val="nil"/>
              <w:left w:val="single" w:sz="4" w:space="0" w:color="auto"/>
              <w:bottom w:val="nil"/>
              <w:right w:val="nil"/>
            </w:tcBorders>
            <w:shd w:val="clear" w:color="auto" w:fill="auto"/>
            <w:noWrap/>
            <w:vAlign w:val="bottom"/>
            <w:hideMark/>
          </w:tcPr>
          <w:p w14:paraId="610BC3BC" w14:textId="77777777" w:rsidR="00375FC3" w:rsidRPr="00375FC3" w:rsidRDefault="00375FC3" w:rsidP="00375FC3">
            <w:pPr>
              <w:jc w:val="center"/>
              <w:rPr>
                <w:rFonts w:cs="Arial"/>
                <w:b/>
                <w:bCs/>
                <w:color w:val="FFFFFF"/>
                <w:sz w:val="22"/>
                <w:szCs w:val="22"/>
                <w:lang w:eastAsia="en-GB"/>
              </w:rPr>
            </w:pPr>
          </w:p>
        </w:tc>
        <w:tc>
          <w:tcPr>
            <w:tcW w:w="1229" w:type="dxa"/>
            <w:tcBorders>
              <w:top w:val="nil"/>
              <w:left w:val="nil"/>
              <w:bottom w:val="nil"/>
              <w:right w:val="nil"/>
            </w:tcBorders>
            <w:shd w:val="clear" w:color="auto" w:fill="auto"/>
            <w:noWrap/>
            <w:vAlign w:val="bottom"/>
            <w:hideMark/>
          </w:tcPr>
          <w:p w14:paraId="1B60F63D" w14:textId="77777777" w:rsidR="00375FC3" w:rsidRPr="00375FC3" w:rsidRDefault="00375FC3" w:rsidP="00375FC3">
            <w:pPr>
              <w:rPr>
                <w:rFonts w:cs="Arial"/>
                <w:sz w:val="22"/>
                <w:szCs w:val="22"/>
                <w:lang w:eastAsia="en-GB"/>
              </w:rPr>
            </w:pPr>
          </w:p>
        </w:tc>
        <w:tc>
          <w:tcPr>
            <w:tcW w:w="1228" w:type="dxa"/>
            <w:tcBorders>
              <w:top w:val="nil"/>
              <w:left w:val="nil"/>
              <w:bottom w:val="nil"/>
              <w:right w:val="single" w:sz="4" w:space="0" w:color="auto"/>
            </w:tcBorders>
            <w:shd w:val="clear" w:color="auto" w:fill="auto"/>
            <w:noWrap/>
            <w:vAlign w:val="bottom"/>
            <w:hideMark/>
          </w:tcPr>
          <w:p w14:paraId="71D34E0F" w14:textId="77777777" w:rsidR="00375FC3" w:rsidRPr="00375FC3" w:rsidRDefault="00375FC3" w:rsidP="00375FC3">
            <w:pPr>
              <w:rPr>
                <w:rFonts w:cs="Arial"/>
                <w:sz w:val="22"/>
                <w:szCs w:val="22"/>
                <w:lang w:eastAsia="en-GB"/>
              </w:rPr>
            </w:pPr>
          </w:p>
        </w:tc>
      </w:tr>
      <w:tr w:rsidR="00375FC3" w:rsidRPr="00375FC3" w14:paraId="634B8468" w14:textId="77777777" w:rsidTr="000D7C2D">
        <w:trPr>
          <w:trHeight w:val="277"/>
          <w:tblHeader/>
          <w:jc w:val="center"/>
        </w:trPr>
        <w:tc>
          <w:tcPr>
            <w:tcW w:w="3001" w:type="dxa"/>
            <w:tcBorders>
              <w:top w:val="nil"/>
              <w:left w:val="single" w:sz="4" w:space="0" w:color="auto"/>
              <w:bottom w:val="nil"/>
              <w:right w:val="nil"/>
            </w:tcBorders>
            <w:shd w:val="clear" w:color="auto" w:fill="auto"/>
            <w:noWrap/>
            <w:vAlign w:val="bottom"/>
            <w:hideMark/>
          </w:tcPr>
          <w:p w14:paraId="448AD936" w14:textId="77777777" w:rsidR="00375FC3" w:rsidRPr="00375FC3" w:rsidRDefault="00375FC3" w:rsidP="00375FC3">
            <w:pPr>
              <w:rPr>
                <w:rFonts w:cs="Arial"/>
                <w:b/>
                <w:bCs/>
                <w:sz w:val="22"/>
                <w:szCs w:val="22"/>
                <w:lang w:eastAsia="en-GB"/>
              </w:rPr>
            </w:pPr>
            <w:r w:rsidRPr="00375FC3">
              <w:rPr>
                <w:rFonts w:cs="Arial"/>
                <w:b/>
                <w:bCs/>
                <w:sz w:val="22"/>
                <w:szCs w:val="22"/>
                <w:lang w:eastAsia="en-GB"/>
              </w:rPr>
              <w:t>Grant Receipts in Advance</w:t>
            </w:r>
          </w:p>
        </w:tc>
        <w:tc>
          <w:tcPr>
            <w:tcW w:w="1229" w:type="dxa"/>
            <w:tcBorders>
              <w:top w:val="nil"/>
              <w:left w:val="nil"/>
              <w:bottom w:val="nil"/>
              <w:right w:val="nil"/>
            </w:tcBorders>
            <w:shd w:val="clear" w:color="auto" w:fill="auto"/>
            <w:noWrap/>
            <w:vAlign w:val="bottom"/>
            <w:hideMark/>
          </w:tcPr>
          <w:p w14:paraId="1DBBC1E3" w14:textId="77777777" w:rsidR="00375FC3" w:rsidRPr="00375FC3" w:rsidRDefault="00375FC3" w:rsidP="00375FC3">
            <w:pPr>
              <w:rPr>
                <w:rFonts w:cs="Arial"/>
                <w:b/>
                <w:bCs/>
                <w:sz w:val="22"/>
                <w:szCs w:val="22"/>
                <w:lang w:eastAsia="en-GB"/>
              </w:rPr>
            </w:pPr>
          </w:p>
        </w:tc>
        <w:tc>
          <w:tcPr>
            <w:tcW w:w="1228" w:type="dxa"/>
            <w:tcBorders>
              <w:top w:val="nil"/>
              <w:left w:val="nil"/>
              <w:bottom w:val="nil"/>
              <w:right w:val="single" w:sz="4" w:space="0" w:color="auto"/>
            </w:tcBorders>
            <w:shd w:val="clear" w:color="auto" w:fill="auto"/>
            <w:noWrap/>
            <w:vAlign w:val="bottom"/>
            <w:hideMark/>
          </w:tcPr>
          <w:p w14:paraId="4709F011" w14:textId="77777777" w:rsidR="00375FC3" w:rsidRPr="00375FC3" w:rsidRDefault="00375FC3" w:rsidP="00375FC3">
            <w:pPr>
              <w:rPr>
                <w:rFonts w:cs="Arial"/>
                <w:sz w:val="22"/>
                <w:szCs w:val="22"/>
                <w:lang w:eastAsia="en-GB"/>
              </w:rPr>
            </w:pPr>
          </w:p>
        </w:tc>
      </w:tr>
      <w:tr w:rsidR="00375FC3" w:rsidRPr="00375FC3" w14:paraId="273FB040" w14:textId="77777777" w:rsidTr="000D7C2D">
        <w:trPr>
          <w:trHeight w:val="277"/>
          <w:tblHeader/>
          <w:jc w:val="center"/>
        </w:trPr>
        <w:tc>
          <w:tcPr>
            <w:tcW w:w="3001" w:type="dxa"/>
            <w:tcBorders>
              <w:top w:val="nil"/>
              <w:left w:val="single" w:sz="4" w:space="0" w:color="auto"/>
              <w:bottom w:val="nil"/>
              <w:right w:val="nil"/>
            </w:tcBorders>
            <w:shd w:val="clear" w:color="auto" w:fill="auto"/>
            <w:noWrap/>
            <w:vAlign w:val="bottom"/>
            <w:hideMark/>
          </w:tcPr>
          <w:p w14:paraId="63236784" w14:textId="77777777" w:rsidR="00375FC3" w:rsidRPr="00375FC3" w:rsidRDefault="00375FC3" w:rsidP="00375FC3">
            <w:pPr>
              <w:rPr>
                <w:rFonts w:cs="Arial"/>
                <w:sz w:val="22"/>
                <w:szCs w:val="22"/>
                <w:lang w:eastAsia="en-GB"/>
              </w:rPr>
            </w:pPr>
          </w:p>
        </w:tc>
        <w:tc>
          <w:tcPr>
            <w:tcW w:w="1229" w:type="dxa"/>
            <w:tcBorders>
              <w:top w:val="nil"/>
              <w:left w:val="nil"/>
              <w:bottom w:val="nil"/>
              <w:right w:val="nil"/>
            </w:tcBorders>
            <w:shd w:val="clear" w:color="auto" w:fill="auto"/>
            <w:noWrap/>
            <w:vAlign w:val="bottom"/>
            <w:hideMark/>
          </w:tcPr>
          <w:p w14:paraId="604715B5" w14:textId="77777777" w:rsidR="00375FC3" w:rsidRPr="00375FC3" w:rsidRDefault="00375FC3" w:rsidP="00375FC3">
            <w:pPr>
              <w:rPr>
                <w:rFonts w:cs="Arial"/>
                <w:sz w:val="22"/>
                <w:szCs w:val="22"/>
                <w:lang w:eastAsia="en-GB"/>
              </w:rPr>
            </w:pPr>
          </w:p>
        </w:tc>
        <w:tc>
          <w:tcPr>
            <w:tcW w:w="1228" w:type="dxa"/>
            <w:tcBorders>
              <w:top w:val="nil"/>
              <w:left w:val="nil"/>
              <w:bottom w:val="nil"/>
              <w:right w:val="single" w:sz="4" w:space="0" w:color="auto"/>
            </w:tcBorders>
            <w:shd w:val="clear" w:color="auto" w:fill="auto"/>
            <w:noWrap/>
            <w:vAlign w:val="bottom"/>
            <w:hideMark/>
          </w:tcPr>
          <w:p w14:paraId="2218AA08" w14:textId="77777777" w:rsidR="00375FC3" w:rsidRPr="00375FC3" w:rsidRDefault="00375FC3" w:rsidP="00375FC3">
            <w:pPr>
              <w:rPr>
                <w:rFonts w:cs="Arial"/>
                <w:sz w:val="22"/>
                <w:szCs w:val="22"/>
                <w:lang w:eastAsia="en-GB"/>
              </w:rPr>
            </w:pPr>
          </w:p>
        </w:tc>
      </w:tr>
      <w:tr w:rsidR="00375FC3" w:rsidRPr="00375FC3" w14:paraId="6D448A86" w14:textId="77777777" w:rsidTr="000D7C2D">
        <w:trPr>
          <w:trHeight w:val="277"/>
          <w:tblHeader/>
          <w:jc w:val="center"/>
        </w:trPr>
        <w:tc>
          <w:tcPr>
            <w:tcW w:w="3001" w:type="dxa"/>
            <w:tcBorders>
              <w:top w:val="nil"/>
              <w:left w:val="single" w:sz="4" w:space="0" w:color="auto"/>
              <w:bottom w:val="nil"/>
              <w:right w:val="nil"/>
            </w:tcBorders>
            <w:shd w:val="clear" w:color="auto" w:fill="auto"/>
            <w:noWrap/>
            <w:vAlign w:val="bottom"/>
            <w:hideMark/>
          </w:tcPr>
          <w:p w14:paraId="51595BB2" w14:textId="500D30DD" w:rsidR="00375FC3" w:rsidRPr="00375FC3" w:rsidRDefault="00375FC3" w:rsidP="00375FC3">
            <w:pPr>
              <w:rPr>
                <w:rFonts w:cs="Arial"/>
                <w:sz w:val="22"/>
                <w:szCs w:val="22"/>
                <w:lang w:eastAsia="en-GB"/>
              </w:rPr>
            </w:pPr>
            <w:r w:rsidRPr="00375FC3">
              <w:rPr>
                <w:rFonts w:cs="Arial"/>
                <w:sz w:val="22"/>
                <w:szCs w:val="22"/>
                <w:lang w:eastAsia="en-GB"/>
              </w:rPr>
              <w:t xml:space="preserve">Cumbria LEP </w:t>
            </w:r>
          </w:p>
        </w:tc>
        <w:tc>
          <w:tcPr>
            <w:tcW w:w="1229" w:type="dxa"/>
            <w:tcBorders>
              <w:top w:val="nil"/>
              <w:left w:val="nil"/>
              <w:bottom w:val="nil"/>
              <w:right w:val="nil"/>
            </w:tcBorders>
            <w:shd w:val="clear" w:color="auto" w:fill="auto"/>
            <w:noWrap/>
            <w:vAlign w:val="bottom"/>
            <w:hideMark/>
          </w:tcPr>
          <w:p w14:paraId="6C1F8A56"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445</w:t>
            </w:r>
          </w:p>
        </w:tc>
        <w:tc>
          <w:tcPr>
            <w:tcW w:w="1228" w:type="dxa"/>
            <w:tcBorders>
              <w:top w:val="nil"/>
              <w:left w:val="nil"/>
              <w:bottom w:val="nil"/>
              <w:right w:val="single" w:sz="4" w:space="0" w:color="auto"/>
            </w:tcBorders>
            <w:shd w:val="clear" w:color="auto" w:fill="auto"/>
            <w:noWrap/>
            <w:vAlign w:val="bottom"/>
            <w:hideMark/>
          </w:tcPr>
          <w:p w14:paraId="110AFACF"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0</w:t>
            </w:r>
          </w:p>
        </w:tc>
      </w:tr>
      <w:tr w:rsidR="00375FC3" w:rsidRPr="00375FC3" w14:paraId="3FF65212" w14:textId="77777777" w:rsidTr="000D7C2D">
        <w:trPr>
          <w:trHeight w:val="277"/>
          <w:tblHeader/>
          <w:jc w:val="center"/>
        </w:trPr>
        <w:tc>
          <w:tcPr>
            <w:tcW w:w="3001" w:type="dxa"/>
            <w:tcBorders>
              <w:top w:val="nil"/>
              <w:left w:val="single" w:sz="4" w:space="0" w:color="auto"/>
              <w:bottom w:val="nil"/>
              <w:right w:val="nil"/>
            </w:tcBorders>
            <w:shd w:val="clear" w:color="auto" w:fill="auto"/>
            <w:noWrap/>
            <w:vAlign w:val="bottom"/>
            <w:hideMark/>
          </w:tcPr>
          <w:p w14:paraId="798320C6" w14:textId="77777777" w:rsidR="00375FC3" w:rsidRPr="00375FC3" w:rsidRDefault="00375FC3" w:rsidP="00375FC3">
            <w:pPr>
              <w:rPr>
                <w:rFonts w:cs="Arial"/>
                <w:sz w:val="22"/>
                <w:szCs w:val="22"/>
                <w:lang w:eastAsia="en-GB"/>
              </w:rPr>
            </w:pPr>
            <w:r w:rsidRPr="00375FC3">
              <w:rPr>
                <w:rFonts w:cs="Arial"/>
                <w:sz w:val="22"/>
                <w:szCs w:val="22"/>
                <w:lang w:eastAsia="en-GB"/>
              </w:rPr>
              <w:t>DLUCH</w:t>
            </w:r>
          </w:p>
        </w:tc>
        <w:tc>
          <w:tcPr>
            <w:tcW w:w="1229" w:type="dxa"/>
            <w:tcBorders>
              <w:top w:val="nil"/>
              <w:left w:val="nil"/>
              <w:bottom w:val="nil"/>
              <w:right w:val="nil"/>
            </w:tcBorders>
            <w:shd w:val="clear" w:color="auto" w:fill="auto"/>
            <w:noWrap/>
            <w:vAlign w:val="bottom"/>
            <w:hideMark/>
          </w:tcPr>
          <w:p w14:paraId="368D53ED"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130</w:t>
            </w:r>
          </w:p>
        </w:tc>
        <w:tc>
          <w:tcPr>
            <w:tcW w:w="1228" w:type="dxa"/>
            <w:tcBorders>
              <w:top w:val="nil"/>
              <w:left w:val="nil"/>
              <w:bottom w:val="nil"/>
              <w:right w:val="single" w:sz="4" w:space="0" w:color="auto"/>
            </w:tcBorders>
            <w:shd w:val="clear" w:color="auto" w:fill="auto"/>
            <w:noWrap/>
            <w:vAlign w:val="bottom"/>
            <w:hideMark/>
          </w:tcPr>
          <w:p w14:paraId="66D978A5"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0</w:t>
            </w:r>
          </w:p>
        </w:tc>
      </w:tr>
      <w:tr w:rsidR="00375FC3" w:rsidRPr="00375FC3" w14:paraId="3BF96A9D" w14:textId="77777777" w:rsidTr="000D7C2D">
        <w:trPr>
          <w:trHeight w:val="277"/>
          <w:tblHeader/>
          <w:jc w:val="center"/>
        </w:trPr>
        <w:tc>
          <w:tcPr>
            <w:tcW w:w="3001" w:type="dxa"/>
            <w:tcBorders>
              <w:top w:val="nil"/>
              <w:left w:val="single" w:sz="4" w:space="0" w:color="auto"/>
              <w:bottom w:val="nil"/>
              <w:right w:val="nil"/>
            </w:tcBorders>
            <w:shd w:val="clear" w:color="auto" w:fill="auto"/>
            <w:noWrap/>
            <w:vAlign w:val="bottom"/>
            <w:hideMark/>
          </w:tcPr>
          <w:p w14:paraId="67B7473E" w14:textId="77777777" w:rsidR="00375FC3" w:rsidRPr="00375FC3" w:rsidRDefault="00375FC3" w:rsidP="00375FC3">
            <w:pPr>
              <w:rPr>
                <w:rFonts w:cs="Arial"/>
                <w:sz w:val="22"/>
                <w:szCs w:val="22"/>
                <w:lang w:eastAsia="en-GB"/>
              </w:rPr>
            </w:pPr>
            <w:r w:rsidRPr="00375FC3">
              <w:rPr>
                <w:rFonts w:cs="Arial"/>
                <w:sz w:val="22"/>
                <w:szCs w:val="22"/>
                <w:lang w:eastAsia="en-GB"/>
              </w:rPr>
              <w:t>DEFRA</w:t>
            </w:r>
          </w:p>
        </w:tc>
        <w:tc>
          <w:tcPr>
            <w:tcW w:w="1229" w:type="dxa"/>
            <w:tcBorders>
              <w:top w:val="nil"/>
              <w:left w:val="nil"/>
              <w:bottom w:val="nil"/>
              <w:right w:val="nil"/>
            </w:tcBorders>
            <w:shd w:val="clear" w:color="auto" w:fill="auto"/>
            <w:noWrap/>
            <w:vAlign w:val="bottom"/>
            <w:hideMark/>
          </w:tcPr>
          <w:p w14:paraId="7D34F308"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35</w:t>
            </w:r>
          </w:p>
        </w:tc>
        <w:tc>
          <w:tcPr>
            <w:tcW w:w="1228" w:type="dxa"/>
            <w:tcBorders>
              <w:top w:val="nil"/>
              <w:left w:val="nil"/>
              <w:bottom w:val="nil"/>
              <w:right w:val="single" w:sz="4" w:space="0" w:color="auto"/>
            </w:tcBorders>
            <w:shd w:val="clear" w:color="auto" w:fill="auto"/>
            <w:noWrap/>
            <w:vAlign w:val="bottom"/>
            <w:hideMark/>
          </w:tcPr>
          <w:p w14:paraId="735C6E1E"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0</w:t>
            </w:r>
          </w:p>
        </w:tc>
      </w:tr>
      <w:tr w:rsidR="00375FC3" w:rsidRPr="00375FC3" w14:paraId="78B0E777" w14:textId="77777777" w:rsidTr="000D7C2D">
        <w:trPr>
          <w:trHeight w:val="277"/>
          <w:tblHeader/>
          <w:jc w:val="center"/>
        </w:trPr>
        <w:tc>
          <w:tcPr>
            <w:tcW w:w="3001" w:type="dxa"/>
            <w:tcBorders>
              <w:top w:val="nil"/>
              <w:left w:val="single" w:sz="4" w:space="0" w:color="auto"/>
              <w:bottom w:val="nil"/>
              <w:right w:val="nil"/>
            </w:tcBorders>
            <w:shd w:val="clear" w:color="auto" w:fill="auto"/>
            <w:noWrap/>
            <w:vAlign w:val="bottom"/>
            <w:hideMark/>
          </w:tcPr>
          <w:p w14:paraId="6A7BCA4C" w14:textId="77777777" w:rsidR="00375FC3" w:rsidRPr="00375FC3" w:rsidRDefault="00375FC3" w:rsidP="00375FC3">
            <w:pPr>
              <w:rPr>
                <w:rFonts w:cs="Arial"/>
                <w:sz w:val="22"/>
                <w:szCs w:val="22"/>
                <w:lang w:eastAsia="en-GB"/>
              </w:rPr>
            </w:pPr>
            <w:r w:rsidRPr="00375FC3">
              <w:rPr>
                <w:rFonts w:cs="Arial"/>
                <w:sz w:val="22"/>
                <w:szCs w:val="22"/>
                <w:lang w:eastAsia="en-GB"/>
              </w:rPr>
              <w:t>National Grid</w:t>
            </w:r>
          </w:p>
        </w:tc>
        <w:tc>
          <w:tcPr>
            <w:tcW w:w="1229" w:type="dxa"/>
            <w:tcBorders>
              <w:top w:val="nil"/>
              <w:left w:val="nil"/>
              <w:bottom w:val="nil"/>
              <w:right w:val="nil"/>
            </w:tcBorders>
            <w:shd w:val="clear" w:color="auto" w:fill="auto"/>
            <w:noWrap/>
            <w:vAlign w:val="bottom"/>
            <w:hideMark/>
          </w:tcPr>
          <w:p w14:paraId="2A0CA778"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24</w:t>
            </w:r>
          </w:p>
        </w:tc>
        <w:tc>
          <w:tcPr>
            <w:tcW w:w="1228" w:type="dxa"/>
            <w:tcBorders>
              <w:top w:val="nil"/>
              <w:left w:val="nil"/>
              <w:bottom w:val="nil"/>
              <w:right w:val="single" w:sz="4" w:space="0" w:color="auto"/>
            </w:tcBorders>
            <w:shd w:val="clear" w:color="auto" w:fill="auto"/>
            <w:noWrap/>
            <w:vAlign w:val="bottom"/>
            <w:hideMark/>
          </w:tcPr>
          <w:p w14:paraId="4281629D"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175</w:t>
            </w:r>
          </w:p>
        </w:tc>
      </w:tr>
      <w:tr w:rsidR="00375FC3" w:rsidRPr="00375FC3" w14:paraId="634DC4E4" w14:textId="77777777" w:rsidTr="000D7C2D">
        <w:trPr>
          <w:trHeight w:val="277"/>
          <w:tblHeader/>
          <w:jc w:val="center"/>
        </w:trPr>
        <w:tc>
          <w:tcPr>
            <w:tcW w:w="3001" w:type="dxa"/>
            <w:tcBorders>
              <w:top w:val="nil"/>
              <w:left w:val="single" w:sz="4" w:space="0" w:color="auto"/>
              <w:bottom w:val="nil"/>
              <w:right w:val="nil"/>
            </w:tcBorders>
            <w:shd w:val="clear" w:color="auto" w:fill="auto"/>
            <w:noWrap/>
            <w:vAlign w:val="bottom"/>
            <w:hideMark/>
          </w:tcPr>
          <w:p w14:paraId="35ACB68B" w14:textId="77777777" w:rsidR="00375FC3" w:rsidRPr="00375FC3" w:rsidRDefault="00375FC3" w:rsidP="00375FC3">
            <w:pPr>
              <w:rPr>
                <w:rFonts w:cs="Arial"/>
                <w:sz w:val="22"/>
                <w:szCs w:val="22"/>
                <w:lang w:eastAsia="en-GB"/>
              </w:rPr>
            </w:pPr>
            <w:r w:rsidRPr="00375FC3">
              <w:rPr>
                <w:rFonts w:cs="Arial"/>
                <w:sz w:val="22"/>
                <w:szCs w:val="22"/>
                <w:lang w:eastAsia="en-GB"/>
              </w:rPr>
              <w:t xml:space="preserve">Cumbria Country Council </w:t>
            </w:r>
          </w:p>
        </w:tc>
        <w:tc>
          <w:tcPr>
            <w:tcW w:w="1229" w:type="dxa"/>
            <w:tcBorders>
              <w:top w:val="nil"/>
              <w:left w:val="nil"/>
              <w:bottom w:val="nil"/>
              <w:right w:val="nil"/>
            </w:tcBorders>
            <w:shd w:val="clear" w:color="auto" w:fill="auto"/>
            <w:noWrap/>
            <w:vAlign w:val="bottom"/>
            <w:hideMark/>
          </w:tcPr>
          <w:p w14:paraId="3DE3C524"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16</w:t>
            </w:r>
          </w:p>
        </w:tc>
        <w:tc>
          <w:tcPr>
            <w:tcW w:w="1228" w:type="dxa"/>
            <w:tcBorders>
              <w:top w:val="nil"/>
              <w:left w:val="nil"/>
              <w:bottom w:val="nil"/>
              <w:right w:val="single" w:sz="4" w:space="0" w:color="auto"/>
            </w:tcBorders>
            <w:shd w:val="clear" w:color="auto" w:fill="auto"/>
            <w:noWrap/>
            <w:vAlign w:val="bottom"/>
            <w:hideMark/>
          </w:tcPr>
          <w:p w14:paraId="660EDD54"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76</w:t>
            </w:r>
          </w:p>
        </w:tc>
      </w:tr>
      <w:tr w:rsidR="00375FC3" w:rsidRPr="00375FC3" w14:paraId="55FDCDD1" w14:textId="77777777" w:rsidTr="000D7C2D">
        <w:trPr>
          <w:trHeight w:val="277"/>
          <w:tblHeader/>
          <w:jc w:val="center"/>
        </w:trPr>
        <w:tc>
          <w:tcPr>
            <w:tcW w:w="3001" w:type="dxa"/>
            <w:tcBorders>
              <w:top w:val="nil"/>
              <w:left w:val="single" w:sz="4" w:space="0" w:color="auto"/>
              <w:bottom w:val="nil"/>
              <w:right w:val="nil"/>
            </w:tcBorders>
            <w:shd w:val="clear" w:color="auto" w:fill="auto"/>
            <w:noWrap/>
            <w:vAlign w:val="bottom"/>
            <w:hideMark/>
          </w:tcPr>
          <w:p w14:paraId="398755D1" w14:textId="77777777" w:rsidR="00375FC3" w:rsidRPr="00375FC3" w:rsidRDefault="00375FC3" w:rsidP="00375FC3">
            <w:pPr>
              <w:rPr>
                <w:rFonts w:cs="Arial"/>
                <w:sz w:val="22"/>
                <w:szCs w:val="22"/>
                <w:lang w:eastAsia="en-GB"/>
              </w:rPr>
            </w:pPr>
            <w:r w:rsidRPr="00375FC3">
              <w:rPr>
                <w:rFonts w:cs="Arial"/>
                <w:sz w:val="22"/>
                <w:szCs w:val="22"/>
                <w:lang w:eastAsia="en-GB"/>
              </w:rPr>
              <w:t>Copeland Borough Council</w:t>
            </w:r>
          </w:p>
        </w:tc>
        <w:tc>
          <w:tcPr>
            <w:tcW w:w="1229" w:type="dxa"/>
            <w:tcBorders>
              <w:top w:val="nil"/>
              <w:left w:val="nil"/>
              <w:bottom w:val="nil"/>
              <w:right w:val="nil"/>
            </w:tcBorders>
            <w:shd w:val="clear" w:color="auto" w:fill="auto"/>
            <w:noWrap/>
            <w:vAlign w:val="bottom"/>
            <w:hideMark/>
          </w:tcPr>
          <w:p w14:paraId="17F3F77D"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0</w:t>
            </w:r>
          </w:p>
        </w:tc>
        <w:tc>
          <w:tcPr>
            <w:tcW w:w="1228" w:type="dxa"/>
            <w:tcBorders>
              <w:top w:val="nil"/>
              <w:left w:val="nil"/>
              <w:bottom w:val="nil"/>
              <w:right w:val="single" w:sz="4" w:space="0" w:color="auto"/>
            </w:tcBorders>
            <w:shd w:val="clear" w:color="auto" w:fill="auto"/>
            <w:noWrap/>
            <w:vAlign w:val="bottom"/>
            <w:hideMark/>
          </w:tcPr>
          <w:p w14:paraId="056A319B"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74</w:t>
            </w:r>
          </w:p>
        </w:tc>
      </w:tr>
      <w:tr w:rsidR="00375FC3" w:rsidRPr="00375FC3" w14:paraId="13D65B86" w14:textId="77777777" w:rsidTr="000D7C2D">
        <w:trPr>
          <w:trHeight w:val="277"/>
          <w:tblHeader/>
          <w:jc w:val="center"/>
        </w:trPr>
        <w:tc>
          <w:tcPr>
            <w:tcW w:w="3001" w:type="dxa"/>
            <w:tcBorders>
              <w:top w:val="nil"/>
              <w:left w:val="single" w:sz="4" w:space="0" w:color="auto"/>
              <w:bottom w:val="nil"/>
              <w:right w:val="nil"/>
            </w:tcBorders>
            <w:shd w:val="clear" w:color="auto" w:fill="auto"/>
            <w:noWrap/>
            <w:vAlign w:val="bottom"/>
            <w:hideMark/>
          </w:tcPr>
          <w:p w14:paraId="04CDA1D9" w14:textId="77777777" w:rsidR="00375FC3" w:rsidRPr="00375FC3" w:rsidRDefault="00375FC3" w:rsidP="00375FC3">
            <w:pPr>
              <w:rPr>
                <w:rFonts w:cs="Arial"/>
                <w:sz w:val="22"/>
                <w:szCs w:val="22"/>
                <w:lang w:eastAsia="en-GB"/>
              </w:rPr>
            </w:pPr>
            <w:r w:rsidRPr="00375FC3">
              <w:rPr>
                <w:rFonts w:cs="Arial"/>
                <w:sz w:val="22"/>
                <w:szCs w:val="22"/>
                <w:lang w:eastAsia="en-GB"/>
              </w:rPr>
              <w:t>Copeland Community Fund</w:t>
            </w:r>
          </w:p>
        </w:tc>
        <w:tc>
          <w:tcPr>
            <w:tcW w:w="1229" w:type="dxa"/>
            <w:tcBorders>
              <w:top w:val="nil"/>
              <w:left w:val="nil"/>
              <w:bottom w:val="nil"/>
              <w:right w:val="nil"/>
            </w:tcBorders>
            <w:shd w:val="clear" w:color="auto" w:fill="auto"/>
            <w:noWrap/>
            <w:vAlign w:val="bottom"/>
            <w:hideMark/>
          </w:tcPr>
          <w:p w14:paraId="5FC6A9EB"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0</w:t>
            </w:r>
          </w:p>
        </w:tc>
        <w:tc>
          <w:tcPr>
            <w:tcW w:w="1228" w:type="dxa"/>
            <w:tcBorders>
              <w:top w:val="nil"/>
              <w:left w:val="nil"/>
              <w:bottom w:val="nil"/>
              <w:right w:val="single" w:sz="4" w:space="0" w:color="auto"/>
            </w:tcBorders>
            <w:shd w:val="clear" w:color="auto" w:fill="auto"/>
            <w:noWrap/>
            <w:vAlign w:val="bottom"/>
            <w:hideMark/>
          </w:tcPr>
          <w:p w14:paraId="63717D07"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22</w:t>
            </w:r>
          </w:p>
        </w:tc>
      </w:tr>
      <w:tr w:rsidR="00375FC3" w:rsidRPr="00375FC3" w14:paraId="0B43D57D" w14:textId="77777777" w:rsidTr="000D7C2D">
        <w:trPr>
          <w:trHeight w:val="277"/>
          <w:tblHeader/>
          <w:jc w:val="center"/>
        </w:trPr>
        <w:tc>
          <w:tcPr>
            <w:tcW w:w="3001" w:type="dxa"/>
            <w:tcBorders>
              <w:top w:val="nil"/>
              <w:left w:val="single" w:sz="4" w:space="0" w:color="auto"/>
              <w:bottom w:val="nil"/>
              <w:right w:val="nil"/>
            </w:tcBorders>
            <w:shd w:val="clear" w:color="auto" w:fill="auto"/>
            <w:noWrap/>
            <w:vAlign w:val="bottom"/>
            <w:hideMark/>
          </w:tcPr>
          <w:p w14:paraId="2181DF53" w14:textId="6E2D4F7E" w:rsidR="00375FC3" w:rsidRPr="00375FC3" w:rsidRDefault="00375FC3" w:rsidP="00375FC3">
            <w:pPr>
              <w:rPr>
                <w:rFonts w:cs="Arial"/>
                <w:sz w:val="22"/>
                <w:szCs w:val="22"/>
                <w:lang w:eastAsia="en-GB"/>
              </w:rPr>
            </w:pPr>
            <w:r w:rsidRPr="00375FC3">
              <w:rPr>
                <w:rFonts w:cs="Arial"/>
                <w:sz w:val="22"/>
                <w:szCs w:val="22"/>
                <w:lang w:eastAsia="en-GB"/>
              </w:rPr>
              <w:t>Private individuals</w:t>
            </w:r>
          </w:p>
        </w:tc>
        <w:tc>
          <w:tcPr>
            <w:tcW w:w="1229" w:type="dxa"/>
            <w:tcBorders>
              <w:top w:val="nil"/>
              <w:left w:val="nil"/>
              <w:bottom w:val="nil"/>
              <w:right w:val="nil"/>
            </w:tcBorders>
            <w:shd w:val="clear" w:color="auto" w:fill="auto"/>
            <w:noWrap/>
            <w:vAlign w:val="bottom"/>
            <w:hideMark/>
          </w:tcPr>
          <w:p w14:paraId="0E613D1C"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0</w:t>
            </w:r>
          </w:p>
        </w:tc>
        <w:tc>
          <w:tcPr>
            <w:tcW w:w="1228" w:type="dxa"/>
            <w:tcBorders>
              <w:top w:val="nil"/>
              <w:left w:val="nil"/>
              <w:bottom w:val="nil"/>
              <w:right w:val="single" w:sz="4" w:space="0" w:color="auto"/>
            </w:tcBorders>
            <w:shd w:val="clear" w:color="auto" w:fill="auto"/>
            <w:noWrap/>
            <w:vAlign w:val="bottom"/>
            <w:hideMark/>
          </w:tcPr>
          <w:p w14:paraId="4372195D"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2</w:t>
            </w:r>
          </w:p>
        </w:tc>
      </w:tr>
      <w:tr w:rsidR="00375FC3" w:rsidRPr="00375FC3" w14:paraId="1CA8CC75" w14:textId="77777777" w:rsidTr="000D7C2D">
        <w:trPr>
          <w:trHeight w:val="277"/>
          <w:tblHeader/>
          <w:jc w:val="center"/>
        </w:trPr>
        <w:tc>
          <w:tcPr>
            <w:tcW w:w="3001" w:type="dxa"/>
            <w:tcBorders>
              <w:top w:val="nil"/>
              <w:left w:val="single" w:sz="4" w:space="0" w:color="auto"/>
              <w:bottom w:val="nil"/>
              <w:right w:val="nil"/>
            </w:tcBorders>
            <w:shd w:val="clear" w:color="auto" w:fill="auto"/>
            <w:noWrap/>
            <w:vAlign w:val="bottom"/>
            <w:hideMark/>
          </w:tcPr>
          <w:p w14:paraId="4461C193" w14:textId="77777777" w:rsidR="00375FC3" w:rsidRPr="00375FC3" w:rsidRDefault="00375FC3" w:rsidP="00375FC3">
            <w:pPr>
              <w:rPr>
                <w:rFonts w:cs="Arial"/>
                <w:sz w:val="22"/>
                <w:szCs w:val="22"/>
                <w:lang w:eastAsia="en-GB"/>
              </w:rPr>
            </w:pPr>
            <w:proofErr w:type="spellStart"/>
            <w:r w:rsidRPr="00375FC3">
              <w:rPr>
                <w:rFonts w:cs="Arial"/>
                <w:sz w:val="22"/>
                <w:szCs w:val="22"/>
                <w:lang w:eastAsia="en-GB"/>
              </w:rPr>
              <w:t>Allerdale</w:t>
            </w:r>
            <w:proofErr w:type="spellEnd"/>
            <w:r w:rsidRPr="00375FC3">
              <w:rPr>
                <w:rFonts w:cs="Arial"/>
                <w:sz w:val="22"/>
                <w:szCs w:val="22"/>
                <w:lang w:eastAsia="en-GB"/>
              </w:rPr>
              <w:t xml:space="preserve"> Borough Council</w:t>
            </w:r>
          </w:p>
        </w:tc>
        <w:tc>
          <w:tcPr>
            <w:tcW w:w="1229" w:type="dxa"/>
            <w:tcBorders>
              <w:top w:val="nil"/>
              <w:left w:val="nil"/>
              <w:bottom w:val="nil"/>
              <w:right w:val="nil"/>
            </w:tcBorders>
            <w:shd w:val="clear" w:color="auto" w:fill="auto"/>
            <w:noWrap/>
            <w:vAlign w:val="bottom"/>
            <w:hideMark/>
          </w:tcPr>
          <w:p w14:paraId="754C01D6"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11</w:t>
            </w:r>
          </w:p>
        </w:tc>
        <w:tc>
          <w:tcPr>
            <w:tcW w:w="1228" w:type="dxa"/>
            <w:tcBorders>
              <w:top w:val="nil"/>
              <w:left w:val="nil"/>
              <w:bottom w:val="nil"/>
              <w:right w:val="single" w:sz="4" w:space="0" w:color="auto"/>
            </w:tcBorders>
            <w:shd w:val="clear" w:color="auto" w:fill="auto"/>
            <w:noWrap/>
            <w:vAlign w:val="bottom"/>
            <w:hideMark/>
          </w:tcPr>
          <w:p w14:paraId="7FEF5BFC"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6</w:t>
            </w:r>
          </w:p>
        </w:tc>
      </w:tr>
      <w:tr w:rsidR="00375FC3" w:rsidRPr="00375FC3" w14:paraId="017942A9" w14:textId="77777777" w:rsidTr="000D7C2D">
        <w:trPr>
          <w:trHeight w:val="277"/>
          <w:tblHeader/>
          <w:jc w:val="center"/>
        </w:trPr>
        <w:tc>
          <w:tcPr>
            <w:tcW w:w="3001" w:type="dxa"/>
            <w:tcBorders>
              <w:top w:val="nil"/>
              <w:left w:val="single" w:sz="4" w:space="0" w:color="auto"/>
              <w:bottom w:val="nil"/>
              <w:right w:val="nil"/>
            </w:tcBorders>
            <w:shd w:val="clear" w:color="auto" w:fill="auto"/>
            <w:noWrap/>
            <w:vAlign w:val="bottom"/>
            <w:hideMark/>
          </w:tcPr>
          <w:p w14:paraId="12B86C5D" w14:textId="77777777" w:rsidR="00375FC3" w:rsidRPr="00375FC3" w:rsidRDefault="00375FC3" w:rsidP="00375FC3">
            <w:pPr>
              <w:rPr>
                <w:rFonts w:cs="Arial"/>
                <w:sz w:val="22"/>
                <w:szCs w:val="22"/>
                <w:lang w:eastAsia="en-GB"/>
              </w:rPr>
            </w:pPr>
            <w:r w:rsidRPr="00375FC3">
              <w:rPr>
                <w:rFonts w:cs="Arial"/>
                <w:sz w:val="22"/>
                <w:szCs w:val="22"/>
                <w:lang w:eastAsia="en-GB"/>
              </w:rPr>
              <w:t>Lake District Foundation</w:t>
            </w:r>
          </w:p>
        </w:tc>
        <w:tc>
          <w:tcPr>
            <w:tcW w:w="1229" w:type="dxa"/>
            <w:tcBorders>
              <w:top w:val="nil"/>
              <w:left w:val="nil"/>
              <w:bottom w:val="nil"/>
              <w:right w:val="nil"/>
            </w:tcBorders>
            <w:shd w:val="clear" w:color="auto" w:fill="auto"/>
            <w:noWrap/>
            <w:vAlign w:val="bottom"/>
            <w:hideMark/>
          </w:tcPr>
          <w:p w14:paraId="4821E6AE"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10</w:t>
            </w:r>
          </w:p>
        </w:tc>
        <w:tc>
          <w:tcPr>
            <w:tcW w:w="1228" w:type="dxa"/>
            <w:tcBorders>
              <w:top w:val="nil"/>
              <w:left w:val="nil"/>
              <w:bottom w:val="nil"/>
              <w:right w:val="single" w:sz="4" w:space="0" w:color="auto"/>
            </w:tcBorders>
            <w:shd w:val="clear" w:color="auto" w:fill="auto"/>
            <w:noWrap/>
            <w:vAlign w:val="bottom"/>
            <w:hideMark/>
          </w:tcPr>
          <w:p w14:paraId="579B7235"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5</w:t>
            </w:r>
          </w:p>
        </w:tc>
      </w:tr>
      <w:tr w:rsidR="00375FC3" w:rsidRPr="00375FC3" w14:paraId="3916D13B" w14:textId="77777777" w:rsidTr="000D7C2D">
        <w:trPr>
          <w:trHeight w:val="277"/>
          <w:tblHeader/>
          <w:jc w:val="center"/>
        </w:trPr>
        <w:tc>
          <w:tcPr>
            <w:tcW w:w="3001" w:type="dxa"/>
            <w:tcBorders>
              <w:top w:val="nil"/>
              <w:left w:val="single" w:sz="4" w:space="0" w:color="auto"/>
              <w:bottom w:val="nil"/>
              <w:right w:val="nil"/>
            </w:tcBorders>
            <w:shd w:val="clear" w:color="auto" w:fill="auto"/>
            <w:noWrap/>
            <w:vAlign w:val="bottom"/>
            <w:hideMark/>
          </w:tcPr>
          <w:p w14:paraId="23FEF3FC" w14:textId="77777777" w:rsidR="00375FC3" w:rsidRPr="00375FC3" w:rsidRDefault="00375FC3" w:rsidP="00375FC3">
            <w:pPr>
              <w:rPr>
                <w:rFonts w:cs="Arial"/>
                <w:sz w:val="22"/>
                <w:szCs w:val="22"/>
                <w:lang w:eastAsia="en-GB"/>
              </w:rPr>
            </w:pPr>
            <w:r w:rsidRPr="00375FC3">
              <w:rPr>
                <w:rFonts w:cs="Arial"/>
                <w:sz w:val="22"/>
                <w:szCs w:val="22"/>
                <w:lang w:eastAsia="en-GB"/>
              </w:rPr>
              <w:t>Rural Payments Agency</w:t>
            </w:r>
          </w:p>
        </w:tc>
        <w:tc>
          <w:tcPr>
            <w:tcW w:w="1229" w:type="dxa"/>
            <w:tcBorders>
              <w:top w:val="nil"/>
              <w:left w:val="nil"/>
              <w:bottom w:val="nil"/>
              <w:right w:val="nil"/>
            </w:tcBorders>
            <w:shd w:val="clear" w:color="auto" w:fill="auto"/>
            <w:noWrap/>
            <w:vAlign w:val="bottom"/>
            <w:hideMark/>
          </w:tcPr>
          <w:p w14:paraId="06E2D2EF"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6</w:t>
            </w:r>
          </w:p>
        </w:tc>
        <w:tc>
          <w:tcPr>
            <w:tcW w:w="1228" w:type="dxa"/>
            <w:tcBorders>
              <w:top w:val="nil"/>
              <w:left w:val="nil"/>
              <w:bottom w:val="nil"/>
              <w:right w:val="single" w:sz="4" w:space="0" w:color="auto"/>
            </w:tcBorders>
            <w:shd w:val="clear" w:color="auto" w:fill="auto"/>
            <w:noWrap/>
            <w:vAlign w:val="bottom"/>
            <w:hideMark/>
          </w:tcPr>
          <w:p w14:paraId="46C2C545"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0</w:t>
            </w:r>
          </w:p>
        </w:tc>
      </w:tr>
      <w:tr w:rsidR="00375FC3" w:rsidRPr="00375FC3" w14:paraId="5EC2D7F6" w14:textId="77777777" w:rsidTr="000D7C2D">
        <w:trPr>
          <w:trHeight w:val="277"/>
          <w:tblHeader/>
          <w:jc w:val="center"/>
        </w:trPr>
        <w:tc>
          <w:tcPr>
            <w:tcW w:w="3001" w:type="dxa"/>
            <w:tcBorders>
              <w:top w:val="nil"/>
              <w:left w:val="single" w:sz="4" w:space="0" w:color="auto"/>
              <w:bottom w:val="nil"/>
              <w:right w:val="nil"/>
            </w:tcBorders>
            <w:shd w:val="clear" w:color="auto" w:fill="auto"/>
            <w:noWrap/>
            <w:vAlign w:val="bottom"/>
            <w:hideMark/>
          </w:tcPr>
          <w:p w14:paraId="3B658878" w14:textId="77777777" w:rsidR="00375FC3" w:rsidRPr="00375FC3" w:rsidRDefault="00375FC3" w:rsidP="00375FC3">
            <w:pPr>
              <w:rPr>
                <w:rFonts w:cs="Arial"/>
                <w:sz w:val="22"/>
                <w:szCs w:val="22"/>
                <w:lang w:eastAsia="en-GB"/>
              </w:rPr>
            </w:pPr>
            <w:r w:rsidRPr="00375FC3">
              <w:rPr>
                <w:rFonts w:cs="Arial"/>
                <w:sz w:val="22"/>
                <w:szCs w:val="22"/>
                <w:lang w:eastAsia="en-GB"/>
              </w:rPr>
              <w:t>Natural England</w:t>
            </w:r>
          </w:p>
        </w:tc>
        <w:tc>
          <w:tcPr>
            <w:tcW w:w="1229" w:type="dxa"/>
            <w:tcBorders>
              <w:top w:val="nil"/>
              <w:left w:val="nil"/>
              <w:bottom w:val="nil"/>
              <w:right w:val="nil"/>
            </w:tcBorders>
            <w:shd w:val="clear" w:color="auto" w:fill="auto"/>
            <w:noWrap/>
            <w:vAlign w:val="bottom"/>
            <w:hideMark/>
          </w:tcPr>
          <w:p w14:paraId="41313ABC"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5</w:t>
            </w:r>
          </w:p>
        </w:tc>
        <w:tc>
          <w:tcPr>
            <w:tcW w:w="1228" w:type="dxa"/>
            <w:tcBorders>
              <w:top w:val="nil"/>
              <w:left w:val="nil"/>
              <w:bottom w:val="nil"/>
              <w:right w:val="single" w:sz="4" w:space="0" w:color="auto"/>
            </w:tcBorders>
            <w:shd w:val="clear" w:color="auto" w:fill="auto"/>
            <w:noWrap/>
            <w:vAlign w:val="bottom"/>
            <w:hideMark/>
          </w:tcPr>
          <w:p w14:paraId="18A721A8"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0</w:t>
            </w:r>
          </w:p>
        </w:tc>
      </w:tr>
      <w:tr w:rsidR="00375FC3" w:rsidRPr="00375FC3" w14:paraId="1B4F1266" w14:textId="77777777" w:rsidTr="000D7C2D">
        <w:trPr>
          <w:trHeight w:val="277"/>
          <w:tblHeader/>
          <w:jc w:val="center"/>
        </w:trPr>
        <w:tc>
          <w:tcPr>
            <w:tcW w:w="3001" w:type="dxa"/>
            <w:tcBorders>
              <w:top w:val="nil"/>
              <w:left w:val="single" w:sz="4" w:space="0" w:color="auto"/>
              <w:bottom w:val="nil"/>
              <w:right w:val="nil"/>
            </w:tcBorders>
            <w:shd w:val="clear" w:color="auto" w:fill="auto"/>
            <w:noWrap/>
            <w:vAlign w:val="bottom"/>
            <w:hideMark/>
          </w:tcPr>
          <w:p w14:paraId="73E3DF77" w14:textId="77777777" w:rsidR="00375FC3" w:rsidRPr="00375FC3" w:rsidRDefault="00375FC3" w:rsidP="00375FC3">
            <w:pPr>
              <w:rPr>
                <w:rFonts w:cs="Arial"/>
                <w:sz w:val="22"/>
                <w:szCs w:val="22"/>
                <w:lang w:eastAsia="en-GB"/>
              </w:rPr>
            </w:pPr>
            <w:r w:rsidRPr="00375FC3">
              <w:rPr>
                <w:rFonts w:cs="Arial"/>
                <w:sz w:val="22"/>
                <w:szCs w:val="22"/>
                <w:lang w:eastAsia="en-GB"/>
              </w:rPr>
              <w:t>Forestry Commission</w:t>
            </w:r>
          </w:p>
        </w:tc>
        <w:tc>
          <w:tcPr>
            <w:tcW w:w="1229" w:type="dxa"/>
            <w:tcBorders>
              <w:top w:val="nil"/>
              <w:left w:val="nil"/>
              <w:bottom w:val="nil"/>
              <w:right w:val="nil"/>
            </w:tcBorders>
            <w:shd w:val="clear" w:color="auto" w:fill="auto"/>
            <w:noWrap/>
            <w:vAlign w:val="bottom"/>
            <w:hideMark/>
          </w:tcPr>
          <w:p w14:paraId="0800D60A"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4</w:t>
            </w:r>
          </w:p>
        </w:tc>
        <w:tc>
          <w:tcPr>
            <w:tcW w:w="1228" w:type="dxa"/>
            <w:tcBorders>
              <w:top w:val="nil"/>
              <w:left w:val="nil"/>
              <w:bottom w:val="nil"/>
              <w:right w:val="single" w:sz="4" w:space="0" w:color="auto"/>
            </w:tcBorders>
            <w:shd w:val="clear" w:color="auto" w:fill="auto"/>
            <w:noWrap/>
            <w:vAlign w:val="bottom"/>
            <w:hideMark/>
          </w:tcPr>
          <w:p w14:paraId="231FF036"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0</w:t>
            </w:r>
          </w:p>
        </w:tc>
      </w:tr>
      <w:tr w:rsidR="00375FC3" w:rsidRPr="00375FC3" w14:paraId="6F3B990C" w14:textId="77777777" w:rsidTr="000D7C2D">
        <w:trPr>
          <w:trHeight w:val="277"/>
          <w:tblHeader/>
          <w:jc w:val="center"/>
        </w:trPr>
        <w:tc>
          <w:tcPr>
            <w:tcW w:w="3001" w:type="dxa"/>
            <w:tcBorders>
              <w:top w:val="nil"/>
              <w:left w:val="single" w:sz="4" w:space="0" w:color="auto"/>
              <w:bottom w:val="nil"/>
              <w:right w:val="nil"/>
            </w:tcBorders>
            <w:shd w:val="clear" w:color="auto" w:fill="auto"/>
            <w:noWrap/>
            <w:vAlign w:val="bottom"/>
            <w:hideMark/>
          </w:tcPr>
          <w:p w14:paraId="4381912C" w14:textId="77777777" w:rsidR="00375FC3" w:rsidRPr="00375FC3" w:rsidRDefault="00375FC3" w:rsidP="00375FC3">
            <w:pPr>
              <w:rPr>
                <w:rFonts w:cs="Arial"/>
                <w:sz w:val="22"/>
                <w:szCs w:val="22"/>
                <w:lang w:eastAsia="en-GB"/>
              </w:rPr>
            </w:pPr>
            <w:r w:rsidRPr="00375FC3">
              <w:rPr>
                <w:rFonts w:cs="Arial"/>
                <w:sz w:val="22"/>
                <w:szCs w:val="22"/>
                <w:lang w:eastAsia="en-GB"/>
              </w:rPr>
              <w:t>Caldbeck Commoners</w:t>
            </w:r>
          </w:p>
        </w:tc>
        <w:tc>
          <w:tcPr>
            <w:tcW w:w="1229" w:type="dxa"/>
            <w:tcBorders>
              <w:top w:val="nil"/>
              <w:left w:val="nil"/>
              <w:bottom w:val="nil"/>
              <w:right w:val="nil"/>
            </w:tcBorders>
            <w:shd w:val="clear" w:color="auto" w:fill="auto"/>
            <w:noWrap/>
            <w:vAlign w:val="bottom"/>
            <w:hideMark/>
          </w:tcPr>
          <w:p w14:paraId="5CAB0EB6"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4</w:t>
            </w:r>
          </w:p>
        </w:tc>
        <w:tc>
          <w:tcPr>
            <w:tcW w:w="1228" w:type="dxa"/>
            <w:tcBorders>
              <w:top w:val="nil"/>
              <w:left w:val="nil"/>
              <w:bottom w:val="nil"/>
              <w:right w:val="single" w:sz="4" w:space="0" w:color="auto"/>
            </w:tcBorders>
            <w:shd w:val="clear" w:color="auto" w:fill="auto"/>
            <w:noWrap/>
            <w:vAlign w:val="bottom"/>
            <w:hideMark/>
          </w:tcPr>
          <w:p w14:paraId="29605222"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0</w:t>
            </w:r>
          </w:p>
        </w:tc>
      </w:tr>
      <w:tr w:rsidR="00375FC3" w:rsidRPr="00375FC3" w14:paraId="790C8388" w14:textId="77777777" w:rsidTr="000D7C2D">
        <w:trPr>
          <w:trHeight w:val="277"/>
          <w:tblHeader/>
          <w:jc w:val="center"/>
        </w:trPr>
        <w:tc>
          <w:tcPr>
            <w:tcW w:w="3001" w:type="dxa"/>
            <w:tcBorders>
              <w:top w:val="nil"/>
              <w:left w:val="single" w:sz="4" w:space="0" w:color="auto"/>
              <w:bottom w:val="nil"/>
              <w:right w:val="nil"/>
            </w:tcBorders>
            <w:shd w:val="clear" w:color="auto" w:fill="auto"/>
            <w:noWrap/>
            <w:vAlign w:val="bottom"/>
            <w:hideMark/>
          </w:tcPr>
          <w:p w14:paraId="5C6B5220" w14:textId="77777777" w:rsidR="00375FC3" w:rsidRPr="00375FC3" w:rsidRDefault="00375FC3" w:rsidP="00375FC3">
            <w:pPr>
              <w:rPr>
                <w:rFonts w:cs="Arial"/>
                <w:sz w:val="22"/>
                <w:szCs w:val="22"/>
                <w:lang w:eastAsia="en-GB"/>
              </w:rPr>
            </w:pPr>
            <w:r w:rsidRPr="00375FC3">
              <w:rPr>
                <w:rFonts w:cs="Arial"/>
                <w:sz w:val="22"/>
                <w:szCs w:val="22"/>
                <w:lang w:eastAsia="en-GB"/>
              </w:rPr>
              <w:t>Woodland Trust</w:t>
            </w:r>
          </w:p>
        </w:tc>
        <w:tc>
          <w:tcPr>
            <w:tcW w:w="1229" w:type="dxa"/>
            <w:tcBorders>
              <w:top w:val="nil"/>
              <w:left w:val="nil"/>
              <w:bottom w:val="nil"/>
              <w:right w:val="nil"/>
            </w:tcBorders>
            <w:shd w:val="clear" w:color="auto" w:fill="auto"/>
            <w:noWrap/>
            <w:vAlign w:val="bottom"/>
            <w:hideMark/>
          </w:tcPr>
          <w:p w14:paraId="1C3A7DB4"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2</w:t>
            </w:r>
          </w:p>
        </w:tc>
        <w:tc>
          <w:tcPr>
            <w:tcW w:w="1228" w:type="dxa"/>
            <w:tcBorders>
              <w:top w:val="nil"/>
              <w:left w:val="nil"/>
              <w:bottom w:val="nil"/>
              <w:right w:val="single" w:sz="4" w:space="0" w:color="auto"/>
            </w:tcBorders>
            <w:shd w:val="clear" w:color="auto" w:fill="auto"/>
            <w:noWrap/>
            <w:vAlign w:val="bottom"/>
            <w:hideMark/>
          </w:tcPr>
          <w:p w14:paraId="0AF52155"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89</w:t>
            </w:r>
          </w:p>
        </w:tc>
      </w:tr>
      <w:tr w:rsidR="00375FC3" w:rsidRPr="00375FC3" w14:paraId="5AE1EBF0" w14:textId="77777777" w:rsidTr="000D7C2D">
        <w:trPr>
          <w:trHeight w:val="277"/>
          <w:tblHeader/>
          <w:jc w:val="center"/>
        </w:trPr>
        <w:tc>
          <w:tcPr>
            <w:tcW w:w="3001" w:type="dxa"/>
            <w:tcBorders>
              <w:top w:val="nil"/>
              <w:left w:val="single" w:sz="4" w:space="0" w:color="auto"/>
              <w:bottom w:val="nil"/>
              <w:right w:val="nil"/>
            </w:tcBorders>
            <w:shd w:val="clear" w:color="auto" w:fill="auto"/>
            <w:noWrap/>
            <w:vAlign w:val="bottom"/>
            <w:hideMark/>
          </w:tcPr>
          <w:p w14:paraId="701EE773" w14:textId="77777777" w:rsidR="00375FC3" w:rsidRPr="00375FC3" w:rsidRDefault="00375FC3" w:rsidP="00375FC3">
            <w:pPr>
              <w:rPr>
                <w:rFonts w:cs="Arial"/>
                <w:sz w:val="22"/>
                <w:szCs w:val="22"/>
                <w:lang w:eastAsia="en-GB"/>
              </w:rPr>
            </w:pPr>
            <w:r w:rsidRPr="00375FC3">
              <w:rPr>
                <w:rFonts w:cs="Arial"/>
                <w:sz w:val="22"/>
                <w:szCs w:val="22"/>
                <w:lang w:eastAsia="en-GB"/>
              </w:rPr>
              <w:t>Estee Lauder</w:t>
            </w:r>
          </w:p>
        </w:tc>
        <w:tc>
          <w:tcPr>
            <w:tcW w:w="1229" w:type="dxa"/>
            <w:tcBorders>
              <w:top w:val="nil"/>
              <w:left w:val="nil"/>
              <w:bottom w:val="nil"/>
              <w:right w:val="nil"/>
            </w:tcBorders>
            <w:shd w:val="clear" w:color="auto" w:fill="auto"/>
            <w:noWrap/>
            <w:vAlign w:val="bottom"/>
            <w:hideMark/>
          </w:tcPr>
          <w:p w14:paraId="6CA2081B"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0</w:t>
            </w:r>
          </w:p>
        </w:tc>
        <w:tc>
          <w:tcPr>
            <w:tcW w:w="1228" w:type="dxa"/>
            <w:tcBorders>
              <w:top w:val="nil"/>
              <w:left w:val="nil"/>
              <w:bottom w:val="nil"/>
              <w:right w:val="single" w:sz="4" w:space="0" w:color="auto"/>
            </w:tcBorders>
            <w:shd w:val="clear" w:color="auto" w:fill="auto"/>
            <w:noWrap/>
            <w:vAlign w:val="bottom"/>
            <w:hideMark/>
          </w:tcPr>
          <w:p w14:paraId="1F1DF237" w14:textId="77777777" w:rsidR="00375FC3" w:rsidRPr="00375FC3" w:rsidRDefault="00375FC3" w:rsidP="00375FC3">
            <w:pPr>
              <w:jc w:val="right"/>
              <w:rPr>
                <w:rFonts w:cs="Arial"/>
                <w:color w:val="000000"/>
                <w:sz w:val="22"/>
                <w:szCs w:val="22"/>
                <w:lang w:eastAsia="en-GB"/>
              </w:rPr>
            </w:pPr>
            <w:r w:rsidRPr="00375FC3">
              <w:rPr>
                <w:rFonts w:cs="Arial"/>
                <w:color w:val="000000"/>
                <w:sz w:val="22"/>
                <w:szCs w:val="22"/>
                <w:lang w:eastAsia="en-GB"/>
              </w:rPr>
              <w:t>22</w:t>
            </w:r>
          </w:p>
        </w:tc>
      </w:tr>
      <w:tr w:rsidR="00375FC3" w:rsidRPr="00375FC3" w14:paraId="055DA166" w14:textId="77777777" w:rsidTr="000D7C2D">
        <w:trPr>
          <w:trHeight w:val="277"/>
          <w:tblHeader/>
          <w:jc w:val="center"/>
        </w:trPr>
        <w:tc>
          <w:tcPr>
            <w:tcW w:w="3001" w:type="dxa"/>
            <w:tcBorders>
              <w:top w:val="nil"/>
              <w:left w:val="single" w:sz="4" w:space="0" w:color="auto"/>
              <w:bottom w:val="nil"/>
              <w:right w:val="nil"/>
            </w:tcBorders>
            <w:shd w:val="clear" w:color="auto" w:fill="auto"/>
            <w:noWrap/>
            <w:vAlign w:val="bottom"/>
            <w:hideMark/>
          </w:tcPr>
          <w:p w14:paraId="28254CBA" w14:textId="77777777" w:rsidR="00375FC3" w:rsidRPr="00375FC3" w:rsidRDefault="00375FC3" w:rsidP="00375FC3">
            <w:pPr>
              <w:jc w:val="right"/>
              <w:rPr>
                <w:rFonts w:cs="Arial"/>
                <w:color w:val="000000"/>
                <w:sz w:val="22"/>
                <w:szCs w:val="22"/>
                <w:lang w:eastAsia="en-GB"/>
              </w:rPr>
            </w:pPr>
          </w:p>
        </w:tc>
        <w:tc>
          <w:tcPr>
            <w:tcW w:w="1229" w:type="dxa"/>
            <w:tcBorders>
              <w:top w:val="nil"/>
              <w:left w:val="nil"/>
              <w:bottom w:val="nil"/>
              <w:right w:val="nil"/>
            </w:tcBorders>
            <w:shd w:val="clear" w:color="auto" w:fill="auto"/>
            <w:noWrap/>
            <w:vAlign w:val="bottom"/>
            <w:hideMark/>
          </w:tcPr>
          <w:p w14:paraId="39FD3CAF" w14:textId="77777777" w:rsidR="00375FC3" w:rsidRPr="00375FC3" w:rsidRDefault="00375FC3" w:rsidP="00375FC3">
            <w:pPr>
              <w:rPr>
                <w:rFonts w:cs="Arial"/>
                <w:sz w:val="22"/>
                <w:szCs w:val="22"/>
                <w:lang w:eastAsia="en-GB"/>
              </w:rPr>
            </w:pPr>
          </w:p>
        </w:tc>
        <w:tc>
          <w:tcPr>
            <w:tcW w:w="1228" w:type="dxa"/>
            <w:tcBorders>
              <w:top w:val="nil"/>
              <w:left w:val="nil"/>
              <w:bottom w:val="nil"/>
              <w:right w:val="single" w:sz="4" w:space="0" w:color="auto"/>
            </w:tcBorders>
            <w:shd w:val="clear" w:color="auto" w:fill="auto"/>
            <w:noWrap/>
            <w:vAlign w:val="bottom"/>
            <w:hideMark/>
          </w:tcPr>
          <w:p w14:paraId="430DD97E" w14:textId="77777777" w:rsidR="00375FC3" w:rsidRPr="00375FC3" w:rsidRDefault="00375FC3" w:rsidP="00375FC3">
            <w:pPr>
              <w:rPr>
                <w:rFonts w:cs="Arial"/>
                <w:sz w:val="22"/>
                <w:szCs w:val="22"/>
                <w:lang w:eastAsia="en-GB"/>
              </w:rPr>
            </w:pPr>
          </w:p>
        </w:tc>
      </w:tr>
      <w:tr w:rsidR="00375FC3" w:rsidRPr="00375FC3" w14:paraId="0DC5DC67" w14:textId="77777777" w:rsidTr="000D7C2D">
        <w:trPr>
          <w:trHeight w:val="277"/>
          <w:tblHeader/>
          <w:jc w:val="center"/>
        </w:trPr>
        <w:tc>
          <w:tcPr>
            <w:tcW w:w="3001" w:type="dxa"/>
            <w:tcBorders>
              <w:top w:val="nil"/>
              <w:left w:val="single" w:sz="4" w:space="0" w:color="auto"/>
              <w:bottom w:val="single" w:sz="4" w:space="0" w:color="auto"/>
              <w:right w:val="nil"/>
            </w:tcBorders>
            <w:shd w:val="clear" w:color="auto" w:fill="auto"/>
            <w:noWrap/>
            <w:vAlign w:val="bottom"/>
            <w:hideMark/>
          </w:tcPr>
          <w:p w14:paraId="74058BBC" w14:textId="77777777" w:rsidR="00375FC3" w:rsidRPr="00375FC3" w:rsidRDefault="00375FC3" w:rsidP="00375FC3">
            <w:pPr>
              <w:rPr>
                <w:rFonts w:cs="Arial"/>
                <w:sz w:val="22"/>
                <w:szCs w:val="22"/>
                <w:lang w:eastAsia="en-GB"/>
              </w:rPr>
            </w:pPr>
          </w:p>
        </w:tc>
        <w:tc>
          <w:tcPr>
            <w:tcW w:w="1229" w:type="dxa"/>
            <w:tcBorders>
              <w:top w:val="single" w:sz="4" w:space="0" w:color="auto"/>
              <w:left w:val="nil"/>
              <w:bottom w:val="single" w:sz="4" w:space="0" w:color="auto"/>
              <w:right w:val="nil"/>
            </w:tcBorders>
            <w:shd w:val="clear" w:color="auto" w:fill="auto"/>
            <w:noWrap/>
            <w:vAlign w:val="bottom"/>
            <w:hideMark/>
          </w:tcPr>
          <w:p w14:paraId="13CEA8A8" w14:textId="77777777" w:rsidR="00375FC3" w:rsidRPr="00375FC3" w:rsidRDefault="00375FC3" w:rsidP="00375FC3">
            <w:pPr>
              <w:jc w:val="right"/>
              <w:rPr>
                <w:rFonts w:cs="Arial"/>
                <w:b/>
                <w:bCs/>
                <w:sz w:val="22"/>
                <w:szCs w:val="22"/>
                <w:lang w:eastAsia="en-GB"/>
              </w:rPr>
            </w:pPr>
            <w:r w:rsidRPr="00375FC3">
              <w:rPr>
                <w:rFonts w:cs="Arial"/>
                <w:b/>
                <w:bCs/>
                <w:sz w:val="22"/>
                <w:szCs w:val="22"/>
                <w:lang w:eastAsia="en-GB"/>
              </w:rPr>
              <w:t>692</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14:paraId="7A28E428" w14:textId="77777777" w:rsidR="00375FC3" w:rsidRPr="00375FC3" w:rsidRDefault="00375FC3" w:rsidP="00375FC3">
            <w:pPr>
              <w:jc w:val="right"/>
              <w:rPr>
                <w:rFonts w:cs="Arial"/>
                <w:b/>
                <w:bCs/>
                <w:sz w:val="22"/>
                <w:szCs w:val="22"/>
                <w:lang w:eastAsia="en-GB"/>
              </w:rPr>
            </w:pPr>
            <w:r w:rsidRPr="00375FC3">
              <w:rPr>
                <w:rFonts w:cs="Arial"/>
                <w:b/>
                <w:bCs/>
                <w:sz w:val="22"/>
                <w:szCs w:val="22"/>
                <w:lang w:eastAsia="en-GB"/>
              </w:rPr>
              <w:t>472</w:t>
            </w:r>
          </w:p>
        </w:tc>
      </w:tr>
    </w:tbl>
    <w:p w14:paraId="59BFB9EE" w14:textId="77777777" w:rsidR="006A2C55" w:rsidRDefault="00FB2AB8" w:rsidP="00375FC3">
      <w:pPr>
        <w:rPr>
          <w:lang w:eastAsia="en-GB"/>
        </w:rPr>
      </w:pPr>
      <w:r w:rsidRPr="00375FC3">
        <w:rPr>
          <w:lang w:eastAsia="en-GB"/>
        </w:rPr>
        <w:t xml:space="preserve">         </w:t>
      </w:r>
    </w:p>
    <w:p w14:paraId="3C367092" w14:textId="77777777" w:rsidR="006A2C55" w:rsidRDefault="006A2C55" w:rsidP="00375FC3">
      <w:pPr>
        <w:rPr>
          <w:lang w:eastAsia="en-GB"/>
        </w:rPr>
      </w:pPr>
    </w:p>
    <w:p w14:paraId="485A4740" w14:textId="2B4CCBE2" w:rsidR="007F01E5" w:rsidRPr="001D2A5B" w:rsidRDefault="007F01E5" w:rsidP="00375FC3">
      <w:pPr>
        <w:rPr>
          <w:rFonts w:cs="Arial"/>
          <w:b/>
          <w:i/>
        </w:rPr>
      </w:pPr>
      <w:r w:rsidRPr="00375FC3">
        <w:rPr>
          <w:rFonts w:cs="Arial"/>
          <w:b/>
        </w:rPr>
        <w:t>15.</w:t>
      </w:r>
      <w:r w:rsidRPr="00375FC3">
        <w:rPr>
          <w:rFonts w:cs="Arial"/>
          <w:b/>
        </w:rPr>
        <w:tab/>
      </w:r>
      <w:r w:rsidRPr="00375FC3">
        <w:rPr>
          <w:b/>
        </w:rPr>
        <w:t>Pension Reserve</w:t>
      </w:r>
    </w:p>
    <w:p w14:paraId="485A4741" w14:textId="77777777" w:rsidR="007F01E5" w:rsidRPr="001D2A5B" w:rsidRDefault="007F01E5" w:rsidP="007F01E5">
      <w:pPr>
        <w:tabs>
          <w:tab w:val="left" w:pos="567"/>
        </w:tabs>
        <w:rPr>
          <w:lang w:eastAsia="en-GB"/>
        </w:rPr>
      </w:pPr>
    </w:p>
    <w:p w14:paraId="14810FBA" w14:textId="29ECF4D1" w:rsidR="008B6E87" w:rsidRPr="001D2A5B" w:rsidRDefault="007F01E5" w:rsidP="007F01E5">
      <w:pPr>
        <w:tabs>
          <w:tab w:val="left" w:pos="567"/>
        </w:tabs>
        <w:ind w:left="567"/>
        <w:rPr>
          <w:bCs/>
        </w:rPr>
      </w:pPr>
      <w:r w:rsidRPr="001D2A5B">
        <w:rPr>
          <w:bCs/>
        </w:rPr>
        <w:t xml:space="preserve">The Pension Reserve represents </w:t>
      </w:r>
      <w:r w:rsidR="001D2A5B" w:rsidRPr="001D2A5B">
        <w:rPr>
          <w:bCs/>
        </w:rPr>
        <w:t xml:space="preserve">the </w:t>
      </w:r>
      <w:r w:rsidRPr="001D2A5B">
        <w:rPr>
          <w:bCs/>
        </w:rPr>
        <w:t xml:space="preserve">overall </w:t>
      </w:r>
      <w:r w:rsidR="00DC79F2" w:rsidRPr="001D2A5B">
        <w:rPr>
          <w:bCs/>
        </w:rPr>
        <w:t>surplus</w:t>
      </w:r>
      <w:r w:rsidRPr="001D2A5B">
        <w:rPr>
          <w:b/>
        </w:rPr>
        <w:t xml:space="preserve"> </w:t>
      </w:r>
      <w:r w:rsidRPr="001D2A5B">
        <w:rPr>
          <w:bCs/>
        </w:rPr>
        <w:t xml:space="preserve">of the Authority for pension payments to employees and ex-employees who are, or have been, members of the Local Government Pension Scheme. </w:t>
      </w:r>
      <w:r w:rsidR="001D2A5B" w:rsidRPr="001D2A5B">
        <w:rPr>
          <w:bCs/>
        </w:rPr>
        <w:t xml:space="preserve">In prior years the balance of the Pension Reserve represented a deficit position.  The Pension Reserve </w:t>
      </w:r>
      <w:r w:rsidRPr="001D2A5B">
        <w:rPr>
          <w:bCs/>
        </w:rPr>
        <w:t xml:space="preserve">absorbs the timing differences arising from the different arrangements for accounting for post-employment benefits and for funding benefits in accordance with statutory provisions. </w:t>
      </w:r>
    </w:p>
    <w:p w14:paraId="14EE1F07" w14:textId="77777777" w:rsidR="008B6E87" w:rsidRPr="001D2A5B" w:rsidRDefault="008B6E87" w:rsidP="007F01E5">
      <w:pPr>
        <w:tabs>
          <w:tab w:val="left" w:pos="567"/>
        </w:tabs>
        <w:ind w:left="567"/>
        <w:rPr>
          <w:bCs/>
        </w:rPr>
      </w:pPr>
    </w:p>
    <w:p w14:paraId="485A4742" w14:textId="2ABE6D40" w:rsidR="007F01E5" w:rsidRPr="001D2A5B" w:rsidRDefault="007F01E5" w:rsidP="007F01E5">
      <w:pPr>
        <w:tabs>
          <w:tab w:val="left" w:pos="567"/>
        </w:tabs>
        <w:ind w:left="567"/>
        <w:rPr>
          <w:bCs/>
        </w:rPr>
      </w:pPr>
      <w:r w:rsidRPr="001D2A5B">
        <w:rPr>
          <w:bCs/>
        </w:rPr>
        <w:t xml:space="preserve">The Authority accounts for post-employment benefits in the Comprehensive Income &amp; Expenditure Statement as the benefits are earned by employees accruing years of service, updating the liabilities recognised to reflect inflation, changing assumptions and investment returns on any resources set aside to meet the costs. However, statutory arrangements require benefits earned to be financed as the Authority makes employers contributions to pension funds or eventually pays any pensions for which it is directly responsible. The </w:t>
      </w:r>
      <w:r w:rsidR="00DC79F2" w:rsidRPr="001D2A5B">
        <w:rPr>
          <w:bCs/>
        </w:rPr>
        <w:t>credit</w:t>
      </w:r>
      <w:r w:rsidRPr="001D2A5B">
        <w:rPr>
          <w:bCs/>
        </w:rPr>
        <w:t xml:space="preserve"> balance on the pension reserve shows a s</w:t>
      </w:r>
      <w:r w:rsidR="00DC79F2" w:rsidRPr="001D2A5B">
        <w:rPr>
          <w:bCs/>
        </w:rPr>
        <w:t>urplus</w:t>
      </w:r>
      <w:r w:rsidRPr="001D2A5B">
        <w:rPr>
          <w:bCs/>
        </w:rPr>
        <w:t xml:space="preserve"> in the benefits earned by past and current employees and the resources set aside to meet them. The position fluctuates from year to year as it represents a snapshot at the end of the financial year, based on prevailing market and other economic conditions and assumptions. The statutory arrangements ensure that funding </w:t>
      </w:r>
      <w:r w:rsidR="001D2A5B" w:rsidRPr="001D2A5B">
        <w:rPr>
          <w:bCs/>
        </w:rPr>
        <w:t xml:space="preserve">is </w:t>
      </w:r>
      <w:r w:rsidRPr="001D2A5B">
        <w:rPr>
          <w:bCs/>
        </w:rPr>
        <w:t xml:space="preserve">set aside by the time </w:t>
      </w:r>
      <w:r w:rsidR="001D2A5B" w:rsidRPr="001D2A5B">
        <w:rPr>
          <w:bCs/>
        </w:rPr>
        <w:t>any</w:t>
      </w:r>
      <w:r w:rsidRPr="001D2A5B">
        <w:rPr>
          <w:bCs/>
        </w:rPr>
        <w:t xml:space="preserve"> benefits come to be paid. </w:t>
      </w:r>
    </w:p>
    <w:p w14:paraId="485A4743" w14:textId="77777777" w:rsidR="007F01E5" w:rsidRPr="004D5CA8" w:rsidRDefault="007F01E5" w:rsidP="007F01E5">
      <w:pPr>
        <w:ind w:left="720"/>
        <w:rPr>
          <w:bCs/>
          <w:highlight w:val="yellow"/>
        </w:rPr>
      </w:pPr>
    </w:p>
    <w:p w14:paraId="27D5B464" w14:textId="77777777" w:rsidR="006A2C55" w:rsidRDefault="006A2C55" w:rsidP="007F01E5">
      <w:pPr>
        <w:ind w:left="567"/>
        <w:rPr>
          <w:b/>
        </w:rPr>
      </w:pPr>
    </w:p>
    <w:p w14:paraId="6DDEDE16" w14:textId="77777777" w:rsidR="006A2C55" w:rsidRDefault="006A2C55" w:rsidP="007F01E5">
      <w:pPr>
        <w:ind w:left="567"/>
        <w:rPr>
          <w:b/>
        </w:rPr>
      </w:pPr>
    </w:p>
    <w:p w14:paraId="7036EF04" w14:textId="77777777" w:rsidR="000D7C2D" w:rsidRDefault="000D7C2D" w:rsidP="007F01E5">
      <w:pPr>
        <w:ind w:left="567"/>
        <w:rPr>
          <w:b/>
        </w:rPr>
      </w:pPr>
    </w:p>
    <w:p w14:paraId="6EBA56D7" w14:textId="77777777" w:rsidR="000D7C2D" w:rsidRDefault="000D7C2D" w:rsidP="007F01E5">
      <w:pPr>
        <w:ind w:left="567"/>
        <w:rPr>
          <w:b/>
        </w:rPr>
      </w:pPr>
    </w:p>
    <w:p w14:paraId="485A4744" w14:textId="067C6EFB" w:rsidR="007F01E5" w:rsidRPr="00DC79F2" w:rsidRDefault="007F01E5" w:rsidP="007F01E5">
      <w:pPr>
        <w:ind w:left="567"/>
        <w:rPr>
          <w:b/>
        </w:rPr>
      </w:pPr>
      <w:r w:rsidRPr="00DC79F2">
        <w:rPr>
          <w:b/>
        </w:rPr>
        <w:lastRenderedPageBreak/>
        <w:t>Discretionary Post-Retirement Benefits</w:t>
      </w:r>
    </w:p>
    <w:p w14:paraId="485A4745" w14:textId="77777777" w:rsidR="007F01E5" w:rsidRPr="00DC79F2" w:rsidRDefault="007F01E5" w:rsidP="007F01E5">
      <w:pPr>
        <w:ind w:left="567"/>
      </w:pPr>
    </w:p>
    <w:p w14:paraId="485A4746" w14:textId="77777777" w:rsidR="007F01E5" w:rsidRPr="00DC79F2" w:rsidRDefault="007F01E5" w:rsidP="007F01E5">
      <w:pPr>
        <w:ind w:left="567"/>
      </w:pPr>
      <w:r w:rsidRPr="00DC79F2">
        <w:t>Discretionary post-retirement benefits on early retirement are an unfunded defined benefit arrangement, under which liabilities are recognised when awards are made. There are no plan assets built up to meet these pension liabilities.</w:t>
      </w:r>
    </w:p>
    <w:p w14:paraId="485A4747" w14:textId="77777777" w:rsidR="007F01E5" w:rsidRPr="00DC79F2" w:rsidRDefault="007F01E5" w:rsidP="007F01E5">
      <w:pPr>
        <w:ind w:left="720"/>
      </w:pPr>
    </w:p>
    <w:p w14:paraId="485A4748" w14:textId="77777777" w:rsidR="007F01E5" w:rsidRPr="00DC79F2" w:rsidRDefault="007F01E5" w:rsidP="007F01E5">
      <w:pPr>
        <w:ind w:left="567"/>
      </w:pPr>
      <w:r w:rsidRPr="00DC79F2">
        <w:t>The following table</w:t>
      </w:r>
      <w:r w:rsidR="005C1D0A" w:rsidRPr="00DC79F2">
        <w:t>s</w:t>
      </w:r>
      <w:r w:rsidRPr="00DC79F2">
        <w:t xml:space="preserve"> outline transactions </w:t>
      </w:r>
      <w:r w:rsidR="005C1D0A" w:rsidRPr="00DC79F2">
        <w:t>affecting the Authority’s share of the pension fund’s liabilities and assets</w:t>
      </w:r>
      <w:r w:rsidRPr="00DC79F2">
        <w:t xml:space="preserve"> during the year:</w:t>
      </w:r>
    </w:p>
    <w:p w14:paraId="485A4749" w14:textId="77777777" w:rsidR="007F01E5" w:rsidRPr="00DC79F2" w:rsidRDefault="007F01E5" w:rsidP="007F01E5">
      <w:pPr>
        <w:ind w:left="567"/>
      </w:pPr>
    </w:p>
    <w:p w14:paraId="485A474A" w14:textId="159E70F3" w:rsidR="003C110F" w:rsidRPr="00DC79F2" w:rsidRDefault="00DC79F2" w:rsidP="008F5F09">
      <w:pPr>
        <w:ind w:left="567" w:hanging="567"/>
      </w:pPr>
      <w:r w:rsidRPr="00DC79F2">
        <w:rPr>
          <w:noProof/>
        </w:rPr>
        <w:drawing>
          <wp:inline distT="0" distB="0" distL="0" distR="0" wp14:anchorId="68DDBE24" wp14:editId="53C4A472">
            <wp:extent cx="6106795" cy="2011680"/>
            <wp:effectExtent l="0" t="0" r="8255" b="7620"/>
            <wp:docPr id="16434039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06795" cy="2011680"/>
                    </a:xfrm>
                    <a:prstGeom prst="rect">
                      <a:avLst/>
                    </a:prstGeom>
                    <a:noFill/>
                    <a:ln>
                      <a:noFill/>
                    </a:ln>
                  </pic:spPr>
                </pic:pic>
              </a:graphicData>
            </a:graphic>
          </wp:inline>
        </w:drawing>
      </w:r>
    </w:p>
    <w:p w14:paraId="485A474B" w14:textId="77777777" w:rsidR="003C110F" w:rsidRPr="00DC79F2" w:rsidRDefault="003C110F" w:rsidP="007F01E5">
      <w:pPr>
        <w:ind w:left="567"/>
      </w:pPr>
    </w:p>
    <w:p w14:paraId="485A474C" w14:textId="6F2C197E" w:rsidR="003C110F" w:rsidRPr="00DC79F2" w:rsidRDefault="00DC79F2" w:rsidP="008F5F09">
      <w:pPr>
        <w:ind w:left="567" w:hanging="567"/>
        <w:jc w:val="center"/>
      </w:pPr>
      <w:r w:rsidRPr="00DC79F2">
        <w:rPr>
          <w:noProof/>
        </w:rPr>
        <w:drawing>
          <wp:inline distT="0" distB="0" distL="0" distR="0" wp14:anchorId="7AE1F18F" wp14:editId="425ABC22">
            <wp:extent cx="6106795" cy="2215515"/>
            <wp:effectExtent l="0" t="0" r="8255" b="0"/>
            <wp:docPr id="20434237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06795" cy="2215515"/>
                    </a:xfrm>
                    <a:prstGeom prst="rect">
                      <a:avLst/>
                    </a:prstGeom>
                    <a:noFill/>
                    <a:ln>
                      <a:noFill/>
                    </a:ln>
                  </pic:spPr>
                </pic:pic>
              </a:graphicData>
            </a:graphic>
          </wp:inline>
        </w:drawing>
      </w:r>
    </w:p>
    <w:p w14:paraId="485A474D" w14:textId="4515E538" w:rsidR="00A5384B" w:rsidRDefault="00A5384B" w:rsidP="007F01E5">
      <w:pPr>
        <w:ind w:left="567"/>
      </w:pPr>
    </w:p>
    <w:p w14:paraId="6294F303" w14:textId="77777777" w:rsidR="00375FC3" w:rsidRPr="00DC79F2" w:rsidRDefault="00375FC3" w:rsidP="007F01E5">
      <w:pPr>
        <w:ind w:left="567"/>
      </w:pPr>
    </w:p>
    <w:p w14:paraId="485A474E" w14:textId="6596AA70" w:rsidR="00A5384B" w:rsidRPr="00DC79F2" w:rsidRDefault="00380BD8" w:rsidP="008F5F09">
      <w:pPr>
        <w:ind w:left="567" w:hanging="567"/>
      </w:pPr>
      <w:r w:rsidRPr="00380BD8">
        <w:rPr>
          <w:noProof/>
        </w:rPr>
        <w:lastRenderedPageBreak/>
        <w:drawing>
          <wp:inline distT="0" distB="0" distL="0" distR="0" wp14:anchorId="1CA3CE15" wp14:editId="17D2A5D8">
            <wp:extent cx="6106795" cy="4417060"/>
            <wp:effectExtent l="0" t="0" r="8255" b="2540"/>
            <wp:docPr id="13934466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06795" cy="4417060"/>
                    </a:xfrm>
                    <a:prstGeom prst="rect">
                      <a:avLst/>
                    </a:prstGeom>
                    <a:noFill/>
                    <a:ln>
                      <a:noFill/>
                    </a:ln>
                  </pic:spPr>
                </pic:pic>
              </a:graphicData>
            </a:graphic>
          </wp:inline>
        </w:drawing>
      </w:r>
    </w:p>
    <w:p w14:paraId="485A474F" w14:textId="77777777" w:rsidR="007F01E5" w:rsidRPr="00DC79F2" w:rsidRDefault="007F01E5" w:rsidP="007F01E5">
      <w:pPr>
        <w:pStyle w:val="Subtitle"/>
        <w:numPr>
          <w:ilvl w:val="0"/>
          <w:numId w:val="0"/>
        </w:numPr>
        <w:tabs>
          <w:tab w:val="left" w:pos="-709"/>
          <w:tab w:val="left" w:pos="-284"/>
          <w:tab w:val="left" w:pos="-142"/>
          <w:tab w:val="left" w:pos="0"/>
          <w:tab w:val="left" w:pos="1276"/>
        </w:tabs>
        <w:spacing w:line="240" w:lineRule="atLeast"/>
        <w:ind w:right="680"/>
        <w:rPr>
          <w:rFonts w:ascii="Arial" w:eastAsia="Times New Roman" w:hAnsi="Arial"/>
          <w:i w:val="0"/>
          <w:iCs w:val="0"/>
          <w:spacing w:val="0"/>
          <w:sz w:val="23"/>
          <w:szCs w:val="23"/>
          <w:u w:val="none"/>
        </w:rPr>
      </w:pPr>
    </w:p>
    <w:p w14:paraId="7B37CEA7" w14:textId="4B54B6F9" w:rsidR="00A672EA" w:rsidRPr="00DC79F2" w:rsidRDefault="00A672EA" w:rsidP="00EE7546">
      <w:pPr>
        <w:ind w:left="567"/>
        <w:rPr>
          <w:lang w:eastAsia="en-GB"/>
        </w:rPr>
      </w:pPr>
    </w:p>
    <w:p w14:paraId="3F5C805D" w14:textId="77777777" w:rsidR="00A672EA" w:rsidRPr="00DC79F2" w:rsidRDefault="00A672EA" w:rsidP="007F01E5">
      <w:pPr>
        <w:pStyle w:val="BlockText"/>
        <w:tabs>
          <w:tab w:val="clear" w:pos="1843"/>
          <w:tab w:val="left" w:pos="567"/>
        </w:tabs>
        <w:ind w:left="0" w:right="0"/>
        <w:rPr>
          <w:rFonts w:cs="Arial"/>
          <w:b/>
          <w:sz w:val="23"/>
          <w:szCs w:val="23"/>
        </w:rPr>
      </w:pPr>
    </w:p>
    <w:p w14:paraId="485A4750" w14:textId="77777777" w:rsidR="007F01E5" w:rsidRPr="00DC79F2" w:rsidRDefault="007F01E5" w:rsidP="007F01E5">
      <w:pPr>
        <w:pStyle w:val="BlockText"/>
        <w:tabs>
          <w:tab w:val="clear" w:pos="1843"/>
          <w:tab w:val="left" w:pos="567"/>
        </w:tabs>
        <w:ind w:left="0" w:right="0"/>
        <w:rPr>
          <w:rFonts w:cs="Arial"/>
          <w:b/>
          <w:sz w:val="23"/>
          <w:szCs w:val="23"/>
        </w:rPr>
      </w:pPr>
      <w:r w:rsidRPr="00DC79F2">
        <w:rPr>
          <w:rFonts w:cs="Arial"/>
          <w:b/>
          <w:sz w:val="23"/>
          <w:szCs w:val="23"/>
        </w:rPr>
        <w:t>16.</w:t>
      </w:r>
      <w:r w:rsidRPr="00DC79F2">
        <w:rPr>
          <w:rFonts w:cs="Arial"/>
          <w:b/>
          <w:sz w:val="23"/>
          <w:szCs w:val="23"/>
        </w:rPr>
        <w:tab/>
      </w:r>
      <w:r w:rsidRPr="00DC79F2">
        <w:rPr>
          <w:rFonts w:eastAsia="Times New Roman"/>
          <w:b/>
          <w:iCs/>
          <w:sz w:val="23"/>
          <w:szCs w:val="23"/>
          <w:lang w:eastAsia="en-US"/>
        </w:rPr>
        <w:t>Defined Benefit Pension Schemes</w:t>
      </w:r>
    </w:p>
    <w:p w14:paraId="485A4751" w14:textId="77777777" w:rsidR="007F01E5" w:rsidRPr="00DC79F2" w:rsidRDefault="007F01E5" w:rsidP="007F01E5">
      <w:pPr>
        <w:pStyle w:val="Subtitle"/>
      </w:pPr>
    </w:p>
    <w:p w14:paraId="485A4752" w14:textId="77777777" w:rsidR="007F01E5" w:rsidRPr="00DC79F2" w:rsidRDefault="007F01E5" w:rsidP="007F01E5">
      <w:pPr>
        <w:ind w:left="567"/>
        <w:rPr>
          <w:b/>
        </w:rPr>
      </w:pPr>
      <w:r w:rsidRPr="00DC79F2">
        <w:rPr>
          <w:b/>
        </w:rPr>
        <w:t>Participation in Pension Schemes</w:t>
      </w:r>
    </w:p>
    <w:p w14:paraId="485A4753" w14:textId="77777777" w:rsidR="007F01E5" w:rsidRPr="00DC79F2" w:rsidRDefault="007F01E5" w:rsidP="007F01E5">
      <w:pPr>
        <w:ind w:left="567"/>
      </w:pPr>
    </w:p>
    <w:p w14:paraId="485A4754" w14:textId="77777777" w:rsidR="007F01E5" w:rsidRPr="00DC79F2" w:rsidRDefault="007F01E5" w:rsidP="007F01E5">
      <w:pPr>
        <w:ind w:left="567"/>
      </w:pPr>
      <w:r w:rsidRPr="00DC79F2">
        <w:t>As part of the terms and conditions of employment the Authority makes contributions to the cost of employee’s retirement benefits. Although these benefits will not actually be payable until employees retire, the Authority is committed to making these payments. This commitment to make retirement payments at a future date is disclosed in the year that the employees have earned their future pension entitlement in accordance with IAS 19.</w:t>
      </w:r>
    </w:p>
    <w:p w14:paraId="485A4755" w14:textId="77777777" w:rsidR="007F01E5" w:rsidRPr="00DC79F2" w:rsidRDefault="007F01E5" w:rsidP="007F01E5">
      <w:pPr>
        <w:ind w:left="567"/>
      </w:pPr>
    </w:p>
    <w:p w14:paraId="485A4756" w14:textId="0EE002D3" w:rsidR="007F01E5" w:rsidRPr="00DC79F2" w:rsidRDefault="007F01E5" w:rsidP="007F01E5">
      <w:pPr>
        <w:ind w:left="567"/>
      </w:pPr>
      <w:r w:rsidRPr="00DC79F2">
        <w:t>At 31 March 202</w:t>
      </w:r>
      <w:r w:rsidR="00DC79F2" w:rsidRPr="00DC79F2">
        <w:t>3</w:t>
      </w:r>
      <w:r w:rsidRPr="00DC79F2">
        <w:t xml:space="preserve"> the Authority’s pension arrangement for its employees was the Cumbria Local Government Pension Scheme, which is part of the Local Government Pension Scheme (LGPS). The LGPS is a funded defined benefit pension arrangement for local authorities and related employers, and is governed by statute (principally now the Local Government Pension Scheme Regulations 2013).</w:t>
      </w:r>
    </w:p>
    <w:p w14:paraId="485A4757" w14:textId="77777777" w:rsidR="007F01E5" w:rsidRPr="001D2A5B" w:rsidRDefault="007F01E5" w:rsidP="007F01E5">
      <w:pPr>
        <w:ind w:left="567"/>
      </w:pPr>
    </w:p>
    <w:p w14:paraId="485A4758" w14:textId="5343D0EE" w:rsidR="007F01E5" w:rsidRPr="001D2A5B" w:rsidRDefault="007F01E5" w:rsidP="007F01E5">
      <w:pPr>
        <w:ind w:left="567"/>
      </w:pPr>
      <w:r w:rsidRPr="001D2A5B">
        <w:t>The Cumbria Local Government Pension Scheme is a multi-employer arrangement, under which each employer is responsible for pension costs, liabilities and funding risks relating to its own employees and former employees. Each employer’s contribution to the scheme is calculated in accordance with the LGPS Regulations which require an actuarial valuation to be carried out every three years. The latest actuarial valuation of the scheme, for which results are known, took place on 31 March 20</w:t>
      </w:r>
      <w:r w:rsidR="001D2A5B" w:rsidRPr="001D2A5B">
        <w:t>22</w:t>
      </w:r>
      <w:r w:rsidRPr="001D2A5B">
        <w:t xml:space="preserve"> and at that date showed a funding level of </w:t>
      </w:r>
      <w:r w:rsidR="001D2A5B" w:rsidRPr="001D2A5B">
        <w:t>110</w:t>
      </w:r>
      <w:r w:rsidRPr="001D2A5B">
        <w:t>% (assets of £</w:t>
      </w:r>
      <w:r w:rsidR="001D2A5B" w:rsidRPr="001D2A5B">
        <w:t>3.3</w:t>
      </w:r>
      <w:r w:rsidRPr="001D2A5B">
        <w:t xml:space="preserve"> billion against accrued liabilities of about £</w:t>
      </w:r>
      <w:r w:rsidR="001D2A5B" w:rsidRPr="001D2A5B">
        <w:t>3</w:t>
      </w:r>
      <w:r w:rsidRPr="001D2A5B">
        <w:t xml:space="preserve"> billion). The duration of the liabilities for the individual employers who participate in </w:t>
      </w:r>
      <w:r w:rsidRPr="001D2A5B">
        <w:lastRenderedPageBreak/>
        <w:t xml:space="preserve">the scheme can be significantly different from this, reflecting the profile of its employees and former employees. </w:t>
      </w:r>
    </w:p>
    <w:p w14:paraId="485A4759" w14:textId="77777777" w:rsidR="007F01E5" w:rsidRPr="009261F0" w:rsidRDefault="007F01E5" w:rsidP="00EE7546"/>
    <w:p w14:paraId="485A475A" w14:textId="77777777" w:rsidR="007F01E5" w:rsidRPr="009261F0" w:rsidRDefault="007F01E5" w:rsidP="007F01E5">
      <w:pPr>
        <w:ind w:left="567"/>
        <w:rPr>
          <w:b/>
        </w:rPr>
      </w:pPr>
      <w:r w:rsidRPr="009261F0">
        <w:rPr>
          <w:b/>
        </w:rPr>
        <w:t>Governance and Risk Management</w:t>
      </w:r>
    </w:p>
    <w:p w14:paraId="485A475B" w14:textId="77777777" w:rsidR="007F01E5" w:rsidRPr="009261F0" w:rsidRDefault="007F01E5" w:rsidP="007F01E5">
      <w:pPr>
        <w:ind w:left="567"/>
      </w:pPr>
    </w:p>
    <w:p w14:paraId="485A475C" w14:textId="61C80B2B" w:rsidR="007F01E5" w:rsidRPr="009261F0" w:rsidRDefault="007F01E5" w:rsidP="007F01E5">
      <w:pPr>
        <w:ind w:left="567"/>
      </w:pPr>
      <w:r w:rsidRPr="009261F0">
        <w:t xml:space="preserve">The </w:t>
      </w:r>
      <w:r w:rsidR="009261F0" w:rsidRPr="009261F0">
        <w:t>surplus</w:t>
      </w:r>
      <w:r w:rsidRPr="009261F0">
        <w:t xml:space="preserve"> associated with the Authority’s pension arrangements is material to the Authority, as is the cash funding required. The details in relation to each arrangement, including the relevant provisions for governance and risk management, are set out below:</w:t>
      </w:r>
    </w:p>
    <w:p w14:paraId="485A475D" w14:textId="77777777" w:rsidR="007F01E5" w:rsidRPr="009261F0" w:rsidRDefault="007F01E5" w:rsidP="007F01E5">
      <w:pPr>
        <w:ind w:left="720"/>
      </w:pPr>
    </w:p>
    <w:p w14:paraId="485A475E" w14:textId="77777777" w:rsidR="007F01E5" w:rsidRPr="009261F0" w:rsidRDefault="007F01E5" w:rsidP="00317745">
      <w:pPr>
        <w:numPr>
          <w:ilvl w:val="0"/>
          <w:numId w:val="12"/>
        </w:numPr>
        <w:ind w:left="993" w:hanging="426"/>
      </w:pPr>
      <w:r w:rsidRPr="009261F0">
        <w:t>Nature of the Scheme</w:t>
      </w:r>
    </w:p>
    <w:p w14:paraId="485A475F" w14:textId="77777777" w:rsidR="007F01E5" w:rsidRPr="009261F0" w:rsidRDefault="007F01E5" w:rsidP="00EF6C9E">
      <w:pPr>
        <w:ind w:left="993" w:hanging="426"/>
      </w:pPr>
    </w:p>
    <w:p w14:paraId="485A4760" w14:textId="77777777" w:rsidR="007F01E5" w:rsidRPr="009261F0" w:rsidRDefault="007F01E5" w:rsidP="00EF6C9E">
      <w:pPr>
        <w:ind w:left="993"/>
      </w:pPr>
      <w:r w:rsidRPr="009261F0">
        <w:t>The Scheme targets a pension paid throughout life. The amount of pension depends on how long employees are active members of the scheme and their salary when they leave the scheme (a ‘final salary’ scheme) for service up to 31 March 2014 and on revalued average salary (a ‘career average’ scheme) for service from 1 April 2014 onwards.</w:t>
      </w:r>
    </w:p>
    <w:p w14:paraId="485A4761" w14:textId="77777777" w:rsidR="007F01E5" w:rsidRPr="009261F0" w:rsidRDefault="007F01E5" w:rsidP="007F01E5"/>
    <w:p w14:paraId="485A4762" w14:textId="77777777" w:rsidR="007F01E5" w:rsidRPr="009261F0" w:rsidRDefault="007F01E5" w:rsidP="00317745">
      <w:pPr>
        <w:numPr>
          <w:ilvl w:val="0"/>
          <w:numId w:val="12"/>
        </w:numPr>
        <w:ind w:left="993" w:hanging="426"/>
      </w:pPr>
      <w:r w:rsidRPr="009261F0">
        <w:t>Governance</w:t>
      </w:r>
    </w:p>
    <w:p w14:paraId="485A4763" w14:textId="77777777" w:rsidR="007F01E5" w:rsidRPr="009261F0" w:rsidRDefault="007F01E5" w:rsidP="00EF6C9E">
      <w:pPr>
        <w:ind w:left="993" w:hanging="426"/>
      </w:pPr>
    </w:p>
    <w:p w14:paraId="485A4764" w14:textId="77777777" w:rsidR="007F01E5" w:rsidRPr="00282755" w:rsidRDefault="007F01E5" w:rsidP="00EF6C9E">
      <w:pPr>
        <w:ind w:left="993"/>
        <w:rPr>
          <w:rFonts w:cs="Arial"/>
          <w:color w:val="000000"/>
          <w:lang w:eastAsia="en-GB"/>
        </w:rPr>
      </w:pPr>
      <w:r w:rsidRPr="009261F0">
        <w:t xml:space="preserve">Management of the scheme is vested in Cumbria County Council as Administering Authority of the Scheme. Cumbria County Council has appointed a Pension </w:t>
      </w:r>
      <w:r w:rsidR="00DE0EE3" w:rsidRPr="009261F0">
        <w:t>Committee</w:t>
      </w:r>
      <w:r w:rsidRPr="009261F0">
        <w:t xml:space="preserve"> to manage the Scheme. Advice is given by Cumbria County Council’s </w:t>
      </w:r>
      <w:r w:rsidR="00833138" w:rsidRPr="009261F0">
        <w:t>A</w:t>
      </w:r>
      <w:r w:rsidRPr="009261F0">
        <w:t xml:space="preserve">ssistant Director – Finance (s151 Officer), the Council’s finance team and by two independent advisers. </w:t>
      </w:r>
      <w:r w:rsidRPr="009261F0">
        <w:rPr>
          <w:rFonts w:cs="Arial"/>
          <w:color w:val="000000"/>
          <w:lang w:eastAsia="en-GB"/>
        </w:rPr>
        <w:t xml:space="preserve">The current advisers are appointed for their knowledge of investments and of pension funds; one adviser being primarily an investment specialist, the other complementing these investment skills with actuarial knowledge </w:t>
      </w:r>
      <w:r w:rsidRPr="00282755">
        <w:rPr>
          <w:rFonts w:cs="Arial"/>
          <w:color w:val="000000"/>
          <w:lang w:eastAsia="en-GB"/>
        </w:rPr>
        <w:t xml:space="preserve">of the liability profile of the Scheme. A Local Pension Board, established under the Public Service Pensions Act 2013, assists with the governance of the scheme. </w:t>
      </w:r>
    </w:p>
    <w:p w14:paraId="14C1024B" w14:textId="77777777" w:rsidR="00701712" w:rsidRPr="00282755" w:rsidRDefault="00701712" w:rsidP="00EF6C9E">
      <w:pPr>
        <w:ind w:left="993"/>
        <w:rPr>
          <w:rFonts w:cs="Arial"/>
          <w:color w:val="000000"/>
          <w:lang w:eastAsia="en-GB"/>
        </w:rPr>
      </w:pPr>
    </w:p>
    <w:p w14:paraId="485A4766" w14:textId="77777777" w:rsidR="007F01E5" w:rsidRDefault="007F01E5" w:rsidP="00317745">
      <w:pPr>
        <w:numPr>
          <w:ilvl w:val="0"/>
          <w:numId w:val="12"/>
        </w:numPr>
        <w:ind w:left="993" w:hanging="567"/>
      </w:pPr>
      <w:r w:rsidRPr="00282755">
        <w:t>Funding the Liabilities</w:t>
      </w:r>
    </w:p>
    <w:p w14:paraId="028F37D3" w14:textId="77777777" w:rsidR="00163E83" w:rsidRPr="00282755" w:rsidRDefault="00163E83" w:rsidP="00163E83">
      <w:pPr>
        <w:ind w:left="993"/>
      </w:pPr>
    </w:p>
    <w:p w14:paraId="6D6B3FBA" w14:textId="77777777" w:rsidR="00163E83" w:rsidRDefault="00EF6C9E" w:rsidP="00EF6C9E">
      <w:pPr>
        <w:ind w:left="993" w:hanging="567"/>
        <w:rPr>
          <w:rFonts w:cs="Arial"/>
          <w:color w:val="000000"/>
          <w:lang w:eastAsia="en-GB"/>
        </w:rPr>
      </w:pPr>
      <w:r w:rsidRPr="009261F0">
        <w:rPr>
          <w:rFonts w:cs="Arial"/>
          <w:color w:val="000000"/>
          <w:lang w:eastAsia="en-GB"/>
        </w:rPr>
        <w:t xml:space="preserve"> </w:t>
      </w:r>
      <w:r w:rsidRPr="009261F0">
        <w:rPr>
          <w:rFonts w:cs="Arial"/>
          <w:color w:val="000000"/>
          <w:lang w:eastAsia="en-GB"/>
        </w:rPr>
        <w:tab/>
      </w:r>
      <w:r w:rsidR="007F01E5" w:rsidRPr="009261F0">
        <w:rPr>
          <w:rFonts w:cs="Arial"/>
          <w:color w:val="000000"/>
          <w:lang w:eastAsia="en-GB"/>
        </w:rPr>
        <w:t>Regulations governing the Scheme require actuarial valuations to be carried out every three years.  Contributions for each employer are set having regard to their individual circumstances.  The Regulations require the contributions to be set with a view to targeting the Scheme’s solvency, and the detailed provisions are set out in the Scheme’s Funding Strategy Statement.  The most recent available valuation was carried out as at 31 March 20</w:t>
      </w:r>
      <w:r w:rsidR="009261F0" w:rsidRPr="009261F0">
        <w:rPr>
          <w:rFonts w:cs="Arial"/>
          <w:color w:val="000000"/>
          <w:lang w:eastAsia="en-GB"/>
        </w:rPr>
        <w:t>22</w:t>
      </w:r>
      <w:r w:rsidR="007F01E5" w:rsidRPr="009261F0">
        <w:rPr>
          <w:rFonts w:cs="Arial"/>
          <w:color w:val="000000"/>
          <w:lang w:eastAsia="en-GB"/>
        </w:rPr>
        <w:t xml:space="preserve">, which showed a </w:t>
      </w:r>
      <w:r w:rsidR="009261F0" w:rsidRPr="009261F0">
        <w:rPr>
          <w:rFonts w:cs="Arial"/>
          <w:color w:val="000000"/>
          <w:lang w:eastAsia="en-GB"/>
        </w:rPr>
        <w:t>surplus</w:t>
      </w:r>
      <w:r w:rsidR="007F01E5" w:rsidRPr="009261F0">
        <w:rPr>
          <w:rFonts w:cs="Arial"/>
          <w:color w:val="000000"/>
          <w:lang w:eastAsia="en-GB"/>
        </w:rPr>
        <w:t xml:space="preserve"> of assets against liabilities of £0.</w:t>
      </w:r>
      <w:r w:rsidR="009261F0" w:rsidRPr="009261F0">
        <w:rPr>
          <w:rFonts w:cs="Arial"/>
          <w:color w:val="000000"/>
          <w:lang w:eastAsia="en-GB"/>
        </w:rPr>
        <w:t xml:space="preserve">31 </w:t>
      </w:r>
      <w:r w:rsidR="007F01E5" w:rsidRPr="009261F0">
        <w:rPr>
          <w:rFonts w:cs="Arial"/>
          <w:color w:val="000000"/>
          <w:lang w:eastAsia="en-GB"/>
        </w:rPr>
        <w:t xml:space="preserve">billion as at that date, equivalent to a funding level of </w:t>
      </w:r>
      <w:r w:rsidR="009261F0" w:rsidRPr="009261F0">
        <w:rPr>
          <w:rFonts w:cs="Arial"/>
          <w:color w:val="000000"/>
          <w:lang w:eastAsia="en-GB"/>
        </w:rPr>
        <w:t>110</w:t>
      </w:r>
      <w:r w:rsidR="007F01E5" w:rsidRPr="009261F0">
        <w:rPr>
          <w:rFonts w:cs="Arial"/>
          <w:color w:val="000000"/>
          <w:lang w:eastAsia="en-GB"/>
        </w:rPr>
        <w:t xml:space="preserve">%.  </w:t>
      </w:r>
      <w:r w:rsidR="009261F0" w:rsidRPr="009261F0">
        <w:rPr>
          <w:rFonts w:cs="Arial"/>
          <w:color w:val="000000"/>
          <w:lang w:eastAsia="en-GB"/>
        </w:rPr>
        <w:t xml:space="preserve">A surplus buffer of 110% has been introduced to reflect current economic uncertainty and aid future contribution stability.  Any surplus above this buffer can be refunded to employers through offsetting future service contributions. </w:t>
      </w:r>
    </w:p>
    <w:p w14:paraId="423DCD33" w14:textId="77777777" w:rsidR="00163E83" w:rsidRDefault="00163E83" w:rsidP="00EF6C9E">
      <w:pPr>
        <w:ind w:left="993" w:hanging="567"/>
        <w:rPr>
          <w:rFonts w:cs="Arial"/>
          <w:color w:val="000000"/>
          <w:lang w:eastAsia="en-GB"/>
        </w:rPr>
      </w:pPr>
    </w:p>
    <w:p w14:paraId="1B97AA0C" w14:textId="1E06B6BA" w:rsidR="00163E83" w:rsidRDefault="00163E83" w:rsidP="00163E83">
      <w:pPr>
        <w:pStyle w:val="ListParagraph"/>
        <w:numPr>
          <w:ilvl w:val="0"/>
          <w:numId w:val="12"/>
        </w:numPr>
        <w:ind w:left="993" w:hanging="426"/>
        <w:rPr>
          <w:rFonts w:cs="Arial"/>
          <w:color w:val="000000"/>
          <w:sz w:val="23"/>
          <w:szCs w:val="23"/>
          <w:u w:val="none"/>
        </w:rPr>
      </w:pPr>
      <w:r>
        <w:rPr>
          <w:rFonts w:cs="Arial"/>
          <w:color w:val="000000"/>
          <w:sz w:val="23"/>
          <w:szCs w:val="23"/>
          <w:u w:val="none"/>
        </w:rPr>
        <w:t>Net defined benefit pension asset recognition</w:t>
      </w:r>
    </w:p>
    <w:p w14:paraId="521855D2" w14:textId="77777777" w:rsidR="00163E83" w:rsidRDefault="00163E83" w:rsidP="00163E83">
      <w:pPr>
        <w:pStyle w:val="ListParagraph"/>
        <w:ind w:left="993"/>
        <w:rPr>
          <w:rFonts w:cs="Arial"/>
          <w:color w:val="000000"/>
          <w:sz w:val="23"/>
          <w:szCs w:val="23"/>
          <w:u w:val="none"/>
        </w:rPr>
      </w:pPr>
    </w:p>
    <w:p w14:paraId="485A4768" w14:textId="6A6B8E8E" w:rsidR="007F01E5" w:rsidRPr="00163E83" w:rsidRDefault="00163E83" w:rsidP="00163E83">
      <w:pPr>
        <w:pStyle w:val="ListParagraph"/>
        <w:ind w:left="993"/>
        <w:rPr>
          <w:rFonts w:cs="Arial"/>
          <w:color w:val="000000"/>
          <w:sz w:val="23"/>
          <w:szCs w:val="23"/>
          <w:u w:val="none"/>
        </w:rPr>
      </w:pPr>
      <w:r w:rsidRPr="00163E83">
        <w:rPr>
          <w:rFonts w:cs="Arial"/>
          <w:color w:val="000000"/>
          <w:sz w:val="23"/>
          <w:szCs w:val="23"/>
          <w:u w:val="none"/>
        </w:rPr>
        <w:t xml:space="preserve">As part of assessing whether the </w:t>
      </w:r>
      <w:r>
        <w:rPr>
          <w:rFonts w:cs="Arial"/>
          <w:color w:val="000000"/>
          <w:sz w:val="23"/>
          <w:szCs w:val="23"/>
          <w:u w:val="none"/>
        </w:rPr>
        <w:t xml:space="preserve">net defined benefit pension </w:t>
      </w:r>
      <w:r w:rsidRPr="00163E83">
        <w:rPr>
          <w:rFonts w:cs="Arial"/>
          <w:color w:val="000000"/>
          <w:sz w:val="23"/>
          <w:szCs w:val="23"/>
          <w:u w:val="none"/>
        </w:rPr>
        <w:t>surplus on the balance sheet should be recognised</w:t>
      </w:r>
      <w:r>
        <w:rPr>
          <w:rFonts w:cs="Arial"/>
          <w:color w:val="000000"/>
          <w:sz w:val="23"/>
          <w:szCs w:val="23"/>
          <w:u w:val="none"/>
        </w:rPr>
        <w:t xml:space="preserve"> in full</w:t>
      </w:r>
      <w:r w:rsidRPr="00163E83">
        <w:rPr>
          <w:rFonts w:cs="Arial"/>
          <w:color w:val="000000"/>
          <w:sz w:val="23"/>
          <w:szCs w:val="23"/>
          <w:u w:val="none"/>
        </w:rPr>
        <w:t>, the Authority has assessed the level of poten</w:t>
      </w:r>
      <w:r>
        <w:rPr>
          <w:rFonts w:cs="Arial"/>
          <w:color w:val="000000"/>
          <w:sz w:val="23"/>
          <w:szCs w:val="23"/>
          <w:u w:val="none"/>
        </w:rPr>
        <w:t>tial for reduction in</w:t>
      </w:r>
      <w:r w:rsidRPr="00163E83">
        <w:rPr>
          <w:rFonts w:cs="Arial"/>
          <w:color w:val="000000"/>
          <w:sz w:val="23"/>
          <w:szCs w:val="23"/>
          <w:u w:val="none"/>
        </w:rPr>
        <w:t xml:space="preserve"> future contributions into t</w:t>
      </w:r>
      <w:r>
        <w:rPr>
          <w:rFonts w:cs="Arial"/>
          <w:color w:val="000000"/>
          <w:sz w:val="23"/>
          <w:szCs w:val="23"/>
          <w:u w:val="none"/>
        </w:rPr>
        <w:t>he</w:t>
      </w:r>
      <w:r w:rsidRPr="00163E83">
        <w:rPr>
          <w:rFonts w:cs="Arial"/>
          <w:color w:val="000000"/>
          <w:sz w:val="23"/>
          <w:szCs w:val="23"/>
          <w:u w:val="none"/>
        </w:rPr>
        <w:t xml:space="preserve"> scheme</w:t>
      </w:r>
      <w:r w:rsidR="002922E7">
        <w:rPr>
          <w:rFonts w:cs="Arial"/>
          <w:color w:val="000000"/>
          <w:sz w:val="23"/>
          <w:szCs w:val="23"/>
          <w:u w:val="none"/>
        </w:rPr>
        <w:t>,</w:t>
      </w:r>
      <w:r w:rsidRPr="00163E83">
        <w:rPr>
          <w:rFonts w:cs="Arial"/>
          <w:color w:val="000000"/>
          <w:sz w:val="23"/>
          <w:szCs w:val="23"/>
          <w:u w:val="none"/>
        </w:rPr>
        <w:t xml:space="preserve"> as provided by Mercers. As an ongoing scheme member this was estimated at £155m. This provided significant headroom for the potential to reduce future contributions. Operational reality around frequency of contribution review and risk management over asset cover mean that the timing </w:t>
      </w:r>
      <w:r w:rsidR="002922E7">
        <w:rPr>
          <w:rFonts w:cs="Arial"/>
          <w:color w:val="000000"/>
          <w:sz w:val="23"/>
          <w:szCs w:val="23"/>
          <w:u w:val="none"/>
        </w:rPr>
        <w:t xml:space="preserve">and amount </w:t>
      </w:r>
      <w:r w:rsidRPr="00163E83">
        <w:rPr>
          <w:rFonts w:cs="Arial"/>
          <w:color w:val="000000"/>
          <w:sz w:val="23"/>
          <w:szCs w:val="23"/>
          <w:u w:val="none"/>
        </w:rPr>
        <w:t xml:space="preserve">of </w:t>
      </w:r>
      <w:r w:rsidR="002922E7">
        <w:rPr>
          <w:rFonts w:cs="Arial"/>
          <w:color w:val="000000"/>
          <w:sz w:val="23"/>
          <w:szCs w:val="23"/>
          <w:u w:val="none"/>
        </w:rPr>
        <w:t xml:space="preserve">actual </w:t>
      </w:r>
      <w:r w:rsidRPr="00163E83">
        <w:rPr>
          <w:rFonts w:cs="Arial"/>
          <w:color w:val="000000"/>
          <w:sz w:val="23"/>
          <w:szCs w:val="23"/>
          <w:u w:val="none"/>
        </w:rPr>
        <w:t>contribution reductions is uncertain</w:t>
      </w:r>
      <w:r w:rsidR="002922E7">
        <w:rPr>
          <w:rFonts w:cs="Arial"/>
          <w:color w:val="000000"/>
          <w:sz w:val="23"/>
          <w:szCs w:val="23"/>
          <w:u w:val="none"/>
        </w:rPr>
        <w:t>. However,</w:t>
      </w:r>
      <w:r w:rsidRPr="00163E83">
        <w:rPr>
          <w:rFonts w:cs="Arial"/>
          <w:color w:val="000000"/>
          <w:sz w:val="23"/>
          <w:szCs w:val="23"/>
          <w:u w:val="none"/>
        </w:rPr>
        <w:t xml:space="preserve"> the actuarial calculation is judged to be a reasonable estimate of the economic benefit that would flow to the authority in future accounting periods.</w:t>
      </w:r>
      <w:r w:rsidR="009261F0" w:rsidRPr="00163E83">
        <w:rPr>
          <w:rFonts w:cs="Arial"/>
          <w:color w:val="000000"/>
          <w:sz w:val="23"/>
          <w:szCs w:val="23"/>
          <w:u w:val="none"/>
        </w:rPr>
        <w:t xml:space="preserve"> </w:t>
      </w:r>
    </w:p>
    <w:p w14:paraId="485A4769" w14:textId="77777777" w:rsidR="007F01E5" w:rsidRPr="004D5CA8" w:rsidRDefault="007F01E5" w:rsidP="007F01E5">
      <w:pPr>
        <w:rPr>
          <w:rFonts w:cs="Arial"/>
          <w:color w:val="000000"/>
          <w:highlight w:val="yellow"/>
          <w:lang w:eastAsia="en-GB"/>
        </w:rPr>
      </w:pPr>
    </w:p>
    <w:p w14:paraId="485A476A" w14:textId="77777777" w:rsidR="007F01E5" w:rsidRPr="009261F0" w:rsidRDefault="007F01E5" w:rsidP="00317745">
      <w:pPr>
        <w:numPr>
          <w:ilvl w:val="0"/>
          <w:numId w:val="12"/>
        </w:numPr>
        <w:ind w:left="993" w:hanging="567"/>
      </w:pPr>
      <w:r w:rsidRPr="009261F0">
        <w:lastRenderedPageBreak/>
        <w:t>Risk and Investment Strategy</w:t>
      </w:r>
    </w:p>
    <w:p w14:paraId="485A476B" w14:textId="77777777" w:rsidR="007F01E5" w:rsidRPr="009261F0" w:rsidRDefault="007F01E5" w:rsidP="00EF6C9E">
      <w:pPr>
        <w:ind w:left="993" w:hanging="567"/>
      </w:pPr>
    </w:p>
    <w:p w14:paraId="485A476C" w14:textId="77777777" w:rsidR="007F01E5" w:rsidRPr="009261F0" w:rsidRDefault="007F01E5" w:rsidP="00EF6C9E">
      <w:pPr>
        <w:ind w:left="993"/>
        <w:rPr>
          <w:rFonts w:cs="Arial"/>
          <w:color w:val="000000"/>
          <w:lang w:eastAsia="en-GB"/>
        </w:rPr>
      </w:pPr>
      <w:r w:rsidRPr="009261F0">
        <w:rPr>
          <w:rFonts w:cs="Arial"/>
          <w:color w:val="000000"/>
          <w:lang w:eastAsia="en-GB"/>
        </w:rPr>
        <w:t xml:space="preserve">The Scheme’s primary long-term risk is that the Scheme’s assets will fall short of its liabilities (i.e. promised benefits payable to members). The aim of investment risk management is to balance the minimisation of the risk of an overall reduction in the value of the Scheme with maximising the opportunity for gains across the whole Scheme portfolio. The Scheme achieves this through asset diversification to reduce exposure to market risk (price risk, currency risk and interest rate risk) and keep credit risk to an acceptable level. In addition, the Scheme manages its liquidity risk to ensure there is sufficient liquidity to meet the Scheme’s forecast cash flow. </w:t>
      </w:r>
    </w:p>
    <w:p w14:paraId="485A476D" w14:textId="77777777" w:rsidR="007F01E5" w:rsidRPr="004D5CA8" w:rsidRDefault="007F01E5" w:rsidP="00040C1A">
      <w:pPr>
        <w:ind w:left="1418"/>
        <w:rPr>
          <w:rFonts w:cs="Arial"/>
          <w:color w:val="000000"/>
          <w:highlight w:val="yellow"/>
          <w:lang w:eastAsia="en-GB"/>
        </w:rPr>
      </w:pPr>
    </w:p>
    <w:p w14:paraId="485A476E" w14:textId="77777777" w:rsidR="007F01E5" w:rsidRPr="009261F0" w:rsidRDefault="007F01E5" w:rsidP="00317745">
      <w:pPr>
        <w:numPr>
          <w:ilvl w:val="0"/>
          <w:numId w:val="12"/>
        </w:numPr>
        <w:ind w:left="993" w:hanging="567"/>
        <w:rPr>
          <w:rFonts w:cs="Arial"/>
          <w:color w:val="000000"/>
          <w:lang w:eastAsia="en-GB"/>
        </w:rPr>
      </w:pPr>
      <w:r w:rsidRPr="009261F0">
        <w:rPr>
          <w:rFonts w:cs="Arial"/>
          <w:color w:val="000000"/>
          <w:lang w:eastAsia="en-GB"/>
        </w:rPr>
        <w:t>Market Risk</w:t>
      </w:r>
    </w:p>
    <w:p w14:paraId="485A476F" w14:textId="77777777" w:rsidR="007F01E5" w:rsidRPr="009261F0" w:rsidRDefault="007F01E5" w:rsidP="00EF6C9E">
      <w:pPr>
        <w:ind w:left="993" w:hanging="567"/>
        <w:rPr>
          <w:rFonts w:cs="Arial"/>
          <w:color w:val="000000"/>
          <w:lang w:eastAsia="en-GB"/>
        </w:rPr>
      </w:pPr>
    </w:p>
    <w:p w14:paraId="485A4770" w14:textId="77777777" w:rsidR="007F01E5" w:rsidRPr="009261F0" w:rsidRDefault="007F01E5" w:rsidP="00EF6C9E">
      <w:pPr>
        <w:autoSpaceDE w:val="0"/>
        <w:autoSpaceDN w:val="0"/>
        <w:ind w:left="993"/>
        <w:rPr>
          <w:rFonts w:cs="Arial"/>
          <w:color w:val="000000"/>
          <w:lang w:eastAsia="en-GB"/>
        </w:rPr>
      </w:pPr>
      <w:r w:rsidRPr="009261F0">
        <w:rPr>
          <w:rFonts w:cs="Arial"/>
          <w:color w:val="000000"/>
          <w:lang w:eastAsia="en-GB"/>
        </w:rPr>
        <w:t>Market value risk is the risk that the fair value or future cash flows of a financial institution will fluctuate because of changes in market price. The Scheme is exposed to the risk of financial loss from a change in the value of its investments. This may result in the Scheme’s assets failing to deliver the returns required to match the underlying liabilities of the Scheme over the longer term. To mitigate against market value risk, the Scheme has set restrictions on the type of investment it can hold. Mitigation against market risk is also achieved by diversifying across multiple investment managers and regularly reviewing the Investment Strategy and performance of the Scheme.</w:t>
      </w:r>
    </w:p>
    <w:p w14:paraId="432F3368" w14:textId="77777777" w:rsidR="001A43D8" w:rsidRPr="009261F0" w:rsidRDefault="001A43D8" w:rsidP="007F01E5">
      <w:pPr>
        <w:autoSpaceDE w:val="0"/>
        <w:autoSpaceDN w:val="0"/>
        <w:ind w:left="1418"/>
        <w:rPr>
          <w:rFonts w:cs="Arial"/>
          <w:color w:val="000000"/>
          <w:lang w:eastAsia="en-GB"/>
        </w:rPr>
      </w:pPr>
    </w:p>
    <w:p w14:paraId="485A4771" w14:textId="77777777" w:rsidR="007F01E5" w:rsidRPr="009261F0" w:rsidRDefault="007F01E5" w:rsidP="00317745">
      <w:pPr>
        <w:numPr>
          <w:ilvl w:val="0"/>
          <w:numId w:val="12"/>
        </w:numPr>
        <w:autoSpaceDE w:val="0"/>
        <w:autoSpaceDN w:val="0"/>
        <w:ind w:left="993" w:hanging="567"/>
        <w:rPr>
          <w:rFonts w:cs="Arial"/>
          <w:color w:val="000000"/>
          <w:lang w:eastAsia="en-GB"/>
        </w:rPr>
      </w:pPr>
      <w:r w:rsidRPr="009261F0">
        <w:rPr>
          <w:rFonts w:cs="Arial"/>
          <w:color w:val="000000"/>
          <w:lang w:eastAsia="en-GB"/>
        </w:rPr>
        <w:t>Interest Rate Risk</w:t>
      </w:r>
    </w:p>
    <w:p w14:paraId="485A4772" w14:textId="77777777" w:rsidR="007F01E5" w:rsidRPr="009261F0" w:rsidRDefault="007F01E5" w:rsidP="00EF6C9E">
      <w:pPr>
        <w:autoSpaceDE w:val="0"/>
        <w:autoSpaceDN w:val="0"/>
        <w:ind w:left="993" w:hanging="567"/>
        <w:rPr>
          <w:rFonts w:cs="Arial"/>
          <w:color w:val="000000"/>
          <w:lang w:eastAsia="en-GB"/>
        </w:rPr>
      </w:pPr>
    </w:p>
    <w:p w14:paraId="485A4773" w14:textId="77777777" w:rsidR="007F01E5" w:rsidRPr="009261F0" w:rsidRDefault="007F01E5" w:rsidP="00EF6C9E">
      <w:pPr>
        <w:autoSpaceDE w:val="0"/>
        <w:autoSpaceDN w:val="0"/>
        <w:ind w:left="993"/>
        <w:rPr>
          <w:rFonts w:cs="Arial"/>
          <w:color w:val="000000"/>
          <w:lang w:eastAsia="en-GB"/>
        </w:rPr>
      </w:pPr>
      <w:r w:rsidRPr="009261F0">
        <w:rPr>
          <w:rFonts w:cs="Arial"/>
          <w:color w:val="000000"/>
          <w:lang w:eastAsia="en-GB"/>
        </w:rPr>
        <w:t>The Scheme invests in financial assets for the primary purpose of obtaining a return on investments. These investments are subject to interest rate risks, which represent the risks that the fair value of future cash flow of a financial instrument will fluctuate because of changes in market interest rates.</w:t>
      </w:r>
    </w:p>
    <w:p w14:paraId="485A4774" w14:textId="77777777" w:rsidR="007F01E5" w:rsidRPr="009261F0" w:rsidRDefault="007F01E5" w:rsidP="007F01E5">
      <w:pPr>
        <w:autoSpaceDE w:val="0"/>
        <w:autoSpaceDN w:val="0"/>
        <w:rPr>
          <w:rFonts w:cs="Arial"/>
          <w:color w:val="000000"/>
          <w:lang w:eastAsia="en-GB"/>
        </w:rPr>
      </w:pPr>
    </w:p>
    <w:p w14:paraId="485A4775" w14:textId="77777777" w:rsidR="007F01E5" w:rsidRPr="009261F0" w:rsidRDefault="007F01E5" w:rsidP="00317745">
      <w:pPr>
        <w:numPr>
          <w:ilvl w:val="0"/>
          <w:numId w:val="12"/>
        </w:numPr>
        <w:autoSpaceDE w:val="0"/>
        <w:autoSpaceDN w:val="0"/>
        <w:ind w:left="993" w:hanging="567"/>
        <w:rPr>
          <w:rFonts w:cs="Arial"/>
          <w:color w:val="000000"/>
          <w:lang w:eastAsia="en-GB"/>
        </w:rPr>
      </w:pPr>
      <w:r w:rsidRPr="009261F0">
        <w:rPr>
          <w:rFonts w:cs="Arial"/>
          <w:color w:val="000000"/>
          <w:lang w:eastAsia="en-GB"/>
        </w:rPr>
        <w:t>Foreign Exchange Risk</w:t>
      </w:r>
    </w:p>
    <w:p w14:paraId="485A4776" w14:textId="77777777" w:rsidR="007F01E5" w:rsidRPr="009261F0" w:rsidRDefault="007F01E5" w:rsidP="00EF6C9E">
      <w:pPr>
        <w:autoSpaceDE w:val="0"/>
        <w:autoSpaceDN w:val="0"/>
        <w:ind w:left="993" w:hanging="567"/>
        <w:rPr>
          <w:rFonts w:cs="Arial"/>
          <w:color w:val="000000"/>
          <w:lang w:eastAsia="en-GB"/>
        </w:rPr>
      </w:pPr>
    </w:p>
    <w:p w14:paraId="485A4777" w14:textId="1EEC0B09" w:rsidR="007F01E5" w:rsidRPr="009261F0" w:rsidRDefault="007F01E5" w:rsidP="00EF6C9E">
      <w:pPr>
        <w:autoSpaceDE w:val="0"/>
        <w:autoSpaceDN w:val="0"/>
        <w:ind w:left="993"/>
        <w:rPr>
          <w:rFonts w:cs="Arial"/>
          <w:color w:val="000000"/>
          <w:lang w:eastAsia="en-GB"/>
        </w:rPr>
      </w:pPr>
      <w:r w:rsidRPr="009261F0">
        <w:rPr>
          <w:rFonts w:cs="Arial"/>
          <w:color w:val="000000"/>
          <w:lang w:eastAsia="en-GB"/>
        </w:rPr>
        <w:t xml:space="preserve">The Scheme holds a number of financial assets and liabilities in overseas financial markets and is therefore exposed to the risk of loss arising from exchange rate movements of foreign currencies. To reduce the volatility from foreign currency exposure, the Cumbria Scheme has approximately </w:t>
      </w:r>
      <w:r w:rsidR="00456191" w:rsidRPr="009261F0">
        <w:rPr>
          <w:rFonts w:cs="Arial"/>
          <w:color w:val="000000"/>
          <w:lang w:eastAsia="en-GB"/>
        </w:rPr>
        <w:t>30</w:t>
      </w:r>
      <w:r w:rsidRPr="009261F0">
        <w:rPr>
          <w:rFonts w:cs="Arial"/>
          <w:color w:val="000000"/>
          <w:lang w:eastAsia="en-GB"/>
        </w:rPr>
        <w:t>% of investments denominated in overseas currencies hedged into sterling in accordance with the passive currency overlay program.</w:t>
      </w:r>
    </w:p>
    <w:p w14:paraId="0C542B93" w14:textId="77777777" w:rsidR="00EF6C9E" w:rsidRPr="009261F0" w:rsidRDefault="00EF6C9E" w:rsidP="007F01E5">
      <w:pPr>
        <w:autoSpaceDE w:val="0"/>
        <w:autoSpaceDN w:val="0"/>
        <w:rPr>
          <w:rFonts w:cs="Arial"/>
          <w:color w:val="000000"/>
          <w:lang w:eastAsia="en-GB"/>
        </w:rPr>
      </w:pPr>
    </w:p>
    <w:p w14:paraId="485A4779" w14:textId="77777777" w:rsidR="007F01E5" w:rsidRPr="009261F0" w:rsidRDefault="007F01E5" w:rsidP="00317745">
      <w:pPr>
        <w:numPr>
          <w:ilvl w:val="0"/>
          <w:numId w:val="12"/>
        </w:numPr>
        <w:autoSpaceDE w:val="0"/>
        <w:autoSpaceDN w:val="0"/>
        <w:ind w:left="993" w:hanging="567"/>
        <w:rPr>
          <w:rFonts w:cs="Arial"/>
          <w:color w:val="000000"/>
          <w:lang w:eastAsia="en-GB"/>
        </w:rPr>
      </w:pPr>
      <w:r w:rsidRPr="009261F0">
        <w:rPr>
          <w:rFonts w:cs="Arial"/>
          <w:color w:val="000000"/>
          <w:lang w:eastAsia="en-GB"/>
        </w:rPr>
        <w:t>Credit / Counterparty Risk</w:t>
      </w:r>
    </w:p>
    <w:p w14:paraId="485A477A" w14:textId="77777777" w:rsidR="007F01E5" w:rsidRPr="009261F0" w:rsidRDefault="007F01E5" w:rsidP="00EF6C9E">
      <w:pPr>
        <w:autoSpaceDE w:val="0"/>
        <w:autoSpaceDN w:val="0"/>
        <w:ind w:left="993" w:hanging="567"/>
        <w:rPr>
          <w:rFonts w:cs="Arial"/>
          <w:color w:val="000000"/>
          <w:lang w:eastAsia="en-GB"/>
        </w:rPr>
      </w:pPr>
    </w:p>
    <w:p w14:paraId="485A477B" w14:textId="77777777" w:rsidR="007F01E5" w:rsidRPr="009261F0" w:rsidRDefault="007F01E5" w:rsidP="00EF6C9E">
      <w:pPr>
        <w:autoSpaceDE w:val="0"/>
        <w:autoSpaceDN w:val="0"/>
        <w:ind w:left="993"/>
        <w:rPr>
          <w:rFonts w:cs="Arial"/>
          <w:color w:val="000000"/>
          <w:lang w:eastAsia="en-GB"/>
        </w:rPr>
      </w:pPr>
      <w:r w:rsidRPr="009261F0">
        <w:rPr>
          <w:rFonts w:cs="Arial"/>
          <w:color w:val="000000"/>
          <w:lang w:eastAsia="en-GB"/>
        </w:rPr>
        <w:t>Credit risk is the risk that a counterparty to a transaction or a financial instrument will fail to discharge an obligation or commitment that it has entered into and cause the Scheme to incur financial loss. The selection of high quality counterparties, brokers and financial institutions minimises credit risk that may occur through the failure to settle a transaction in a timely manner. Through review of the Scheme’s external Investment Managers annual internal control reports the Scheme monitors its exposure to credit and counterparty risk.</w:t>
      </w:r>
    </w:p>
    <w:p w14:paraId="485A477C" w14:textId="77777777" w:rsidR="007F01E5" w:rsidRPr="009261F0" w:rsidRDefault="007F01E5" w:rsidP="00EF6C9E">
      <w:pPr>
        <w:autoSpaceDE w:val="0"/>
        <w:autoSpaceDN w:val="0"/>
        <w:ind w:left="993" w:hanging="567"/>
        <w:rPr>
          <w:rFonts w:cs="Arial"/>
          <w:color w:val="000000"/>
          <w:lang w:eastAsia="en-GB"/>
        </w:rPr>
      </w:pPr>
    </w:p>
    <w:p w14:paraId="485A477D" w14:textId="77777777" w:rsidR="007F01E5" w:rsidRPr="009261F0" w:rsidRDefault="007F01E5" w:rsidP="00317745">
      <w:pPr>
        <w:numPr>
          <w:ilvl w:val="0"/>
          <w:numId w:val="12"/>
        </w:numPr>
        <w:autoSpaceDE w:val="0"/>
        <w:autoSpaceDN w:val="0"/>
        <w:ind w:left="993" w:hanging="567"/>
        <w:rPr>
          <w:rFonts w:cs="Arial"/>
          <w:color w:val="000000"/>
          <w:lang w:eastAsia="en-GB"/>
        </w:rPr>
      </w:pPr>
      <w:r w:rsidRPr="009261F0">
        <w:rPr>
          <w:rFonts w:cs="Arial"/>
          <w:color w:val="000000"/>
          <w:lang w:eastAsia="en-GB"/>
        </w:rPr>
        <w:t>Liquidity Risks</w:t>
      </w:r>
    </w:p>
    <w:p w14:paraId="485A477E" w14:textId="77777777" w:rsidR="007F01E5" w:rsidRPr="009261F0" w:rsidRDefault="007F01E5" w:rsidP="00EF6C9E">
      <w:pPr>
        <w:autoSpaceDE w:val="0"/>
        <w:autoSpaceDN w:val="0"/>
        <w:ind w:left="993" w:hanging="567"/>
        <w:rPr>
          <w:rFonts w:cs="Arial"/>
          <w:color w:val="000000"/>
          <w:lang w:eastAsia="en-GB"/>
        </w:rPr>
      </w:pPr>
    </w:p>
    <w:p w14:paraId="485A477F" w14:textId="77777777" w:rsidR="007F01E5" w:rsidRPr="009261F0" w:rsidRDefault="007F01E5" w:rsidP="00EF6C9E">
      <w:pPr>
        <w:autoSpaceDE w:val="0"/>
        <w:autoSpaceDN w:val="0"/>
        <w:ind w:left="993"/>
        <w:rPr>
          <w:rFonts w:cs="Arial"/>
          <w:color w:val="000000"/>
          <w:lang w:eastAsia="en-GB"/>
        </w:rPr>
      </w:pPr>
      <w:r w:rsidRPr="009261F0">
        <w:rPr>
          <w:rFonts w:cs="Arial"/>
          <w:color w:val="000000"/>
          <w:lang w:eastAsia="en-GB"/>
        </w:rPr>
        <w:t xml:space="preserve">Liquidity risk represents the risk that the Scheme will not be able to meet its financial obligations as they fall due. The Administering Authority, with the Actuary, frequently reviews the overall cash flow position of the Scheme to ensure its obligations can be </w:t>
      </w:r>
      <w:r w:rsidRPr="009261F0">
        <w:rPr>
          <w:rFonts w:cs="Arial"/>
          <w:color w:val="000000"/>
          <w:lang w:eastAsia="en-GB"/>
        </w:rPr>
        <w:lastRenderedPageBreak/>
        <w:t>covered. The Scheme holds a large value of very liquid securities which could be promptly realised if required.</w:t>
      </w:r>
    </w:p>
    <w:p w14:paraId="485A4780" w14:textId="77777777" w:rsidR="007F01E5" w:rsidRPr="009261F0" w:rsidRDefault="007F01E5" w:rsidP="00EF6C9E">
      <w:pPr>
        <w:autoSpaceDE w:val="0"/>
        <w:autoSpaceDN w:val="0"/>
        <w:ind w:left="993" w:hanging="567"/>
        <w:rPr>
          <w:rFonts w:cs="Arial"/>
          <w:color w:val="000000"/>
          <w:lang w:eastAsia="en-GB"/>
        </w:rPr>
      </w:pPr>
    </w:p>
    <w:p w14:paraId="485A4781" w14:textId="77777777" w:rsidR="007F01E5" w:rsidRPr="009261F0" w:rsidRDefault="007F01E5" w:rsidP="00317745">
      <w:pPr>
        <w:numPr>
          <w:ilvl w:val="0"/>
          <w:numId w:val="12"/>
        </w:numPr>
        <w:autoSpaceDE w:val="0"/>
        <w:autoSpaceDN w:val="0"/>
        <w:ind w:left="993" w:hanging="567"/>
        <w:rPr>
          <w:rFonts w:cs="Arial"/>
          <w:color w:val="000000"/>
          <w:lang w:eastAsia="en-GB"/>
        </w:rPr>
      </w:pPr>
      <w:r w:rsidRPr="009261F0">
        <w:rPr>
          <w:rFonts w:cs="Arial"/>
          <w:color w:val="000000"/>
          <w:lang w:eastAsia="en-GB"/>
        </w:rPr>
        <w:t>Other Risks</w:t>
      </w:r>
    </w:p>
    <w:p w14:paraId="485A4782" w14:textId="77777777" w:rsidR="007F01E5" w:rsidRPr="009261F0" w:rsidRDefault="007F01E5" w:rsidP="00EF6C9E">
      <w:pPr>
        <w:autoSpaceDE w:val="0"/>
        <w:autoSpaceDN w:val="0"/>
        <w:ind w:left="993" w:hanging="567"/>
        <w:rPr>
          <w:rFonts w:cs="Arial"/>
          <w:color w:val="000000"/>
          <w:lang w:eastAsia="en-GB"/>
        </w:rPr>
      </w:pPr>
    </w:p>
    <w:p w14:paraId="485A4783" w14:textId="77777777" w:rsidR="007F01E5" w:rsidRPr="009261F0" w:rsidRDefault="007F01E5" w:rsidP="00EF6C9E">
      <w:pPr>
        <w:autoSpaceDE w:val="0"/>
        <w:autoSpaceDN w:val="0"/>
        <w:ind w:left="993"/>
        <w:rPr>
          <w:rFonts w:cs="Arial"/>
          <w:color w:val="000000"/>
          <w:lang w:eastAsia="en-GB"/>
        </w:rPr>
      </w:pPr>
      <w:r w:rsidRPr="009261F0">
        <w:rPr>
          <w:rFonts w:cs="Arial"/>
          <w:color w:val="000000"/>
          <w:lang w:eastAsia="en-GB"/>
        </w:rPr>
        <w:t>Actions taken by the Government, or changes to European legislation, could result in stronger local funding standards, which could materially affect the authority’s cash flow.</w:t>
      </w:r>
    </w:p>
    <w:p w14:paraId="485A4784" w14:textId="77777777" w:rsidR="007F01E5" w:rsidRPr="009261F0" w:rsidRDefault="007F01E5" w:rsidP="00EF6C9E">
      <w:pPr>
        <w:autoSpaceDE w:val="0"/>
        <w:autoSpaceDN w:val="0"/>
        <w:ind w:left="993" w:hanging="567"/>
        <w:rPr>
          <w:rFonts w:cs="Arial"/>
          <w:color w:val="000000"/>
          <w:lang w:eastAsia="en-GB"/>
        </w:rPr>
      </w:pPr>
    </w:p>
    <w:p w14:paraId="485A4785" w14:textId="77C576F9" w:rsidR="007F01E5" w:rsidRPr="009261F0" w:rsidRDefault="007F01E5" w:rsidP="00EF6C9E">
      <w:pPr>
        <w:autoSpaceDE w:val="0"/>
        <w:autoSpaceDN w:val="0"/>
        <w:ind w:left="426"/>
        <w:rPr>
          <w:rFonts w:cs="Arial"/>
          <w:color w:val="000000"/>
          <w:lang w:eastAsia="en-GB"/>
        </w:rPr>
      </w:pPr>
      <w:r w:rsidRPr="009261F0">
        <w:rPr>
          <w:rFonts w:cs="Arial"/>
          <w:color w:val="000000"/>
          <w:lang w:eastAsia="en-GB"/>
        </w:rPr>
        <w:t>There is a risk that changes in the assumptions (e.g. life expectancy, price inflation, discount rate) could increase the defined benefit obligation and/or the liabilities for actuarial valuation purposes.</w:t>
      </w:r>
      <w:r w:rsidR="00B7455A" w:rsidRPr="009261F0">
        <w:rPr>
          <w:rFonts w:cs="Arial"/>
          <w:color w:val="000000"/>
          <w:lang w:eastAsia="en-GB"/>
        </w:rPr>
        <w:t xml:space="preserve">  </w:t>
      </w:r>
      <w:r w:rsidRPr="009261F0">
        <w:rPr>
          <w:rFonts w:cs="Arial"/>
          <w:color w:val="000000"/>
          <w:lang w:eastAsia="en-GB"/>
        </w:rPr>
        <w:t>Other assumptions used to value the defined benefit obligation are also uncertain, although their effect is less material</w:t>
      </w:r>
      <w:r w:rsidR="009261F0">
        <w:rPr>
          <w:rFonts w:cs="Arial"/>
          <w:color w:val="000000"/>
          <w:lang w:eastAsia="en-GB"/>
        </w:rPr>
        <w:t>.</w:t>
      </w:r>
    </w:p>
    <w:p w14:paraId="485A4786" w14:textId="77777777" w:rsidR="007F01E5" w:rsidRPr="004D5CA8" w:rsidRDefault="007F01E5" w:rsidP="007F01E5">
      <w:pPr>
        <w:ind w:left="720"/>
        <w:rPr>
          <w:highlight w:val="yellow"/>
        </w:rPr>
      </w:pPr>
    </w:p>
    <w:p w14:paraId="485A4787" w14:textId="77777777" w:rsidR="007F01E5" w:rsidRPr="004D5CA8" w:rsidRDefault="007F01E5" w:rsidP="007F01E5">
      <w:pPr>
        <w:ind w:left="567"/>
        <w:rPr>
          <w:highlight w:val="yellow"/>
        </w:rPr>
      </w:pPr>
    </w:p>
    <w:p w14:paraId="485A4788" w14:textId="77777777" w:rsidR="007F01E5" w:rsidRPr="00DC79F2" w:rsidRDefault="007F01E5" w:rsidP="007F01E5">
      <w:pPr>
        <w:ind w:left="540"/>
        <w:rPr>
          <w:b/>
          <w:bCs/>
        </w:rPr>
      </w:pPr>
      <w:r w:rsidRPr="00DC79F2">
        <w:rPr>
          <w:b/>
          <w:bCs/>
        </w:rPr>
        <w:t>Local Government Pension Scheme assets comprised:</w:t>
      </w:r>
    </w:p>
    <w:p w14:paraId="485A4789" w14:textId="77777777" w:rsidR="007F01E5" w:rsidRPr="00DC79F2" w:rsidRDefault="007F01E5" w:rsidP="007F01E5">
      <w:pPr>
        <w:ind w:left="540"/>
        <w:rPr>
          <w:bCs/>
        </w:rPr>
      </w:pPr>
    </w:p>
    <w:p w14:paraId="485A478A" w14:textId="77777777" w:rsidR="007F01E5" w:rsidRDefault="007F01E5" w:rsidP="007F01E5">
      <w:pPr>
        <w:ind w:left="540"/>
        <w:rPr>
          <w:bCs/>
        </w:rPr>
      </w:pPr>
      <w:r w:rsidRPr="00DC79F2">
        <w:rPr>
          <w:bCs/>
        </w:rPr>
        <w:t>Assets in the pension fund are valued at realisable value which is principally market value for investments. As the type of asset will determine the risk associated with that asset, details of the categories of fund asset are shown below.</w:t>
      </w:r>
    </w:p>
    <w:p w14:paraId="745D6C78" w14:textId="77777777" w:rsidR="002922E7" w:rsidRPr="00DC79F2" w:rsidRDefault="002922E7" w:rsidP="007F01E5">
      <w:pPr>
        <w:ind w:left="540"/>
        <w:rPr>
          <w:bCs/>
        </w:rPr>
      </w:pPr>
    </w:p>
    <w:p w14:paraId="485A478C" w14:textId="4B6EC4BA" w:rsidR="007F01E5" w:rsidRPr="00DC79F2" w:rsidRDefault="00DC79F2" w:rsidP="007F01E5">
      <w:pPr>
        <w:ind w:left="540"/>
        <w:jc w:val="center"/>
        <w:rPr>
          <w:bCs/>
        </w:rPr>
      </w:pPr>
      <w:r w:rsidRPr="00DC79F2">
        <w:rPr>
          <w:noProof/>
        </w:rPr>
        <w:drawing>
          <wp:inline distT="0" distB="0" distL="0" distR="0" wp14:anchorId="376BEF41" wp14:editId="661AA14D">
            <wp:extent cx="4681220" cy="4595854"/>
            <wp:effectExtent l="0" t="0" r="5080" b="0"/>
            <wp:docPr id="14607669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94738" cy="4609125"/>
                    </a:xfrm>
                    <a:prstGeom prst="rect">
                      <a:avLst/>
                    </a:prstGeom>
                    <a:noFill/>
                    <a:ln>
                      <a:noFill/>
                    </a:ln>
                  </pic:spPr>
                </pic:pic>
              </a:graphicData>
            </a:graphic>
          </wp:inline>
        </w:drawing>
      </w:r>
    </w:p>
    <w:p w14:paraId="485A478D" w14:textId="5889726B" w:rsidR="00BC1E55" w:rsidRPr="00DC79F2" w:rsidRDefault="00BC1E55" w:rsidP="007F01E5">
      <w:pPr>
        <w:ind w:left="540"/>
        <w:rPr>
          <w:b/>
          <w:bCs/>
        </w:rPr>
      </w:pPr>
    </w:p>
    <w:p w14:paraId="485A478E" w14:textId="77777777" w:rsidR="00BC1E55" w:rsidRPr="00DC79F2" w:rsidRDefault="00BC1E55" w:rsidP="007F01E5">
      <w:pPr>
        <w:ind w:left="540"/>
        <w:rPr>
          <w:b/>
          <w:bCs/>
        </w:rPr>
      </w:pPr>
    </w:p>
    <w:p w14:paraId="485A478F" w14:textId="1E41D6E8" w:rsidR="007F01E5" w:rsidRPr="00DC79F2" w:rsidRDefault="00BC1E55" w:rsidP="007F01E5">
      <w:pPr>
        <w:ind w:left="540"/>
        <w:rPr>
          <w:b/>
          <w:bCs/>
        </w:rPr>
      </w:pPr>
      <w:r w:rsidRPr="00DC79F2">
        <w:rPr>
          <w:b/>
          <w:bCs/>
        </w:rPr>
        <w:t>B</w:t>
      </w:r>
      <w:r w:rsidR="007F01E5" w:rsidRPr="00DC79F2">
        <w:rPr>
          <w:b/>
          <w:bCs/>
        </w:rPr>
        <w:t>asis for Estimating Assets and Liabilities</w:t>
      </w:r>
    </w:p>
    <w:p w14:paraId="485A4790" w14:textId="77777777" w:rsidR="007F01E5" w:rsidRPr="00470B28" w:rsidRDefault="007F01E5" w:rsidP="007F01E5">
      <w:pPr>
        <w:ind w:left="540"/>
        <w:rPr>
          <w:bCs/>
        </w:rPr>
      </w:pPr>
    </w:p>
    <w:p w14:paraId="485A4791" w14:textId="29B9B3ED" w:rsidR="007F01E5" w:rsidRPr="00470B28" w:rsidRDefault="00470B28" w:rsidP="007F01E5">
      <w:pPr>
        <w:ind w:left="540"/>
        <w:rPr>
          <w:bCs/>
        </w:rPr>
      </w:pPr>
      <w:r w:rsidRPr="00470B28">
        <w:rPr>
          <w:b/>
        </w:rPr>
        <w:t>Assets</w:t>
      </w:r>
      <w:r w:rsidR="007F01E5" w:rsidRPr="00470B28">
        <w:rPr>
          <w:bCs/>
        </w:rPr>
        <w:t xml:space="preserve"> have been assessed on an actuarial basis using the projected unit credit method, an estimate of the pensions that will be payable in future years dependent on assumptions about mortality rates, salary levels etc. The Local Government Pension </w:t>
      </w:r>
      <w:r w:rsidR="007F01E5" w:rsidRPr="00470B28">
        <w:rPr>
          <w:bCs/>
        </w:rPr>
        <w:lastRenderedPageBreak/>
        <w:t>Scheme and discretionary benefit liabilities have been estimated by Mercer Limited, an independent firm of actuaries, with estimates for the Cumbria County Council Fund being based on the latest full valuation at 31 March 20</w:t>
      </w:r>
      <w:r w:rsidRPr="00470B28">
        <w:rPr>
          <w:bCs/>
        </w:rPr>
        <w:t>22</w:t>
      </w:r>
      <w:r w:rsidR="007F01E5" w:rsidRPr="00470B28">
        <w:rPr>
          <w:bCs/>
        </w:rPr>
        <w:t>.The significant assumptions used by the actuary have been:</w:t>
      </w:r>
    </w:p>
    <w:p w14:paraId="485A4792" w14:textId="77777777" w:rsidR="007F01E5" w:rsidRPr="00470B28" w:rsidRDefault="007F01E5" w:rsidP="007F01E5">
      <w:pPr>
        <w:rPr>
          <w:bCs/>
        </w:rPr>
      </w:pPr>
    </w:p>
    <w:p w14:paraId="485A4794" w14:textId="1F3BF41B" w:rsidR="007F01E5" w:rsidRPr="00470B28" w:rsidRDefault="00470B28" w:rsidP="001A43D8">
      <w:pPr>
        <w:jc w:val="center"/>
        <w:rPr>
          <w:bCs/>
        </w:rPr>
      </w:pPr>
      <w:r w:rsidRPr="00470B28">
        <w:rPr>
          <w:noProof/>
        </w:rPr>
        <w:drawing>
          <wp:inline distT="0" distB="0" distL="0" distR="0" wp14:anchorId="44121C0E" wp14:editId="6B6966DF">
            <wp:extent cx="3670847" cy="2600077"/>
            <wp:effectExtent l="0" t="0" r="6350" b="0"/>
            <wp:docPr id="19515149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76920" cy="2604378"/>
                    </a:xfrm>
                    <a:prstGeom prst="rect">
                      <a:avLst/>
                    </a:prstGeom>
                    <a:noFill/>
                    <a:ln>
                      <a:noFill/>
                    </a:ln>
                  </pic:spPr>
                </pic:pic>
              </a:graphicData>
            </a:graphic>
          </wp:inline>
        </w:drawing>
      </w:r>
    </w:p>
    <w:p w14:paraId="6E62666E" w14:textId="77777777" w:rsidR="001A43D8" w:rsidRPr="00470B28" w:rsidRDefault="001A43D8" w:rsidP="001A43D8">
      <w:pPr>
        <w:jc w:val="center"/>
        <w:rPr>
          <w:bCs/>
        </w:rPr>
      </w:pPr>
    </w:p>
    <w:p w14:paraId="485A4795" w14:textId="534A4C3F" w:rsidR="007F01E5" w:rsidRPr="00470B28" w:rsidRDefault="007F01E5" w:rsidP="007F01E5">
      <w:pPr>
        <w:ind w:left="567"/>
        <w:rPr>
          <w:bCs/>
        </w:rPr>
      </w:pPr>
      <w:r w:rsidRPr="00470B28">
        <w:rPr>
          <w:bCs/>
        </w:rPr>
        <w:t xml:space="preserve">The estimation of the defined benefit obligations is sensitive to the actuarial assumptions set out in the table above. The sensitivity analysis below has been determined based on reasonably possible changes of the assumptions occurring at the end of the reporting period and assumes for each change that the assumption analysed changes while the other assumptions remain constant. The assumptions in longevity, for example, assume that life expectancy </w:t>
      </w:r>
      <w:r w:rsidR="00D84A3A" w:rsidRPr="00470B28">
        <w:rPr>
          <w:bCs/>
        </w:rPr>
        <w:t>increases</w:t>
      </w:r>
      <w:r w:rsidRPr="00470B28">
        <w:rPr>
          <w:bCs/>
        </w:rPr>
        <w:t xml:space="preserve"> or decreases for men and women. In practice, this is unlikely to occur, and changes in some of the assumptions may be interrelated. The estimations in the sensitivity analysis have followed the accounting policies for the scheme, i.e. on an actuarial basis using the projected unit credit method. The methods and types of assumptions used in preparing the sensitivity analysis below did not change from those used in the previous period</w:t>
      </w:r>
      <w:r w:rsidR="00B7455A" w:rsidRPr="00470B28">
        <w:rPr>
          <w:bCs/>
        </w:rPr>
        <w:t>.</w:t>
      </w:r>
    </w:p>
    <w:p w14:paraId="4B87142B" w14:textId="181D99A7" w:rsidR="001300BF" w:rsidRPr="00034ADD" w:rsidRDefault="001300BF" w:rsidP="007F01E5">
      <w:pPr>
        <w:ind w:left="567"/>
        <w:rPr>
          <w:bCs/>
        </w:rPr>
      </w:pPr>
    </w:p>
    <w:p w14:paraId="6DA1D47B" w14:textId="0F2360E6" w:rsidR="001300BF" w:rsidRPr="00034ADD" w:rsidRDefault="00034ADD" w:rsidP="007F01E5">
      <w:pPr>
        <w:ind w:left="567"/>
        <w:rPr>
          <w:bCs/>
        </w:rPr>
      </w:pPr>
      <w:r w:rsidRPr="00034ADD">
        <w:rPr>
          <w:noProof/>
        </w:rPr>
        <w:drawing>
          <wp:inline distT="0" distB="0" distL="0" distR="0" wp14:anchorId="7DE3A26C" wp14:editId="6C086E95">
            <wp:extent cx="5399240" cy="1661823"/>
            <wp:effectExtent l="0" t="0" r="0" b="0"/>
            <wp:docPr id="13798599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12859" cy="1666015"/>
                    </a:xfrm>
                    <a:prstGeom prst="rect">
                      <a:avLst/>
                    </a:prstGeom>
                    <a:noFill/>
                    <a:ln>
                      <a:noFill/>
                    </a:ln>
                  </pic:spPr>
                </pic:pic>
              </a:graphicData>
            </a:graphic>
          </wp:inline>
        </w:drawing>
      </w:r>
    </w:p>
    <w:p w14:paraId="75555005" w14:textId="64EBD317" w:rsidR="00EF6C9E" w:rsidRPr="00034ADD" w:rsidRDefault="00EF6C9E" w:rsidP="007F01E5">
      <w:pPr>
        <w:ind w:left="567"/>
        <w:rPr>
          <w:bCs/>
        </w:rPr>
      </w:pPr>
    </w:p>
    <w:p w14:paraId="460DFC30" w14:textId="77777777" w:rsidR="00EF6C9E" w:rsidRPr="00282755" w:rsidRDefault="00EF6C9E" w:rsidP="007F01E5">
      <w:pPr>
        <w:ind w:left="567"/>
        <w:rPr>
          <w:bCs/>
        </w:rPr>
      </w:pPr>
    </w:p>
    <w:p w14:paraId="485A4799" w14:textId="5FC55D20" w:rsidR="007F01E5" w:rsidRPr="00282755" w:rsidRDefault="001300BF" w:rsidP="007F01E5">
      <w:pPr>
        <w:pStyle w:val="Subtitle"/>
        <w:numPr>
          <w:ilvl w:val="0"/>
          <w:numId w:val="0"/>
        </w:numPr>
        <w:tabs>
          <w:tab w:val="left" w:pos="-709"/>
          <w:tab w:val="left" w:pos="-284"/>
          <w:tab w:val="left" w:pos="-142"/>
          <w:tab w:val="left" w:pos="0"/>
          <w:tab w:val="left" w:pos="567"/>
        </w:tabs>
        <w:spacing w:line="240" w:lineRule="atLeast"/>
        <w:ind w:right="680"/>
        <w:rPr>
          <w:rFonts w:ascii="Arial" w:eastAsia="Times New Roman" w:hAnsi="Arial"/>
          <w:b/>
          <w:i w:val="0"/>
          <w:iCs w:val="0"/>
          <w:spacing w:val="0"/>
          <w:sz w:val="23"/>
          <w:szCs w:val="23"/>
          <w:u w:val="none"/>
          <w:lang w:eastAsia="en-US"/>
        </w:rPr>
      </w:pPr>
      <w:r w:rsidRPr="00282755">
        <w:rPr>
          <w:rFonts w:ascii="Arial" w:eastAsia="Times New Roman" w:hAnsi="Arial"/>
          <w:b/>
          <w:i w:val="0"/>
          <w:iCs w:val="0"/>
          <w:spacing w:val="0"/>
          <w:sz w:val="23"/>
          <w:szCs w:val="23"/>
          <w:u w:val="none"/>
          <w:lang w:eastAsia="en-US"/>
        </w:rPr>
        <w:t xml:space="preserve">        </w:t>
      </w:r>
      <w:r w:rsidR="007F01E5" w:rsidRPr="00282755">
        <w:rPr>
          <w:rFonts w:ascii="Arial" w:eastAsia="Times New Roman" w:hAnsi="Arial"/>
          <w:b/>
          <w:i w:val="0"/>
          <w:iCs w:val="0"/>
          <w:spacing w:val="0"/>
          <w:sz w:val="23"/>
          <w:szCs w:val="23"/>
          <w:u w:val="none"/>
          <w:lang w:eastAsia="en-US"/>
        </w:rPr>
        <w:t>Asset and Liability Matching Strategy</w:t>
      </w:r>
    </w:p>
    <w:p w14:paraId="485A479A" w14:textId="77777777" w:rsidR="007F01E5" w:rsidRPr="00282755" w:rsidRDefault="007F01E5" w:rsidP="007F01E5">
      <w:pPr>
        <w:pStyle w:val="Subtitle"/>
        <w:numPr>
          <w:ilvl w:val="0"/>
          <w:numId w:val="0"/>
        </w:numPr>
        <w:tabs>
          <w:tab w:val="left" w:pos="-709"/>
          <w:tab w:val="left" w:pos="-284"/>
          <w:tab w:val="left" w:pos="-142"/>
          <w:tab w:val="left" w:pos="0"/>
          <w:tab w:val="left" w:pos="720"/>
        </w:tabs>
        <w:spacing w:line="240" w:lineRule="atLeast"/>
        <w:ind w:right="680"/>
        <w:rPr>
          <w:rFonts w:ascii="Arial" w:eastAsia="Times New Roman" w:hAnsi="Arial"/>
          <w:i w:val="0"/>
          <w:iCs w:val="0"/>
          <w:spacing w:val="0"/>
          <w:sz w:val="23"/>
          <w:szCs w:val="23"/>
          <w:u w:val="none"/>
          <w:lang w:eastAsia="en-US"/>
        </w:rPr>
      </w:pPr>
    </w:p>
    <w:p w14:paraId="485A479B" w14:textId="60EE8F87" w:rsidR="007F01E5" w:rsidRDefault="007F01E5" w:rsidP="007F01E5">
      <w:pPr>
        <w:ind w:left="567"/>
      </w:pPr>
      <w:r w:rsidRPr="00282755">
        <w:t>Cumbria Local Government Pension Scheme does not have an asset and liability matching strategy. However, Local Government Pension S</w:t>
      </w:r>
      <w:r w:rsidR="00A672EA" w:rsidRPr="00282755">
        <w:t>c</w:t>
      </w:r>
      <w:r w:rsidRPr="00282755">
        <w:t xml:space="preserve">hemes have a long term liability profile, and their investment strategy must be undertaken with a view to matching this. The Scheme’s Investment Strategy is to hold assets across a range of products and managers in order to diversify risk. </w:t>
      </w:r>
    </w:p>
    <w:p w14:paraId="74BF4D27" w14:textId="77777777" w:rsidR="002922E7" w:rsidRPr="00D539E4" w:rsidRDefault="002922E7" w:rsidP="007F01E5">
      <w:pPr>
        <w:ind w:left="567"/>
      </w:pPr>
    </w:p>
    <w:p w14:paraId="485A479C" w14:textId="21908752" w:rsidR="007F01E5" w:rsidRPr="00D539E4" w:rsidRDefault="007F01E5" w:rsidP="007F01E5">
      <w:pPr>
        <w:pStyle w:val="Subtitle"/>
        <w:numPr>
          <w:ilvl w:val="0"/>
          <w:numId w:val="0"/>
        </w:numPr>
        <w:tabs>
          <w:tab w:val="left" w:pos="-709"/>
          <w:tab w:val="left" w:pos="-284"/>
          <w:tab w:val="left" w:pos="-142"/>
          <w:tab w:val="left" w:pos="0"/>
          <w:tab w:val="left" w:pos="720"/>
        </w:tabs>
        <w:spacing w:line="240" w:lineRule="atLeast"/>
        <w:ind w:left="567" w:right="680"/>
        <w:rPr>
          <w:rFonts w:ascii="Arial" w:eastAsia="Times New Roman" w:hAnsi="Arial"/>
          <w:i w:val="0"/>
          <w:iCs w:val="0"/>
          <w:spacing w:val="0"/>
          <w:sz w:val="23"/>
          <w:szCs w:val="23"/>
          <w:u w:val="none"/>
        </w:rPr>
      </w:pPr>
      <w:r w:rsidRPr="00D539E4">
        <w:rPr>
          <w:rFonts w:ascii="Arial" w:eastAsia="Times New Roman" w:hAnsi="Arial"/>
          <w:i w:val="0"/>
          <w:iCs w:val="0"/>
          <w:spacing w:val="0"/>
          <w:sz w:val="23"/>
          <w:szCs w:val="23"/>
          <w:u w:val="none"/>
        </w:rPr>
        <w:t xml:space="preserve">The policy documents for the Cumbria Local Government Pension Scheme include a ‘Funding Strategy Statement’ (FSS) which is reviewed and published </w:t>
      </w:r>
      <w:r w:rsidRPr="00D539E4">
        <w:rPr>
          <w:rFonts w:ascii="Arial" w:eastAsia="Times New Roman" w:hAnsi="Arial"/>
          <w:i w:val="0"/>
          <w:iCs w:val="0"/>
          <w:spacing w:val="0"/>
          <w:sz w:val="23"/>
          <w:szCs w:val="23"/>
          <w:u w:val="none"/>
        </w:rPr>
        <w:lastRenderedPageBreak/>
        <w:t>whenever there is a material change in either the policy on the matters set out in the FSS or the scheme’s ‘Statement of Investing Principles’. The FSS addresses the issue of managing the need to fund benefits guaranteed by statute over the long term. The implementation of the funding strategy is the responsibility of Cumbria County Council, acting on the professional advice provided by the actuary. The purpose of the FSS is to:</w:t>
      </w:r>
    </w:p>
    <w:p w14:paraId="40A40C03" w14:textId="77777777" w:rsidR="00EF6C9E" w:rsidRPr="00D539E4" w:rsidRDefault="00EF6C9E" w:rsidP="00EF6C9E">
      <w:pPr>
        <w:rPr>
          <w:lang w:eastAsia="en-GB"/>
        </w:rPr>
      </w:pPr>
    </w:p>
    <w:p w14:paraId="485A479D" w14:textId="77777777" w:rsidR="007F01E5" w:rsidRPr="00D539E4" w:rsidRDefault="007F01E5" w:rsidP="00317745">
      <w:pPr>
        <w:numPr>
          <w:ilvl w:val="0"/>
          <w:numId w:val="11"/>
        </w:numPr>
        <w:rPr>
          <w:lang w:eastAsia="en-GB"/>
        </w:rPr>
      </w:pPr>
      <w:r w:rsidRPr="00D539E4">
        <w:rPr>
          <w:lang w:eastAsia="en-GB"/>
        </w:rPr>
        <w:t>establish a clear and transparent fund-specific strategy which will identify how employers pension liabilities are best met going forward;</w:t>
      </w:r>
    </w:p>
    <w:p w14:paraId="485A479E" w14:textId="77777777" w:rsidR="007F01E5" w:rsidRPr="00D539E4" w:rsidRDefault="007F01E5" w:rsidP="00317745">
      <w:pPr>
        <w:numPr>
          <w:ilvl w:val="0"/>
          <w:numId w:val="11"/>
        </w:numPr>
        <w:rPr>
          <w:lang w:eastAsia="en-GB"/>
        </w:rPr>
      </w:pPr>
      <w:r w:rsidRPr="00D539E4">
        <w:rPr>
          <w:lang w:eastAsia="en-GB"/>
        </w:rPr>
        <w:t>to support the regulatory requirement to maintain as nearly constant employer contribution rates as possible; and</w:t>
      </w:r>
    </w:p>
    <w:p w14:paraId="485A479F" w14:textId="706DA3E8" w:rsidR="007F01E5" w:rsidRPr="00D539E4" w:rsidRDefault="007F01E5" w:rsidP="00317745">
      <w:pPr>
        <w:numPr>
          <w:ilvl w:val="0"/>
          <w:numId w:val="11"/>
        </w:numPr>
        <w:rPr>
          <w:lang w:eastAsia="en-GB"/>
        </w:rPr>
      </w:pPr>
      <w:r w:rsidRPr="00D539E4">
        <w:rPr>
          <w:lang w:eastAsia="en-GB"/>
        </w:rPr>
        <w:t>to take a prudent longer-term view of funding those liabilities</w:t>
      </w:r>
    </w:p>
    <w:p w14:paraId="3935ECCC" w14:textId="77777777" w:rsidR="00EF6C9E" w:rsidRPr="00D539E4" w:rsidRDefault="00EF6C9E" w:rsidP="00EF6C9E">
      <w:pPr>
        <w:ind w:left="1440"/>
        <w:rPr>
          <w:lang w:eastAsia="en-GB"/>
        </w:rPr>
      </w:pPr>
    </w:p>
    <w:p w14:paraId="485A47A0" w14:textId="6C43398A" w:rsidR="007F01E5" w:rsidRPr="00D539E4" w:rsidRDefault="007F01E5" w:rsidP="007F01E5">
      <w:pPr>
        <w:ind w:left="567"/>
        <w:rPr>
          <w:lang w:eastAsia="en-GB"/>
        </w:rPr>
      </w:pPr>
      <w:r w:rsidRPr="00D539E4">
        <w:rPr>
          <w:lang w:eastAsia="en-GB"/>
        </w:rPr>
        <w:t xml:space="preserve">In practice the funding target is met by a range of combinations of funding plan, investment strategy and investment performance. The Investment Strategy Statement and the Funding Strategy Statement are published in the Cumbria LGPS Annual Report, which is available on the Cumbria </w:t>
      </w:r>
      <w:r w:rsidR="00D539E4" w:rsidRPr="00D539E4">
        <w:rPr>
          <w:lang w:eastAsia="en-GB"/>
        </w:rPr>
        <w:t xml:space="preserve">Pension Fund </w:t>
      </w:r>
      <w:r w:rsidRPr="00D539E4">
        <w:rPr>
          <w:lang w:eastAsia="en-GB"/>
        </w:rPr>
        <w:t>website.</w:t>
      </w:r>
    </w:p>
    <w:p w14:paraId="485A47A1" w14:textId="77777777" w:rsidR="007F01E5" w:rsidRPr="004D5CA8" w:rsidRDefault="007F01E5" w:rsidP="007F01E5">
      <w:pPr>
        <w:rPr>
          <w:highlight w:val="yellow"/>
          <w:lang w:eastAsia="en-GB"/>
        </w:rPr>
      </w:pPr>
    </w:p>
    <w:p w14:paraId="485A47A2" w14:textId="77777777" w:rsidR="007F01E5" w:rsidRPr="00470B28" w:rsidRDefault="007F01E5" w:rsidP="007F01E5">
      <w:pPr>
        <w:pStyle w:val="Subtitle"/>
        <w:numPr>
          <w:ilvl w:val="0"/>
          <w:numId w:val="0"/>
        </w:numPr>
        <w:tabs>
          <w:tab w:val="left" w:pos="-709"/>
          <w:tab w:val="left" w:pos="-284"/>
          <w:tab w:val="left" w:pos="-142"/>
          <w:tab w:val="left" w:pos="0"/>
          <w:tab w:val="left" w:pos="567"/>
        </w:tabs>
        <w:spacing w:line="240" w:lineRule="atLeast"/>
        <w:ind w:right="680"/>
        <w:rPr>
          <w:rFonts w:ascii="Arial" w:hAnsi="Arial" w:cs="Arial"/>
          <w:b/>
          <w:i w:val="0"/>
          <w:sz w:val="23"/>
          <w:szCs w:val="23"/>
          <w:u w:val="none"/>
        </w:rPr>
      </w:pPr>
      <w:r w:rsidRPr="00470B28">
        <w:rPr>
          <w:rFonts w:ascii="Arial" w:eastAsia="Times New Roman" w:hAnsi="Arial"/>
          <w:b/>
          <w:i w:val="0"/>
          <w:iCs w:val="0"/>
          <w:spacing w:val="0"/>
          <w:sz w:val="23"/>
          <w:szCs w:val="23"/>
          <w:u w:val="none"/>
          <w:lang w:eastAsia="en-US"/>
        </w:rPr>
        <w:tab/>
        <w:t>Impact on the Authority’s Cash Flows</w:t>
      </w:r>
    </w:p>
    <w:p w14:paraId="485A47A3" w14:textId="77777777" w:rsidR="007F01E5" w:rsidRPr="00470B28" w:rsidRDefault="007F01E5" w:rsidP="007F01E5">
      <w:pPr>
        <w:rPr>
          <w:lang w:eastAsia="en-GB"/>
        </w:rPr>
      </w:pPr>
    </w:p>
    <w:p w14:paraId="485A47A4" w14:textId="030B1B5E" w:rsidR="007F01E5" w:rsidRPr="00470B28" w:rsidRDefault="007F01E5" w:rsidP="007F01E5">
      <w:pPr>
        <w:ind w:left="567"/>
        <w:rPr>
          <w:lang w:eastAsia="en-GB"/>
        </w:rPr>
      </w:pPr>
      <w:r w:rsidRPr="00470B28">
        <w:rPr>
          <w:lang w:eastAsia="en-GB"/>
        </w:rPr>
        <w:t xml:space="preserve">The objectives of the scheme are to keep employers’ contributions at a constant a rate as possible. Each employer’s position within the scheme is assessed separately and their individual contribution rate takes into account their differing circumstances and the funding plan, as laid down in the Funding Strategy Statement. The </w:t>
      </w:r>
      <w:r w:rsidR="00B7455A" w:rsidRPr="00470B28">
        <w:rPr>
          <w:lang w:eastAsia="en-GB"/>
        </w:rPr>
        <w:t xml:space="preserve">last </w:t>
      </w:r>
      <w:r w:rsidRPr="00470B28">
        <w:rPr>
          <w:lang w:eastAsia="en-GB"/>
        </w:rPr>
        <w:t>valuation was dated 31 March 20</w:t>
      </w:r>
      <w:r w:rsidR="00470B28" w:rsidRPr="00470B28">
        <w:rPr>
          <w:lang w:eastAsia="en-GB"/>
        </w:rPr>
        <w:t>22</w:t>
      </w:r>
      <w:r w:rsidRPr="00470B28">
        <w:rPr>
          <w:lang w:eastAsia="en-GB"/>
        </w:rPr>
        <w:t xml:space="preserve">, at which time the funding level was </w:t>
      </w:r>
      <w:r w:rsidR="00470B28" w:rsidRPr="00470B28">
        <w:rPr>
          <w:lang w:eastAsia="en-GB"/>
        </w:rPr>
        <w:t>110</w:t>
      </w:r>
      <w:r w:rsidRPr="00470B28">
        <w:rPr>
          <w:lang w:eastAsia="en-GB"/>
        </w:rPr>
        <w:t>% and the recovery period reduced to 1</w:t>
      </w:r>
      <w:r w:rsidR="00470B28" w:rsidRPr="00470B28">
        <w:rPr>
          <w:lang w:eastAsia="en-GB"/>
        </w:rPr>
        <w:t>0</w:t>
      </w:r>
      <w:r w:rsidRPr="00470B28">
        <w:rPr>
          <w:lang w:eastAsia="en-GB"/>
        </w:rPr>
        <w:t xml:space="preserve"> years. </w:t>
      </w:r>
    </w:p>
    <w:p w14:paraId="485A47A5" w14:textId="77777777" w:rsidR="007F01E5" w:rsidRPr="00470B28" w:rsidRDefault="007F01E5" w:rsidP="007F01E5">
      <w:pPr>
        <w:ind w:left="567"/>
        <w:rPr>
          <w:lang w:eastAsia="en-GB"/>
        </w:rPr>
      </w:pPr>
    </w:p>
    <w:p w14:paraId="485A47A6" w14:textId="77777777" w:rsidR="007F01E5" w:rsidRPr="000C77DD" w:rsidRDefault="007F01E5" w:rsidP="007F01E5">
      <w:pPr>
        <w:ind w:left="567"/>
        <w:rPr>
          <w:lang w:eastAsia="en-GB"/>
        </w:rPr>
      </w:pPr>
      <w:r w:rsidRPr="00470B28">
        <w:rPr>
          <w:lang w:eastAsia="en-GB"/>
        </w:rPr>
        <w:t xml:space="preserve">If any employer becomes unable to pay contributions or make good deficits in the future, the Fund’s assets will be lower than expected and the funding level will be worse than expected. This risk can be mitigated by regular employer covenant reviews by the Administering Authority. However, in the ultimate default of an employer any shortfall would then become the responsibility of any guarantor or all other employers in the Fund. If an employer terminates participation and becomes an Exiting Employer under the Regulations then the shortfall will be determined in line with the termination policy set </w:t>
      </w:r>
      <w:r w:rsidRPr="000C77DD">
        <w:rPr>
          <w:lang w:eastAsia="en-GB"/>
        </w:rPr>
        <w:t>out in the Funding Strategy Statement.</w:t>
      </w:r>
    </w:p>
    <w:p w14:paraId="485A47A7" w14:textId="77777777" w:rsidR="007F01E5" w:rsidRPr="000C77DD" w:rsidRDefault="007F01E5" w:rsidP="007F01E5">
      <w:pPr>
        <w:ind w:left="720"/>
        <w:rPr>
          <w:lang w:eastAsia="en-GB"/>
        </w:rPr>
      </w:pPr>
    </w:p>
    <w:p w14:paraId="485A47A8" w14:textId="75A6C77B" w:rsidR="007F01E5" w:rsidRPr="00282755" w:rsidRDefault="007F01E5" w:rsidP="007F01E5">
      <w:pPr>
        <w:ind w:left="567"/>
        <w:rPr>
          <w:lang w:eastAsia="en-GB"/>
        </w:rPr>
      </w:pPr>
      <w:r w:rsidRPr="000C77DD">
        <w:rPr>
          <w:lang w:eastAsia="en-GB"/>
        </w:rPr>
        <w:t>The Authority anticipates making contributions of £</w:t>
      </w:r>
      <w:r w:rsidR="000C77DD" w:rsidRPr="000C77DD">
        <w:rPr>
          <w:lang w:eastAsia="en-GB"/>
        </w:rPr>
        <w:t>1,106</w:t>
      </w:r>
      <w:r w:rsidR="002922E7">
        <w:rPr>
          <w:lang w:eastAsia="en-GB"/>
        </w:rPr>
        <w:t>k</w:t>
      </w:r>
      <w:r w:rsidRPr="000C77DD">
        <w:rPr>
          <w:lang w:eastAsia="en-GB"/>
        </w:rPr>
        <w:t xml:space="preserve"> to the scheme in 202</w:t>
      </w:r>
      <w:r w:rsidR="002922E7">
        <w:rPr>
          <w:lang w:eastAsia="en-GB"/>
        </w:rPr>
        <w:t>3</w:t>
      </w:r>
      <w:r w:rsidRPr="000C77DD">
        <w:rPr>
          <w:lang w:eastAsia="en-GB"/>
        </w:rPr>
        <w:t>/2</w:t>
      </w:r>
      <w:r w:rsidR="002922E7">
        <w:rPr>
          <w:lang w:eastAsia="en-GB"/>
        </w:rPr>
        <w:t>4</w:t>
      </w:r>
      <w:r w:rsidRPr="000C77DD">
        <w:rPr>
          <w:lang w:eastAsia="en-GB"/>
        </w:rPr>
        <w:t xml:space="preserve">. This excludes </w:t>
      </w:r>
      <w:r w:rsidR="000C77DD" w:rsidRPr="000C77DD">
        <w:rPr>
          <w:lang w:eastAsia="en-GB"/>
        </w:rPr>
        <w:t>an</w:t>
      </w:r>
      <w:r w:rsidRPr="000C77DD">
        <w:rPr>
          <w:lang w:eastAsia="en-GB"/>
        </w:rPr>
        <w:t xml:space="preserve"> </w:t>
      </w:r>
      <w:r w:rsidR="000C77DD" w:rsidRPr="000C77DD">
        <w:rPr>
          <w:lang w:eastAsia="en-GB"/>
        </w:rPr>
        <w:t>annual surplus refund</w:t>
      </w:r>
      <w:r w:rsidRPr="000C77DD">
        <w:rPr>
          <w:lang w:eastAsia="en-GB"/>
        </w:rPr>
        <w:t xml:space="preserve"> payment of £</w:t>
      </w:r>
      <w:r w:rsidR="00B7781C" w:rsidRPr="000C77DD">
        <w:rPr>
          <w:lang w:eastAsia="en-GB"/>
        </w:rPr>
        <w:t>5</w:t>
      </w:r>
      <w:r w:rsidR="000C77DD" w:rsidRPr="000C77DD">
        <w:rPr>
          <w:lang w:eastAsia="en-GB"/>
        </w:rPr>
        <w:t xml:space="preserve">8,000. </w:t>
      </w:r>
      <w:r w:rsidRPr="000C77DD">
        <w:rPr>
          <w:lang w:eastAsia="en-GB"/>
        </w:rPr>
        <w:t xml:space="preserve"> </w:t>
      </w:r>
      <w:r w:rsidR="000C77DD" w:rsidRPr="000C77DD">
        <w:rPr>
          <w:lang w:eastAsia="en-GB"/>
        </w:rPr>
        <w:t xml:space="preserve">The contributions for 2022/23 </w:t>
      </w:r>
      <w:r w:rsidR="000C77DD" w:rsidRPr="00282755">
        <w:rPr>
          <w:lang w:eastAsia="en-GB"/>
        </w:rPr>
        <w:t xml:space="preserve">have been paid up front in April </w:t>
      </w:r>
      <w:r w:rsidRPr="00282755">
        <w:rPr>
          <w:lang w:eastAsia="en-GB"/>
        </w:rPr>
        <w:t>result</w:t>
      </w:r>
      <w:r w:rsidR="000C77DD" w:rsidRPr="00282755">
        <w:rPr>
          <w:lang w:eastAsia="en-GB"/>
        </w:rPr>
        <w:t>ing</w:t>
      </w:r>
      <w:r w:rsidRPr="00282755">
        <w:rPr>
          <w:lang w:eastAsia="en-GB"/>
        </w:rPr>
        <w:t xml:space="preserve"> in net cash savings to the Authority of </w:t>
      </w:r>
      <w:r w:rsidR="002922E7">
        <w:rPr>
          <w:lang w:eastAsia="en-GB"/>
        </w:rPr>
        <w:t>c£20k.</w:t>
      </w:r>
    </w:p>
    <w:p w14:paraId="485A47A9" w14:textId="77777777" w:rsidR="007F01E5" w:rsidRPr="00282755" w:rsidRDefault="007F01E5" w:rsidP="007F01E5">
      <w:pPr>
        <w:ind w:left="567"/>
        <w:rPr>
          <w:lang w:eastAsia="en-GB"/>
        </w:rPr>
      </w:pPr>
    </w:p>
    <w:p w14:paraId="485A47AA" w14:textId="6BB2A5B4" w:rsidR="007F01E5" w:rsidRPr="00282755" w:rsidRDefault="007F01E5" w:rsidP="007F01E5">
      <w:pPr>
        <w:ind w:left="567"/>
        <w:rPr>
          <w:lang w:eastAsia="en-GB"/>
        </w:rPr>
      </w:pPr>
      <w:r w:rsidRPr="00282755">
        <w:rPr>
          <w:lang w:eastAsia="en-GB"/>
        </w:rPr>
        <w:t xml:space="preserve">The weighted average duration of the defined benefit obligation for scheme members is </w:t>
      </w:r>
      <w:r w:rsidR="0085585A" w:rsidRPr="00282755">
        <w:rPr>
          <w:lang w:eastAsia="en-GB"/>
        </w:rPr>
        <w:t>18</w:t>
      </w:r>
      <w:r w:rsidRPr="00282755">
        <w:rPr>
          <w:lang w:eastAsia="en-GB"/>
        </w:rPr>
        <w:t xml:space="preserve"> years for 20</w:t>
      </w:r>
      <w:r w:rsidR="00B5466C" w:rsidRPr="00282755">
        <w:rPr>
          <w:lang w:eastAsia="en-GB"/>
        </w:rPr>
        <w:t>2</w:t>
      </w:r>
      <w:r w:rsidR="00282755" w:rsidRPr="00282755">
        <w:rPr>
          <w:lang w:eastAsia="en-GB"/>
        </w:rPr>
        <w:t>2</w:t>
      </w:r>
      <w:r w:rsidRPr="00282755">
        <w:rPr>
          <w:lang w:eastAsia="en-GB"/>
        </w:rPr>
        <w:t>/2</w:t>
      </w:r>
      <w:r w:rsidR="00282755" w:rsidRPr="00282755">
        <w:rPr>
          <w:lang w:eastAsia="en-GB"/>
        </w:rPr>
        <w:t>3</w:t>
      </w:r>
      <w:r w:rsidRPr="00282755">
        <w:rPr>
          <w:lang w:eastAsia="en-GB"/>
        </w:rPr>
        <w:t xml:space="preserve"> (1</w:t>
      </w:r>
      <w:r w:rsidR="007001B6" w:rsidRPr="00282755">
        <w:rPr>
          <w:lang w:eastAsia="en-GB"/>
        </w:rPr>
        <w:t>8</w:t>
      </w:r>
      <w:r w:rsidRPr="00282755">
        <w:rPr>
          <w:lang w:eastAsia="en-GB"/>
        </w:rPr>
        <w:t xml:space="preserve"> years 20</w:t>
      </w:r>
      <w:r w:rsidR="0085585A" w:rsidRPr="00282755">
        <w:rPr>
          <w:lang w:eastAsia="en-GB"/>
        </w:rPr>
        <w:t>2</w:t>
      </w:r>
      <w:r w:rsidR="00282755" w:rsidRPr="00282755">
        <w:rPr>
          <w:lang w:eastAsia="en-GB"/>
        </w:rPr>
        <w:t>1</w:t>
      </w:r>
      <w:r w:rsidRPr="00282755">
        <w:rPr>
          <w:lang w:eastAsia="en-GB"/>
        </w:rPr>
        <w:t>/</w:t>
      </w:r>
      <w:r w:rsidR="00B5466C" w:rsidRPr="00282755">
        <w:rPr>
          <w:lang w:eastAsia="en-GB"/>
        </w:rPr>
        <w:t>2</w:t>
      </w:r>
      <w:r w:rsidR="00282755" w:rsidRPr="00282755">
        <w:rPr>
          <w:lang w:eastAsia="en-GB"/>
        </w:rPr>
        <w:t>2</w:t>
      </w:r>
      <w:r w:rsidRPr="00282755">
        <w:rPr>
          <w:lang w:eastAsia="en-GB"/>
        </w:rPr>
        <w:t>). The very mature duration profile has been used to determine these assumptions.</w:t>
      </w:r>
    </w:p>
    <w:p w14:paraId="485A47AD" w14:textId="11EB952C" w:rsidR="009C05F9" w:rsidRPr="00317745" w:rsidRDefault="00BC15E3" w:rsidP="006D2EED">
      <w:pPr>
        <w:rPr>
          <w:b/>
          <w:lang w:eastAsia="en-GB"/>
        </w:rPr>
      </w:pPr>
      <w:r w:rsidRPr="004D5CA8">
        <w:rPr>
          <w:b/>
          <w:highlight w:val="yellow"/>
          <w:lang w:eastAsia="en-GB"/>
        </w:rPr>
        <w:br w:type="page"/>
      </w:r>
      <w:bookmarkStart w:id="70" w:name="_MON_1370423797"/>
      <w:bookmarkStart w:id="71" w:name="_MON_1370694587"/>
      <w:bookmarkStart w:id="72" w:name="_MON_1370694673"/>
      <w:bookmarkStart w:id="73" w:name="_MON_1372663894"/>
      <w:bookmarkStart w:id="74" w:name="_MON_1372664038"/>
      <w:bookmarkStart w:id="75" w:name="_MON_1372834606"/>
      <w:bookmarkStart w:id="76" w:name="_MON_1372840968"/>
      <w:bookmarkStart w:id="77" w:name="_MON_1372841146"/>
      <w:bookmarkStart w:id="78" w:name="_MON_1395560751"/>
      <w:bookmarkStart w:id="79" w:name="_MON_1395560811"/>
      <w:bookmarkStart w:id="80" w:name="_MON_1401091087"/>
      <w:bookmarkStart w:id="81" w:name="_MON_1401538961"/>
      <w:bookmarkStart w:id="82" w:name="_MON_1402389307"/>
      <w:bookmarkStart w:id="83" w:name="_MON_1429554971"/>
      <w:bookmarkStart w:id="84" w:name="_MON_1369551464"/>
      <w:bookmarkStart w:id="85" w:name="_MON_1369551485"/>
      <w:bookmarkStart w:id="86" w:name="_MON_1369551633"/>
      <w:bookmarkStart w:id="87" w:name="_MON_1369551909"/>
      <w:bookmarkStart w:id="88" w:name="_MON_1369551924"/>
      <w:bookmarkStart w:id="89" w:name="_MON_1369564342"/>
      <w:bookmarkStart w:id="90" w:name="_MON_1369727003"/>
      <w:bookmarkStart w:id="91" w:name="_MON_1369727012"/>
      <w:bookmarkStart w:id="92" w:name="_MON_1369741500"/>
      <w:bookmarkStart w:id="93" w:name="_MON_1369743738"/>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4B1BA7" w:rsidRPr="00317745">
        <w:rPr>
          <w:b/>
        </w:rPr>
        <w:lastRenderedPageBreak/>
        <w:t>1</w:t>
      </w:r>
      <w:r w:rsidR="00963CED" w:rsidRPr="00317745">
        <w:rPr>
          <w:b/>
        </w:rPr>
        <w:t>7</w:t>
      </w:r>
      <w:r w:rsidR="00261CF6" w:rsidRPr="00317745">
        <w:rPr>
          <w:b/>
        </w:rPr>
        <w:t xml:space="preserve">.    </w:t>
      </w:r>
      <w:r w:rsidR="009C05F9" w:rsidRPr="00317745">
        <w:rPr>
          <w:b/>
        </w:rPr>
        <w:t xml:space="preserve">Disclosure of </w:t>
      </w:r>
      <w:r w:rsidR="006E6BD8" w:rsidRPr="00317745">
        <w:rPr>
          <w:b/>
        </w:rPr>
        <w:t xml:space="preserve">External </w:t>
      </w:r>
      <w:r w:rsidR="009C05F9" w:rsidRPr="00317745">
        <w:rPr>
          <w:b/>
        </w:rPr>
        <w:t>Audit Costs</w:t>
      </w:r>
    </w:p>
    <w:p w14:paraId="485A47AE" w14:textId="77777777" w:rsidR="00E00863" w:rsidRPr="00317745" w:rsidRDefault="00E00863" w:rsidP="006D2EED">
      <w:pPr>
        <w:pStyle w:val="Subtitle"/>
      </w:pPr>
    </w:p>
    <w:p w14:paraId="485A47AF" w14:textId="48FF26E1" w:rsidR="00E00863" w:rsidRPr="00317745" w:rsidRDefault="00261CF6" w:rsidP="00261CF6">
      <w:pPr>
        <w:pStyle w:val="Subtitle"/>
        <w:tabs>
          <w:tab w:val="left" w:pos="567"/>
          <w:tab w:val="left" w:pos="709"/>
        </w:tabs>
        <w:rPr>
          <w:rFonts w:ascii="Arial" w:hAnsi="Arial"/>
          <w:i w:val="0"/>
          <w:iCs w:val="0"/>
          <w:spacing w:val="0"/>
          <w:sz w:val="22"/>
          <w:szCs w:val="20"/>
          <w:u w:val="none"/>
        </w:rPr>
      </w:pPr>
      <w:r w:rsidRPr="00317745">
        <w:rPr>
          <w:rFonts w:ascii="Arial" w:hAnsi="Arial"/>
          <w:i w:val="0"/>
          <w:iCs w:val="0"/>
          <w:spacing w:val="0"/>
          <w:sz w:val="22"/>
          <w:szCs w:val="20"/>
          <w:u w:val="none"/>
        </w:rPr>
        <w:t xml:space="preserve">         </w:t>
      </w:r>
      <w:r w:rsidR="00E00863" w:rsidRPr="00317745">
        <w:rPr>
          <w:rFonts w:ascii="Arial" w:hAnsi="Arial"/>
          <w:i w:val="0"/>
          <w:iCs w:val="0"/>
          <w:spacing w:val="0"/>
          <w:sz w:val="22"/>
          <w:szCs w:val="20"/>
          <w:u w:val="none"/>
        </w:rPr>
        <w:t xml:space="preserve">In </w:t>
      </w:r>
      <w:r w:rsidR="00627253" w:rsidRPr="00317745">
        <w:rPr>
          <w:rFonts w:ascii="Arial" w:hAnsi="Arial"/>
          <w:i w:val="0"/>
          <w:iCs w:val="0"/>
          <w:spacing w:val="0"/>
          <w:sz w:val="22"/>
          <w:szCs w:val="20"/>
          <w:u w:val="none"/>
        </w:rPr>
        <w:t>20</w:t>
      </w:r>
      <w:r w:rsidR="00D41982" w:rsidRPr="00317745">
        <w:rPr>
          <w:rFonts w:ascii="Arial" w:hAnsi="Arial"/>
          <w:i w:val="0"/>
          <w:iCs w:val="0"/>
          <w:spacing w:val="0"/>
          <w:sz w:val="22"/>
          <w:szCs w:val="20"/>
          <w:u w:val="none"/>
        </w:rPr>
        <w:t>2</w:t>
      </w:r>
      <w:r w:rsidR="00317745">
        <w:rPr>
          <w:rFonts w:ascii="Arial" w:hAnsi="Arial"/>
          <w:i w:val="0"/>
          <w:iCs w:val="0"/>
          <w:spacing w:val="0"/>
          <w:sz w:val="22"/>
          <w:szCs w:val="20"/>
          <w:u w:val="none"/>
        </w:rPr>
        <w:t>2/23</w:t>
      </w:r>
      <w:r w:rsidR="00E00863" w:rsidRPr="00317745">
        <w:rPr>
          <w:rFonts w:ascii="Arial" w:hAnsi="Arial"/>
          <w:i w:val="0"/>
          <w:iCs w:val="0"/>
          <w:spacing w:val="0"/>
          <w:sz w:val="22"/>
          <w:szCs w:val="20"/>
          <w:u w:val="none"/>
        </w:rPr>
        <w:t xml:space="preserve"> </w:t>
      </w:r>
      <w:r w:rsidR="00EB5809" w:rsidRPr="00317745">
        <w:rPr>
          <w:rFonts w:ascii="Arial" w:hAnsi="Arial"/>
          <w:i w:val="0"/>
          <w:iCs w:val="0"/>
          <w:spacing w:val="0"/>
          <w:sz w:val="22"/>
          <w:szCs w:val="20"/>
          <w:u w:val="none"/>
        </w:rPr>
        <w:t xml:space="preserve">the </w:t>
      </w:r>
      <w:r w:rsidR="00E00863" w:rsidRPr="00317745">
        <w:rPr>
          <w:rFonts w:ascii="Arial" w:hAnsi="Arial"/>
          <w:i w:val="0"/>
          <w:iCs w:val="0"/>
          <w:spacing w:val="0"/>
          <w:sz w:val="22"/>
          <w:szCs w:val="20"/>
          <w:u w:val="none"/>
        </w:rPr>
        <w:t>Authority incurred the following fees relating to external audit and inspection:</w:t>
      </w:r>
    </w:p>
    <w:p w14:paraId="02F26CFF" w14:textId="77777777" w:rsidR="00317745" w:rsidRDefault="00317745" w:rsidP="00317745">
      <w:pPr>
        <w:rPr>
          <w:highlight w:val="yellow"/>
          <w:lang w:eastAsia="en-GB"/>
        </w:rPr>
      </w:pPr>
    </w:p>
    <w:tbl>
      <w:tblPr>
        <w:tblW w:w="6555" w:type="dxa"/>
        <w:jc w:val="center"/>
        <w:tblLook w:val="04A0" w:firstRow="1" w:lastRow="0" w:firstColumn="1" w:lastColumn="0" w:noHBand="0" w:noVBand="1"/>
      </w:tblPr>
      <w:tblGrid>
        <w:gridCol w:w="4531"/>
        <w:gridCol w:w="1146"/>
        <w:gridCol w:w="1012"/>
      </w:tblGrid>
      <w:tr w:rsidR="00317745" w:rsidRPr="00317745" w14:paraId="76272E86" w14:textId="77777777" w:rsidTr="00043B32">
        <w:trPr>
          <w:trHeight w:val="290"/>
          <w:jc w:val="center"/>
        </w:trPr>
        <w:tc>
          <w:tcPr>
            <w:tcW w:w="4531" w:type="dxa"/>
            <w:tcBorders>
              <w:top w:val="single" w:sz="4" w:space="0" w:color="auto"/>
              <w:left w:val="single" w:sz="4" w:space="0" w:color="auto"/>
              <w:bottom w:val="nil"/>
              <w:right w:val="nil"/>
            </w:tcBorders>
            <w:shd w:val="clear" w:color="000000" w:fill="000000"/>
            <w:noWrap/>
            <w:vAlign w:val="bottom"/>
            <w:hideMark/>
          </w:tcPr>
          <w:p w14:paraId="550FD1BB" w14:textId="77777777" w:rsidR="00317745" w:rsidRPr="00317745" w:rsidRDefault="00317745" w:rsidP="00317745">
            <w:pPr>
              <w:jc w:val="center"/>
              <w:rPr>
                <w:rFonts w:cs="Arial"/>
                <w:b/>
                <w:bCs/>
                <w:color w:val="FFFFFF"/>
                <w:sz w:val="22"/>
                <w:szCs w:val="22"/>
                <w:lang w:eastAsia="en-GB"/>
              </w:rPr>
            </w:pPr>
            <w:r w:rsidRPr="00317745">
              <w:rPr>
                <w:rFonts w:cs="Arial"/>
                <w:b/>
                <w:bCs/>
                <w:color w:val="FFFFFF"/>
                <w:sz w:val="22"/>
                <w:szCs w:val="22"/>
                <w:lang w:eastAsia="en-GB"/>
              </w:rPr>
              <w:t> </w:t>
            </w:r>
          </w:p>
        </w:tc>
        <w:tc>
          <w:tcPr>
            <w:tcW w:w="1012" w:type="dxa"/>
            <w:tcBorders>
              <w:top w:val="single" w:sz="4" w:space="0" w:color="auto"/>
              <w:left w:val="nil"/>
              <w:bottom w:val="nil"/>
              <w:right w:val="nil"/>
            </w:tcBorders>
            <w:shd w:val="clear" w:color="000000" w:fill="000000"/>
            <w:noWrap/>
            <w:vAlign w:val="bottom"/>
            <w:hideMark/>
          </w:tcPr>
          <w:p w14:paraId="4DC8D91E" w14:textId="77777777" w:rsidR="00317745" w:rsidRDefault="00317745" w:rsidP="00317745">
            <w:pPr>
              <w:jc w:val="center"/>
              <w:rPr>
                <w:rFonts w:cs="Arial"/>
                <w:b/>
                <w:bCs/>
                <w:color w:val="FFFFFF"/>
                <w:sz w:val="22"/>
                <w:szCs w:val="22"/>
                <w:lang w:eastAsia="en-GB"/>
              </w:rPr>
            </w:pPr>
            <w:r w:rsidRPr="00317745">
              <w:rPr>
                <w:rFonts w:cs="Arial"/>
                <w:b/>
                <w:bCs/>
                <w:color w:val="FFFFFF"/>
                <w:sz w:val="22"/>
                <w:szCs w:val="22"/>
                <w:lang w:eastAsia="en-GB"/>
              </w:rPr>
              <w:t>2021/22</w:t>
            </w:r>
          </w:p>
          <w:p w14:paraId="5AEDD4DD" w14:textId="7E82B5E8" w:rsidR="00B15A61" w:rsidRPr="00317745" w:rsidRDefault="00B15A61" w:rsidP="00317745">
            <w:pPr>
              <w:jc w:val="center"/>
              <w:rPr>
                <w:rFonts w:cs="Arial"/>
                <w:b/>
                <w:bCs/>
                <w:color w:val="FFFFFF"/>
                <w:sz w:val="22"/>
                <w:szCs w:val="22"/>
                <w:lang w:eastAsia="en-GB"/>
              </w:rPr>
            </w:pPr>
            <w:r>
              <w:rPr>
                <w:rFonts w:cs="Arial"/>
                <w:b/>
                <w:bCs/>
                <w:color w:val="FFFFFF"/>
                <w:sz w:val="22"/>
                <w:szCs w:val="22"/>
                <w:lang w:eastAsia="en-GB"/>
              </w:rPr>
              <w:t>Restated</w:t>
            </w:r>
          </w:p>
        </w:tc>
        <w:tc>
          <w:tcPr>
            <w:tcW w:w="1012" w:type="dxa"/>
            <w:tcBorders>
              <w:top w:val="single" w:sz="4" w:space="0" w:color="auto"/>
              <w:left w:val="nil"/>
              <w:bottom w:val="nil"/>
              <w:right w:val="single" w:sz="4" w:space="0" w:color="auto"/>
            </w:tcBorders>
            <w:shd w:val="clear" w:color="000000" w:fill="000000"/>
            <w:noWrap/>
            <w:vAlign w:val="bottom"/>
            <w:hideMark/>
          </w:tcPr>
          <w:p w14:paraId="710C0BA2" w14:textId="77777777" w:rsidR="00317745" w:rsidRPr="00317745" w:rsidRDefault="00317745" w:rsidP="00317745">
            <w:pPr>
              <w:jc w:val="center"/>
              <w:rPr>
                <w:rFonts w:cs="Arial"/>
                <w:b/>
                <w:bCs/>
                <w:color w:val="FFFFFF"/>
                <w:sz w:val="22"/>
                <w:szCs w:val="22"/>
                <w:lang w:eastAsia="en-GB"/>
              </w:rPr>
            </w:pPr>
            <w:r w:rsidRPr="00317745">
              <w:rPr>
                <w:rFonts w:cs="Arial"/>
                <w:b/>
                <w:bCs/>
                <w:color w:val="FFFFFF"/>
                <w:sz w:val="22"/>
                <w:szCs w:val="22"/>
                <w:lang w:eastAsia="en-GB"/>
              </w:rPr>
              <w:t>2022/23</w:t>
            </w:r>
          </w:p>
        </w:tc>
      </w:tr>
      <w:tr w:rsidR="00317745" w:rsidRPr="00317745" w14:paraId="4C9EB25B" w14:textId="77777777" w:rsidTr="00043B32">
        <w:trPr>
          <w:trHeight w:val="290"/>
          <w:jc w:val="center"/>
        </w:trPr>
        <w:tc>
          <w:tcPr>
            <w:tcW w:w="4531" w:type="dxa"/>
            <w:tcBorders>
              <w:top w:val="nil"/>
              <w:left w:val="single" w:sz="4" w:space="0" w:color="auto"/>
              <w:bottom w:val="nil"/>
              <w:right w:val="nil"/>
            </w:tcBorders>
            <w:shd w:val="clear" w:color="000000" w:fill="000000"/>
            <w:noWrap/>
            <w:vAlign w:val="bottom"/>
            <w:hideMark/>
          </w:tcPr>
          <w:p w14:paraId="5830C171" w14:textId="77777777" w:rsidR="00317745" w:rsidRPr="00317745" w:rsidRDefault="00317745" w:rsidP="00317745">
            <w:pPr>
              <w:jc w:val="center"/>
              <w:rPr>
                <w:rFonts w:cs="Arial"/>
                <w:b/>
                <w:bCs/>
                <w:color w:val="FFFFFF"/>
                <w:sz w:val="22"/>
                <w:szCs w:val="22"/>
                <w:lang w:eastAsia="en-GB"/>
              </w:rPr>
            </w:pPr>
            <w:r w:rsidRPr="00317745">
              <w:rPr>
                <w:rFonts w:cs="Arial"/>
                <w:b/>
                <w:bCs/>
                <w:color w:val="FFFFFF"/>
                <w:sz w:val="22"/>
                <w:szCs w:val="22"/>
                <w:lang w:eastAsia="en-GB"/>
              </w:rPr>
              <w:t> </w:t>
            </w:r>
          </w:p>
        </w:tc>
        <w:tc>
          <w:tcPr>
            <w:tcW w:w="1012" w:type="dxa"/>
            <w:tcBorders>
              <w:top w:val="nil"/>
              <w:left w:val="nil"/>
              <w:bottom w:val="nil"/>
              <w:right w:val="nil"/>
            </w:tcBorders>
            <w:shd w:val="clear" w:color="000000" w:fill="000000"/>
            <w:noWrap/>
            <w:vAlign w:val="bottom"/>
            <w:hideMark/>
          </w:tcPr>
          <w:p w14:paraId="6179E224" w14:textId="77777777" w:rsidR="00317745" w:rsidRPr="00317745" w:rsidRDefault="00317745" w:rsidP="00317745">
            <w:pPr>
              <w:jc w:val="center"/>
              <w:rPr>
                <w:rFonts w:cs="Arial"/>
                <w:b/>
                <w:bCs/>
                <w:color w:val="FFFFFF"/>
                <w:sz w:val="22"/>
                <w:szCs w:val="22"/>
                <w:lang w:eastAsia="en-GB"/>
              </w:rPr>
            </w:pPr>
            <w:r w:rsidRPr="00317745">
              <w:rPr>
                <w:rFonts w:cs="Arial"/>
                <w:b/>
                <w:bCs/>
                <w:color w:val="FFFFFF"/>
                <w:sz w:val="22"/>
                <w:szCs w:val="22"/>
                <w:lang w:eastAsia="en-GB"/>
              </w:rPr>
              <w:t>£</w:t>
            </w:r>
          </w:p>
        </w:tc>
        <w:tc>
          <w:tcPr>
            <w:tcW w:w="1012" w:type="dxa"/>
            <w:tcBorders>
              <w:top w:val="nil"/>
              <w:left w:val="nil"/>
              <w:bottom w:val="nil"/>
              <w:right w:val="single" w:sz="4" w:space="0" w:color="auto"/>
            </w:tcBorders>
            <w:shd w:val="clear" w:color="000000" w:fill="000000"/>
            <w:noWrap/>
            <w:vAlign w:val="bottom"/>
            <w:hideMark/>
          </w:tcPr>
          <w:p w14:paraId="1BE573F8" w14:textId="77777777" w:rsidR="00317745" w:rsidRPr="00317745" w:rsidRDefault="00317745" w:rsidP="00317745">
            <w:pPr>
              <w:jc w:val="center"/>
              <w:rPr>
                <w:rFonts w:cs="Arial"/>
                <w:b/>
                <w:bCs/>
                <w:color w:val="FFFFFF"/>
                <w:sz w:val="22"/>
                <w:szCs w:val="22"/>
                <w:lang w:eastAsia="en-GB"/>
              </w:rPr>
            </w:pPr>
            <w:r w:rsidRPr="00317745">
              <w:rPr>
                <w:rFonts w:cs="Arial"/>
                <w:b/>
                <w:bCs/>
                <w:color w:val="FFFFFF"/>
                <w:sz w:val="22"/>
                <w:szCs w:val="22"/>
                <w:lang w:eastAsia="en-GB"/>
              </w:rPr>
              <w:t>£</w:t>
            </w:r>
          </w:p>
        </w:tc>
      </w:tr>
      <w:tr w:rsidR="00317745" w:rsidRPr="00317745" w14:paraId="50ED13A9" w14:textId="77777777" w:rsidTr="00043B32">
        <w:trPr>
          <w:trHeight w:val="290"/>
          <w:jc w:val="center"/>
        </w:trPr>
        <w:tc>
          <w:tcPr>
            <w:tcW w:w="4531" w:type="dxa"/>
            <w:tcBorders>
              <w:top w:val="nil"/>
              <w:left w:val="single" w:sz="4" w:space="0" w:color="auto"/>
              <w:bottom w:val="nil"/>
              <w:right w:val="nil"/>
            </w:tcBorders>
            <w:shd w:val="clear" w:color="auto" w:fill="auto"/>
            <w:noWrap/>
            <w:vAlign w:val="bottom"/>
            <w:hideMark/>
          </w:tcPr>
          <w:p w14:paraId="7F2D2EE9" w14:textId="7501CE25" w:rsidR="00317745" w:rsidRPr="00317745" w:rsidRDefault="00317745" w:rsidP="00317745">
            <w:pPr>
              <w:rPr>
                <w:rFonts w:cs="Arial"/>
                <w:color w:val="000000"/>
                <w:sz w:val="22"/>
                <w:szCs w:val="22"/>
                <w:lang w:eastAsia="en-GB"/>
              </w:rPr>
            </w:pPr>
            <w:r w:rsidRPr="00317745">
              <w:rPr>
                <w:rFonts w:cs="Arial"/>
                <w:color w:val="000000"/>
                <w:sz w:val="22"/>
                <w:szCs w:val="22"/>
                <w:lang w:eastAsia="en-GB"/>
              </w:rPr>
              <w:t xml:space="preserve">Scale </w:t>
            </w:r>
            <w:r w:rsidR="00043B32">
              <w:rPr>
                <w:rFonts w:cs="Arial"/>
                <w:color w:val="000000"/>
                <w:sz w:val="22"/>
                <w:szCs w:val="22"/>
                <w:lang w:eastAsia="en-GB"/>
              </w:rPr>
              <w:t>F</w:t>
            </w:r>
            <w:r w:rsidRPr="00317745">
              <w:rPr>
                <w:rFonts w:cs="Arial"/>
                <w:color w:val="000000"/>
                <w:sz w:val="22"/>
                <w:szCs w:val="22"/>
                <w:lang w:eastAsia="en-GB"/>
              </w:rPr>
              <w:t>ee</w:t>
            </w:r>
          </w:p>
        </w:tc>
        <w:tc>
          <w:tcPr>
            <w:tcW w:w="1012" w:type="dxa"/>
            <w:tcBorders>
              <w:top w:val="nil"/>
              <w:left w:val="nil"/>
              <w:bottom w:val="nil"/>
              <w:right w:val="nil"/>
            </w:tcBorders>
            <w:shd w:val="clear" w:color="auto" w:fill="auto"/>
            <w:noWrap/>
            <w:vAlign w:val="bottom"/>
            <w:hideMark/>
          </w:tcPr>
          <w:p w14:paraId="036DA965" w14:textId="77777777" w:rsidR="00317745" w:rsidRPr="00317745" w:rsidRDefault="00317745" w:rsidP="00317745">
            <w:pPr>
              <w:jc w:val="right"/>
              <w:rPr>
                <w:rFonts w:cs="Arial"/>
                <w:color w:val="000000"/>
                <w:sz w:val="22"/>
                <w:szCs w:val="22"/>
                <w:lang w:eastAsia="en-GB"/>
              </w:rPr>
            </w:pPr>
            <w:r w:rsidRPr="00317745">
              <w:rPr>
                <w:rFonts w:cs="Arial"/>
                <w:color w:val="000000"/>
                <w:sz w:val="22"/>
                <w:szCs w:val="22"/>
                <w:lang w:eastAsia="en-GB"/>
              </w:rPr>
              <w:t>14,095</w:t>
            </w:r>
          </w:p>
        </w:tc>
        <w:tc>
          <w:tcPr>
            <w:tcW w:w="1012" w:type="dxa"/>
            <w:tcBorders>
              <w:top w:val="nil"/>
              <w:left w:val="nil"/>
              <w:bottom w:val="nil"/>
              <w:right w:val="single" w:sz="4" w:space="0" w:color="auto"/>
            </w:tcBorders>
            <w:shd w:val="clear" w:color="auto" w:fill="auto"/>
            <w:noWrap/>
            <w:vAlign w:val="bottom"/>
            <w:hideMark/>
          </w:tcPr>
          <w:p w14:paraId="210827D6" w14:textId="77777777" w:rsidR="00317745" w:rsidRPr="00317745" w:rsidRDefault="00317745" w:rsidP="00317745">
            <w:pPr>
              <w:jc w:val="right"/>
              <w:rPr>
                <w:rFonts w:cs="Arial"/>
                <w:color w:val="000000"/>
                <w:sz w:val="22"/>
                <w:szCs w:val="22"/>
                <w:lang w:eastAsia="en-GB"/>
              </w:rPr>
            </w:pPr>
            <w:r w:rsidRPr="00317745">
              <w:rPr>
                <w:rFonts w:cs="Arial"/>
                <w:color w:val="000000"/>
                <w:sz w:val="22"/>
                <w:szCs w:val="22"/>
                <w:lang w:eastAsia="en-GB"/>
              </w:rPr>
              <w:t>16,283</w:t>
            </w:r>
          </w:p>
        </w:tc>
      </w:tr>
      <w:tr w:rsidR="00317745" w:rsidRPr="00317745" w14:paraId="2898E1F4" w14:textId="77777777" w:rsidTr="00043B32">
        <w:trPr>
          <w:trHeight w:val="290"/>
          <w:jc w:val="center"/>
        </w:trPr>
        <w:tc>
          <w:tcPr>
            <w:tcW w:w="4531" w:type="dxa"/>
            <w:tcBorders>
              <w:top w:val="nil"/>
              <w:left w:val="single" w:sz="4" w:space="0" w:color="auto"/>
              <w:bottom w:val="nil"/>
              <w:right w:val="nil"/>
            </w:tcBorders>
            <w:shd w:val="clear" w:color="auto" w:fill="auto"/>
            <w:noWrap/>
            <w:vAlign w:val="bottom"/>
            <w:hideMark/>
          </w:tcPr>
          <w:p w14:paraId="321808D8" w14:textId="5E37BE59" w:rsidR="00317745" w:rsidRPr="00317745" w:rsidRDefault="00317745" w:rsidP="00317745">
            <w:pPr>
              <w:rPr>
                <w:rFonts w:cs="Arial"/>
                <w:color w:val="000000"/>
                <w:sz w:val="22"/>
                <w:szCs w:val="22"/>
                <w:lang w:eastAsia="en-GB"/>
              </w:rPr>
            </w:pPr>
            <w:r w:rsidRPr="00317745">
              <w:rPr>
                <w:rFonts w:cs="Arial"/>
                <w:color w:val="000000"/>
                <w:sz w:val="22"/>
                <w:szCs w:val="22"/>
                <w:lang w:eastAsia="en-GB"/>
              </w:rPr>
              <w:t xml:space="preserve">Additional </w:t>
            </w:r>
            <w:r w:rsidR="00043B32">
              <w:rPr>
                <w:rFonts w:cs="Arial"/>
                <w:color w:val="000000"/>
                <w:sz w:val="22"/>
                <w:szCs w:val="22"/>
                <w:lang w:eastAsia="en-GB"/>
              </w:rPr>
              <w:t>w</w:t>
            </w:r>
            <w:r w:rsidRPr="00317745">
              <w:rPr>
                <w:rFonts w:cs="Arial"/>
                <w:color w:val="000000"/>
                <w:sz w:val="22"/>
                <w:szCs w:val="22"/>
                <w:lang w:eastAsia="en-GB"/>
              </w:rPr>
              <w:t>ork agreed by PSAA</w:t>
            </w:r>
          </w:p>
        </w:tc>
        <w:tc>
          <w:tcPr>
            <w:tcW w:w="1012" w:type="dxa"/>
            <w:tcBorders>
              <w:top w:val="nil"/>
              <w:left w:val="nil"/>
              <w:bottom w:val="nil"/>
              <w:right w:val="nil"/>
            </w:tcBorders>
            <w:shd w:val="clear" w:color="auto" w:fill="auto"/>
            <w:noWrap/>
            <w:vAlign w:val="bottom"/>
            <w:hideMark/>
          </w:tcPr>
          <w:p w14:paraId="5F182720" w14:textId="77777777" w:rsidR="00317745" w:rsidRPr="00317745" w:rsidRDefault="00317745" w:rsidP="00317745">
            <w:pPr>
              <w:jc w:val="right"/>
              <w:rPr>
                <w:rFonts w:cs="Arial"/>
                <w:color w:val="000000"/>
                <w:sz w:val="22"/>
                <w:szCs w:val="22"/>
                <w:lang w:eastAsia="en-GB"/>
              </w:rPr>
            </w:pPr>
            <w:r w:rsidRPr="00317745">
              <w:rPr>
                <w:rFonts w:cs="Arial"/>
                <w:color w:val="000000"/>
                <w:sz w:val="22"/>
                <w:szCs w:val="22"/>
                <w:lang w:eastAsia="en-GB"/>
              </w:rPr>
              <w:t>14,048</w:t>
            </w:r>
          </w:p>
        </w:tc>
        <w:tc>
          <w:tcPr>
            <w:tcW w:w="1012" w:type="dxa"/>
            <w:tcBorders>
              <w:top w:val="nil"/>
              <w:left w:val="nil"/>
              <w:bottom w:val="nil"/>
              <w:right w:val="single" w:sz="4" w:space="0" w:color="auto"/>
            </w:tcBorders>
            <w:shd w:val="clear" w:color="auto" w:fill="auto"/>
            <w:noWrap/>
            <w:vAlign w:val="bottom"/>
            <w:hideMark/>
          </w:tcPr>
          <w:p w14:paraId="3CA1DC9A" w14:textId="77777777" w:rsidR="00317745" w:rsidRPr="00317745" w:rsidRDefault="00317745" w:rsidP="00317745">
            <w:pPr>
              <w:rPr>
                <w:rFonts w:cs="Arial"/>
                <w:color w:val="000000"/>
                <w:sz w:val="22"/>
                <w:szCs w:val="22"/>
                <w:lang w:eastAsia="en-GB"/>
              </w:rPr>
            </w:pPr>
            <w:r w:rsidRPr="00317745">
              <w:rPr>
                <w:rFonts w:cs="Arial"/>
                <w:color w:val="000000"/>
                <w:sz w:val="22"/>
                <w:szCs w:val="22"/>
                <w:lang w:eastAsia="en-GB"/>
              </w:rPr>
              <w:t> </w:t>
            </w:r>
          </w:p>
        </w:tc>
      </w:tr>
      <w:tr w:rsidR="00317745" w:rsidRPr="00317745" w14:paraId="0CD9AE18" w14:textId="77777777" w:rsidTr="00043B32">
        <w:trPr>
          <w:trHeight w:val="290"/>
          <w:jc w:val="center"/>
        </w:trPr>
        <w:tc>
          <w:tcPr>
            <w:tcW w:w="4531" w:type="dxa"/>
            <w:tcBorders>
              <w:top w:val="nil"/>
              <w:left w:val="single" w:sz="4" w:space="0" w:color="auto"/>
              <w:bottom w:val="nil"/>
              <w:right w:val="nil"/>
            </w:tcBorders>
            <w:shd w:val="clear" w:color="auto" w:fill="auto"/>
            <w:noWrap/>
            <w:vAlign w:val="bottom"/>
            <w:hideMark/>
          </w:tcPr>
          <w:p w14:paraId="0C211799" w14:textId="015A5335" w:rsidR="00317745" w:rsidRPr="00317745" w:rsidRDefault="00317745" w:rsidP="00317745">
            <w:pPr>
              <w:rPr>
                <w:rFonts w:cs="Arial"/>
                <w:color w:val="000000"/>
                <w:sz w:val="22"/>
                <w:szCs w:val="22"/>
                <w:lang w:eastAsia="en-GB"/>
              </w:rPr>
            </w:pPr>
            <w:r w:rsidRPr="00317745">
              <w:rPr>
                <w:rFonts w:cs="Arial"/>
                <w:color w:val="000000"/>
                <w:sz w:val="22"/>
                <w:szCs w:val="22"/>
                <w:lang w:eastAsia="en-GB"/>
              </w:rPr>
              <w:t>Non</w:t>
            </w:r>
            <w:r w:rsidR="00043B32">
              <w:rPr>
                <w:rFonts w:cs="Arial"/>
                <w:color w:val="000000"/>
                <w:sz w:val="22"/>
                <w:szCs w:val="22"/>
                <w:lang w:eastAsia="en-GB"/>
              </w:rPr>
              <w:t xml:space="preserve"> S</w:t>
            </w:r>
            <w:r w:rsidRPr="00317745">
              <w:rPr>
                <w:rFonts w:cs="Arial"/>
                <w:color w:val="000000"/>
                <w:sz w:val="22"/>
                <w:szCs w:val="22"/>
                <w:lang w:eastAsia="en-GB"/>
              </w:rPr>
              <w:t xml:space="preserve">cale </w:t>
            </w:r>
            <w:r w:rsidR="00043B32">
              <w:rPr>
                <w:rFonts w:cs="Arial"/>
                <w:color w:val="000000"/>
                <w:sz w:val="22"/>
                <w:szCs w:val="22"/>
                <w:lang w:eastAsia="en-GB"/>
              </w:rPr>
              <w:t>F</w:t>
            </w:r>
            <w:r w:rsidRPr="00317745">
              <w:rPr>
                <w:rFonts w:cs="Arial"/>
                <w:color w:val="000000"/>
                <w:sz w:val="22"/>
                <w:szCs w:val="22"/>
                <w:lang w:eastAsia="en-GB"/>
              </w:rPr>
              <w:t>ee work per 22/23 fee letter</w:t>
            </w:r>
          </w:p>
        </w:tc>
        <w:tc>
          <w:tcPr>
            <w:tcW w:w="1012" w:type="dxa"/>
            <w:tcBorders>
              <w:top w:val="nil"/>
              <w:left w:val="nil"/>
              <w:bottom w:val="nil"/>
              <w:right w:val="nil"/>
            </w:tcBorders>
            <w:shd w:val="clear" w:color="auto" w:fill="auto"/>
            <w:noWrap/>
            <w:vAlign w:val="bottom"/>
            <w:hideMark/>
          </w:tcPr>
          <w:p w14:paraId="6C9306C5" w14:textId="77777777" w:rsidR="00317745" w:rsidRPr="00317745" w:rsidRDefault="00317745" w:rsidP="00317745">
            <w:pPr>
              <w:rPr>
                <w:rFonts w:cs="Arial"/>
                <w:color w:val="000000"/>
                <w:sz w:val="22"/>
                <w:szCs w:val="22"/>
                <w:lang w:eastAsia="en-GB"/>
              </w:rPr>
            </w:pPr>
          </w:p>
        </w:tc>
        <w:tc>
          <w:tcPr>
            <w:tcW w:w="1012" w:type="dxa"/>
            <w:tcBorders>
              <w:top w:val="nil"/>
              <w:left w:val="nil"/>
              <w:bottom w:val="nil"/>
              <w:right w:val="single" w:sz="4" w:space="0" w:color="auto"/>
            </w:tcBorders>
            <w:shd w:val="clear" w:color="auto" w:fill="auto"/>
            <w:noWrap/>
            <w:vAlign w:val="bottom"/>
            <w:hideMark/>
          </w:tcPr>
          <w:p w14:paraId="5F77AAA0" w14:textId="77777777" w:rsidR="00317745" w:rsidRPr="00317745" w:rsidRDefault="00317745" w:rsidP="00317745">
            <w:pPr>
              <w:jc w:val="right"/>
              <w:rPr>
                <w:rFonts w:cs="Arial"/>
                <w:color w:val="000000"/>
                <w:sz w:val="22"/>
                <w:szCs w:val="22"/>
                <w:lang w:eastAsia="en-GB"/>
              </w:rPr>
            </w:pPr>
            <w:r w:rsidRPr="00317745">
              <w:rPr>
                <w:rFonts w:cs="Arial"/>
                <w:color w:val="000000"/>
                <w:sz w:val="22"/>
                <w:szCs w:val="22"/>
                <w:lang w:eastAsia="en-GB"/>
              </w:rPr>
              <w:t>7,078</w:t>
            </w:r>
          </w:p>
        </w:tc>
      </w:tr>
      <w:tr w:rsidR="00317745" w:rsidRPr="00317745" w14:paraId="61FD0351" w14:textId="77777777" w:rsidTr="00043B32">
        <w:trPr>
          <w:trHeight w:val="300"/>
          <w:jc w:val="center"/>
        </w:trPr>
        <w:tc>
          <w:tcPr>
            <w:tcW w:w="4531" w:type="dxa"/>
            <w:tcBorders>
              <w:top w:val="nil"/>
              <w:left w:val="single" w:sz="4" w:space="0" w:color="auto"/>
              <w:bottom w:val="nil"/>
              <w:right w:val="nil"/>
            </w:tcBorders>
            <w:shd w:val="clear" w:color="auto" w:fill="auto"/>
            <w:noWrap/>
            <w:vAlign w:val="bottom"/>
            <w:hideMark/>
          </w:tcPr>
          <w:p w14:paraId="15F88CC3" w14:textId="77777777" w:rsidR="00317745" w:rsidRPr="00317745" w:rsidRDefault="00317745" w:rsidP="00317745">
            <w:pPr>
              <w:rPr>
                <w:rFonts w:cs="Arial"/>
                <w:color w:val="000000"/>
                <w:sz w:val="22"/>
                <w:szCs w:val="22"/>
                <w:lang w:eastAsia="en-GB"/>
              </w:rPr>
            </w:pPr>
            <w:r w:rsidRPr="00317745">
              <w:rPr>
                <w:rFonts w:cs="Arial"/>
                <w:color w:val="000000"/>
                <w:sz w:val="22"/>
                <w:szCs w:val="22"/>
                <w:lang w:eastAsia="en-GB"/>
              </w:rPr>
              <w:t> </w:t>
            </w:r>
          </w:p>
        </w:tc>
        <w:tc>
          <w:tcPr>
            <w:tcW w:w="1012" w:type="dxa"/>
            <w:tcBorders>
              <w:top w:val="single" w:sz="4" w:space="0" w:color="auto"/>
              <w:left w:val="nil"/>
              <w:bottom w:val="double" w:sz="6" w:space="0" w:color="auto"/>
              <w:right w:val="nil"/>
            </w:tcBorders>
            <w:shd w:val="clear" w:color="auto" w:fill="auto"/>
            <w:noWrap/>
            <w:vAlign w:val="bottom"/>
            <w:hideMark/>
          </w:tcPr>
          <w:p w14:paraId="7B3CD799" w14:textId="77777777" w:rsidR="00317745" w:rsidRPr="00317745" w:rsidRDefault="00317745" w:rsidP="00317745">
            <w:pPr>
              <w:jc w:val="right"/>
              <w:rPr>
                <w:rFonts w:cs="Arial"/>
                <w:color w:val="000000"/>
                <w:sz w:val="22"/>
                <w:szCs w:val="22"/>
                <w:lang w:eastAsia="en-GB"/>
              </w:rPr>
            </w:pPr>
            <w:r w:rsidRPr="00317745">
              <w:rPr>
                <w:rFonts w:cs="Arial"/>
                <w:color w:val="000000"/>
                <w:sz w:val="22"/>
                <w:szCs w:val="22"/>
                <w:lang w:eastAsia="en-GB"/>
              </w:rPr>
              <w:t>28,143</w:t>
            </w:r>
          </w:p>
        </w:tc>
        <w:tc>
          <w:tcPr>
            <w:tcW w:w="1012" w:type="dxa"/>
            <w:tcBorders>
              <w:top w:val="single" w:sz="4" w:space="0" w:color="auto"/>
              <w:left w:val="nil"/>
              <w:bottom w:val="double" w:sz="6" w:space="0" w:color="auto"/>
              <w:right w:val="single" w:sz="4" w:space="0" w:color="auto"/>
            </w:tcBorders>
            <w:shd w:val="clear" w:color="auto" w:fill="auto"/>
            <w:noWrap/>
            <w:vAlign w:val="bottom"/>
            <w:hideMark/>
          </w:tcPr>
          <w:p w14:paraId="682802B7" w14:textId="77777777" w:rsidR="00317745" w:rsidRPr="00317745" w:rsidRDefault="00317745" w:rsidP="00317745">
            <w:pPr>
              <w:jc w:val="right"/>
              <w:rPr>
                <w:rFonts w:cs="Arial"/>
                <w:color w:val="000000"/>
                <w:sz w:val="22"/>
                <w:szCs w:val="22"/>
                <w:lang w:eastAsia="en-GB"/>
              </w:rPr>
            </w:pPr>
            <w:r w:rsidRPr="00317745">
              <w:rPr>
                <w:rFonts w:cs="Arial"/>
                <w:color w:val="000000"/>
                <w:sz w:val="22"/>
                <w:szCs w:val="22"/>
                <w:lang w:eastAsia="en-GB"/>
              </w:rPr>
              <w:t>23,361</w:t>
            </w:r>
          </w:p>
        </w:tc>
      </w:tr>
      <w:tr w:rsidR="00317745" w:rsidRPr="00317745" w14:paraId="57643667" w14:textId="77777777" w:rsidTr="00043B32">
        <w:trPr>
          <w:trHeight w:val="300"/>
          <w:jc w:val="center"/>
        </w:trPr>
        <w:tc>
          <w:tcPr>
            <w:tcW w:w="4531" w:type="dxa"/>
            <w:tcBorders>
              <w:top w:val="nil"/>
              <w:left w:val="single" w:sz="4" w:space="0" w:color="auto"/>
              <w:bottom w:val="single" w:sz="4" w:space="0" w:color="auto"/>
              <w:right w:val="nil"/>
            </w:tcBorders>
            <w:shd w:val="clear" w:color="auto" w:fill="auto"/>
            <w:noWrap/>
            <w:vAlign w:val="bottom"/>
            <w:hideMark/>
          </w:tcPr>
          <w:p w14:paraId="4275164A" w14:textId="77777777" w:rsidR="00317745" w:rsidRPr="00317745" w:rsidRDefault="00317745" w:rsidP="00317745">
            <w:pPr>
              <w:rPr>
                <w:rFonts w:cs="Arial"/>
                <w:color w:val="000000"/>
                <w:sz w:val="22"/>
                <w:szCs w:val="22"/>
                <w:lang w:eastAsia="en-GB"/>
              </w:rPr>
            </w:pPr>
            <w:r w:rsidRPr="00317745">
              <w:rPr>
                <w:rFonts w:cs="Arial"/>
                <w:color w:val="000000"/>
                <w:sz w:val="22"/>
                <w:szCs w:val="22"/>
                <w:lang w:eastAsia="en-GB"/>
              </w:rPr>
              <w:t> </w:t>
            </w:r>
          </w:p>
        </w:tc>
        <w:tc>
          <w:tcPr>
            <w:tcW w:w="1012" w:type="dxa"/>
            <w:tcBorders>
              <w:top w:val="nil"/>
              <w:left w:val="nil"/>
              <w:bottom w:val="single" w:sz="4" w:space="0" w:color="auto"/>
              <w:right w:val="nil"/>
            </w:tcBorders>
            <w:shd w:val="clear" w:color="auto" w:fill="auto"/>
            <w:noWrap/>
            <w:vAlign w:val="bottom"/>
            <w:hideMark/>
          </w:tcPr>
          <w:p w14:paraId="20E4E2E3" w14:textId="77777777" w:rsidR="00317745" w:rsidRPr="00317745" w:rsidRDefault="00317745" w:rsidP="00317745">
            <w:pPr>
              <w:rPr>
                <w:rFonts w:cs="Arial"/>
                <w:color w:val="000000"/>
                <w:sz w:val="22"/>
                <w:szCs w:val="22"/>
                <w:lang w:eastAsia="en-GB"/>
              </w:rPr>
            </w:pPr>
            <w:r w:rsidRPr="00317745">
              <w:rPr>
                <w:rFonts w:cs="Arial"/>
                <w:color w:val="000000"/>
                <w:sz w:val="22"/>
                <w:szCs w:val="22"/>
                <w:lang w:eastAsia="en-GB"/>
              </w:rPr>
              <w:t> </w:t>
            </w:r>
          </w:p>
        </w:tc>
        <w:tc>
          <w:tcPr>
            <w:tcW w:w="1012" w:type="dxa"/>
            <w:tcBorders>
              <w:top w:val="nil"/>
              <w:left w:val="nil"/>
              <w:bottom w:val="single" w:sz="4" w:space="0" w:color="auto"/>
              <w:right w:val="single" w:sz="4" w:space="0" w:color="auto"/>
            </w:tcBorders>
            <w:shd w:val="clear" w:color="auto" w:fill="auto"/>
            <w:noWrap/>
            <w:vAlign w:val="bottom"/>
            <w:hideMark/>
          </w:tcPr>
          <w:p w14:paraId="07E0D551" w14:textId="77777777" w:rsidR="00317745" w:rsidRPr="00317745" w:rsidRDefault="00317745" w:rsidP="00317745">
            <w:pPr>
              <w:rPr>
                <w:rFonts w:cs="Arial"/>
                <w:color w:val="000000"/>
                <w:sz w:val="22"/>
                <w:szCs w:val="22"/>
                <w:lang w:eastAsia="en-GB"/>
              </w:rPr>
            </w:pPr>
            <w:r w:rsidRPr="00317745">
              <w:rPr>
                <w:rFonts w:cs="Arial"/>
                <w:color w:val="000000"/>
                <w:sz w:val="22"/>
                <w:szCs w:val="22"/>
                <w:lang w:eastAsia="en-GB"/>
              </w:rPr>
              <w:t> </w:t>
            </w:r>
          </w:p>
        </w:tc>
      </w:tr>
    </w:tbl>
    <w:p w14:paraId="6C0279D1" w14:textId="77777777" w:rsidR="00317745" w:rsidRDefault="00317745" w:rsidP="00317745">
      <w:pPr>
        <w:rPr>
          <w:highlight w:val="yellow"/>
          <w:lang w:eastAsia="en-GB"/>
        </w:rPr>
      </w:pPr>
    </w:p>
    <w:p w14:paraId="65381BBA" w14:textId="1B9A6F72" w:rsidR="00B15A61" w:rsidRDefault="00317745" w:rsidP="009E2FB3">
      <w:pPr>
        <w:rPr>
          <w:lang w:eastAsia="en-GB"/>
        </w:rPr>
      </w:pPr>
      <w:bookmarkStart w:id="94" w:name="_MON_1401538981"/>
      <w:bookmarkStart w:id="95" w:name="_MON_1429555017"/>
      <w:bookmarkStart w:id="96" w:name="_MON_1361874056"/>
      <w:bookmarkStart w:id="97" w:name="_MON_1361874146"/>
      <w:bookmarkStart w:id="98" w:name="_MON_1361874248"/>
      <w:bookmarkStart w:id="99" w:name="_MON_1362487870"/>
      <w:bookmarkStart w:id="100" w:name="_MON_1362487901"/>
      <w:bookmarkStart w:id="101" w:name="_MON_1362487923"/>
      <w:bookmarkStart w:id="102" w:name="_MON_1362487944"/>
      <w:bookmarkStart w:id="103" w:name="_MON_1362488007"/>
      <w:bookmarkStart w:id="104" w:name="_MON_1366177859"/>
      <w:bookmarkStart w:id="105" w:name="_MON_1369553172"/>
      <w:bookmarkStart w:id="106" w:name="_MON_1369727026"/>
      <w:bookmarkStart w:id="107" w:name="_MON_1370694602"/>
      <w:bookmarkStart w:id="108" w:name="_MON_1373100504"/>
      <w:bookmarkStart w:id="109" w:name="_MON_1395560856"/>
      <w:bookmarkStart w:id="110" w:name="_MON_1395560863"/>
      <w:bookmarkStart w:id="111" w:name="_MON_1396245959"/>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317745">
        <w:rPr>
          <w:lang w:eastAsia="en-GB"/>
        </w:rPr>
        <w:t>Due to the timing of audit work, some element of the fees relating to 2021/22 were paid during 2022/23</w:t>
      </w:r>
      <w:r w:rsidR="007D2E50">
        <w:rPr>
          <w:lang w:eastAsia="en-GB"/>
        </w:rPr>
        <w:t>,</w:t>
      </w:r>
      <w:r>
        <w:rPr>
          <w:lang w:eastAsia="en-GB"/>
        </w:rPr>
        <w:t xml:space="preserve"> once the audit work for 2021/22 was complete and billing for any additional work had been approved by the PSAA.</w:t>
      </w:r>
      <w:r w:rsidR="00B15A61">
        <w:rPr>
          <w:lang w:eastAsia="en-GB"/>
        </w:rPr>
        <w:t xml:space="preserve"> The restated amount for 2021/22 is as per the final bill including all PSAA approved variations.</w:t>
      </w:r>
      <w:r>
        <w:rPr>
          <w:lang w:eastAsia="en-GB"/>
        </w:rPr>
        <w:t xml:space="preserve"> </w:t>
      </w:r>
    </w:p>
    <w:p w14:paraId="124DC84C" w14:textId="77777777" w:rsidR="00B15A61" w:rsidRDefault="00B15A61" w:rsidP="009E2FB3">
      <w:pPr>
        <w:rPr>
          <w:lang w:eastAsia="en-GB"/>
        </w:rPr>
      </w:pPr>
    </w:p>
    <w:p w14:paraId="5EF83D0B" w14:textId="77777777" w:rsidR="003D262F" w:rsidRDefault="00317745" w:rsidP="009E2FB3">
      <w:pPr>
        <w:rPr>
          <w:lang w:eastAsia="en-GB"/>
        </w:rPr>
      </w:pPr>
      <w:r>
        <w:rPr>
          <w:lang w:eastAsia="en-GB"/>
        </w:rPr>
        <w:t xml:space="preserve">It is anticipated that there will be some further work during the 2022/23 audit for activity not covered by the scale fee. The estimate provided by Grant Thornton in the 2022/23 fee letter is shown above. This will be subject to </w:t>
      </w:r>
      <w:r w:rsidR="00B15A61">
        <w:rPr>
          <w:lang w:eastAsia="en-GB"/>
        </w:rPr>
        <w:t xml:space="preserve">confirmation of the final amounts on completion of the audit and </w:t>
      </w:r>
      <w:r>
        <w:rPr>
          <w:lang w:eastAsia="en-GB"/>
        </w:rPr>
        <w:t>the PSAA fee variation process.</w:t>
      </w:r>
      <w:r w:rsidR="003D262F">
        <w:rPr>
          <w:lang w:eastAsia="en-GB"/>
        </w:rPr>
        <w:t xml:space="preserve"> </w:t>
      </w:r>
    </w:p>
    <w:p w14:paraId="733B3D5F" w14:textId="77777777" w:rsidR="003D262F" w:rsidRDefault="003D262F" w:rsidP="009E2FB3">
      <w:pPr>
        <w:rPr>
          <w:lang w:eastAsia="en-GB"/>
        </w:rPr>
      </w:pPr>
    </w:p>
    <w:p w14:paraId="370D4B6A" w14:textId="25C6EB51" w:rsidR="008E4779" w:rsidRPr="00317745" w:rsidRDefault="003D262F" w:rsidP="009E2FB3">
      <w:pPr>
        <w:rPr>
          <w:lang w:eastAsia="en-GB"/>
        </w:rPr>
      </w:pPr>
      <w:r>
        <w:rPr>
          <w:lang w:eastAsia="en-GB"/>
        </w:rPr>
        <w:t>No non-audit services were provided.</w:t>
      </w:r>
    </w:p>
    <w:p w14:paraId="5EE129EC" w14:textId="77777777" w:rsidR="00317745" w:rsidRPr="004D5CA8" w:rsidRDefault="00317745" w:rsidP="009E2FB3">
      <w:pPr>
        <w:rPr>
          <w:highlight w:val="yellow"/>
          <w:lang w:eastAsia="en-GB"/>
        </w:rPr>
      </w:pPr>
    </w:p>
    <w:p w14:paraId="485A47B5" w14:textId="50717BDE" w:rsidR="00E00863" w:rsidRPr="00DC733E" w:rsidRDefault="004050EA" w:rsidP="00261CF6">
      <w:pPr>
        <w:pStyle w:val="Subtitle"/>
        <w:numPr>
          <w:ilvl w:val="0"/>
          <w:numId w:val="0"/>
        </w:numPr>
        <w:tabs>
          <w:tab w:val="left" w:pos="-709"/>
          <w:tab w:val="left" w:pos="-284"/>
          <w:tab w:val="left" w:pos="-142"/>
          <w:tab w:val="left" w:pos="0"/>
          <w:tab w:val="left" w:pos="567"/>
        </w:tabs>
        <w:spacing w:line="240" w:lineRule="atLeast"/>
        <w:ind w:left="360" w:right="680" w:hanging="360"/>
        <w:rPr>
          <w:rFonts w:ascii="Arial" w:hAnsi="Arial" w:cs="Arial"/>
          <w:b/>
          <w:i w:val="0"/>
          <w:sz w:val="23"/>
          <w:szCs w:val="23"/>
          <w:u w:val="none"/>
        </w:rPr>
      </w:pPr>
      <w:r w:rsidRPr="000D7C2D">
        <w:rPr>
          <w:rFonts w:ascii="Arial" w:hAnsi="Arial" w:cs="Arial"/>
          <w:b/>
          <w:i w:val="0"/>
          <w:sz w:val="23"/>
          <w:szCs w:val="23"/>
          <w:u w:val="none"/>
        </w:rPr>
        <w:t>18</w:t>
      </w:r>
      <w:r w:rsidR="004B1BA7" w:rsidRPr="000D7C2D">
        <w:rPr>
          <w:rFonts w:ascii="Arial" w:hAnsi="Arial" w:cs="Arial"/>
          <w:b/>
          <w:i w:val="0"/>
          <w:sz w:val="23"/>
          <w:szCs w:val="23"/>
          <w:u w:val="none"/>
        </w:rPr>
        <w:t>.</w:t>
      </w:r>
      <w:r w:rsidR="004B1BA7" w:rsidRPr="000D7C2D">
        <w:rPr>
          <w:rFonts w:ascii="Arial" w:hAnsi="Arial" w:cs="Arial"/>
          <w:b/>
          <w:i w:val="0"/>
          <w:sz w:val="23"/>
          <w:szCs w:val="23"/>
          <w:u w:val="none"/>
        </w:rPr>
        <w:tab/>
      </w:r>
      <w:r w:rsidR="005612ED" w:rsidRPr="000D7C2D">
        <w:rPr>
          <w:rFonts w:ascii="Arial" w:eastAsia="Times New Roman" w:hAnsi="Arial"/>
          <w:b/>
          <w:i w:val="0"/>
          <w:iCs w:val="0"/>
          <w:spacing w:val="0"/>
          <w:sz w:val="23"/>
          <w:szCs w:val="23"/>
          <w:u w:val="none"/>
          <w:lang w:eastAsia="en-US"/>
        </w:rPr>
        <w:t xml:space="preserve">Balance Sheet - </w:t>
      </w:r>
      <w:r w:rsidR="00E00863" w:rsidRPr="000D7C2D">
        <w:rPr>
          <w:rFonts w:ascii="Arial" w:eastAsia="Times New Roman" w:hAnsi="Arial"/>
          <w:b/>
          <w:i w:val="0"/>
          <w:iCs w:val="0"/>
          <w:spacing w:val="0"/>
          <w:sz w:val="23"/>
          <w:szCs w:val="23"/>
          <w:u w:val="none"/>
          <w:lang w:eastAsia="en-US"/>
        </w:rPr>
        <w:t>Property, Plant and Equipment</w:t>
      </w:r>
      <w:r w:rsidR="007D2E50">
        <w:rPr>
          <w:rFonts w:ascii="Arial" w:eastAsia="Times New Roman" w:hAnsi="Arial"/>
          <w:b/>
          <w:i w:val="0"/>
          <w:iCs w:val="0"/>
          <w:spacing w:val="0"/>
          <w:sz w:val="23"/>
          <w:szCs w:val="23"/>
          <w:u w:val="none"/>
          <w:lang w:eastAsia="en-US"/>
        </w:rPr>
        <w:t xml:space="preserve"> </w:t>
      </w:r>
    </w:p>
    <w:p w14:paraId="485A47B6" w14:textId="77777777" w:rsidR="00E00863" w:rsidRPr="00DC733E" w:rsidRDefault="00E00863" w:rsidP="006D2EED">
      <w:pPr>
        <w:pStyle w:val="Subtitle"/>
      </w:pPr>
    </w:p>
    <w:p w14:paraId="485A47B7" w14:textId="620DF3BA" w:rsidR="006E6BD8" w:rsidRPr="00DC733E" w:rsidRDefault="00E00863" w:rsidP="00DC733E">
      <w:pPr>
        <w:pStyle w:val="Subtitle"/>
        <w:tabs>
          <w:tab w:val="left" w:pos="567"/>
        </w:tabs>
        <w:ind w:left="567"/>
        <w:rPr>
          <w:rFonts w:ascii="Arial" w:hAnsi="Arial"/>
          <w:i w:val="0"/>
          <w:iCs w:val="0"/>
          <w:spacing w:val="0"/>
          <w:sz w:val="22"/>
          <w:szCs w:val="20"/>
          <w:u w:val="none"/>
        </w:rPr>
      </w:pPr>
      <w:r w:rsidRPr="00DC733E">
        <w:rPr>
          <w:rFonts w:ascii="Arial" w:hAnsi="Arial"/>
          <w:i w:val="0"/>
          <w:iCs w:val="0"/>
          <w:spacing w:val="0"/>
          <w:sz w:val="22"/>
          <w:szCs w:val="20"/>
          <w:u w:val="none"/>
        </w:rPr>
        <w:t xml:space="preserve">The table below sets out the </w:t>
      </w:r>
      <w:r w:rsidR="00731540" w:rsidRPr="00DC733E">
        <w:rPr>
          <w:rFonts w:ascii="Arial" w:hAnsi="Arial"/>
          <w:i w:val="0"/>
          <w:iCs w:val="0"/>
          <w:spacing w:val="0"/>
          <w:sz w:val="22"/>
          <w:szCs w:val="20"/>
          <w:u w:val="none"/>
        </w:rPr>
        <w:t>balances</w:t>
      </w:r>
      <w:r w:rsidRPr="00DC733E">
        <w:rPr>
          <w:rFonts w:ascii="Arial" w:hAnsi="Arial"/>
          <w:i w:val="0"/>
          <w:iCs w:val="0"/>
          <w:spacing w:val="0"/>
          <w:sz w:val="22"/>
          <w:szCs w:val="20"/>
          <w:u w:val="none"/>
        </w:rPr>
        <w:t xml:space="preserve"> relating to Property, Plant and Equipment in </w:t>
      </w:r>
      <w:r w:rsidR="00627253" w:rsidRPr="00DC733E">
        <w:rPr>
          <w:rFonts w:ascii="Arial" w:hAnsi="Arial"/>
          <w:i w:val="0"/>
          <w:iCs w:val="0"/>
          <w:spacing w:val="0"/>
          <w:sz w:val="22"/>
          <w:szCs w:val="20"/>
          <w:u w:val="none"/>
        </w:rPr>
        <w:t>20</w:t>
      </w:r>
      <w:r w:rsidR="00DE33FB" w:rsidRPr="00DC733E">
        <w:rPr>
          <w:rFonts w:ascii="Arial" w:hAnsi="Arial"/>
          <w:i w:val="0"/>
          <w:iCs w:val="0"/>
          <w:spacing w:val="0"/>
          <w:sz w:val="22"/>
          <w:szCs w:val="20"/>
          <w:u w:val="none"/>
        </w:rPr>
        <w:t>2</w:t>
      </w:r>
      <w:r w:rsidR="00DC733E" w:rsidRPr="00DC733E">
        <w:rPr>
          <w:rFonts w:ascii="Arial" w:hAnsi="Arial"/>
          <w:i w:val="0"/>
          <w:iCs w:val="0"/>
          <w:spacing w:val="0"/>
          <w:sz w:val="22"/>
          <w:szCs w:val="20"/>
          <w:u w:val="none"/>
        </w:rPr>
        <w:t>2</w:t>
      </w:r>
      <w:r w:rsidR="00627253" w:rsidRPr="00DC733E">
        <w:rPr>
          <w:rFonts w:ascii="Arial" w:hAnsi="Arial"/>
          <w:i w:val="0"/>
          <w:iCs w:val="0"/>
          <w:spacing w:val="0"/>
          <w:sz w:val="22"/>
          <w:szCs w:val="20"/>
          <w:u w:val="none"/>
        </w:rPr>
        <w:t>/</w:t>
      </w:r>
      <w:r w:rsidR="009C1237" w:rsidRPr="00DC733E">
        <w:rPr>
          <w:rFonts w:ascii="Arial" w:hAnsi="Arial"/>
          <w:i w:val="0"/>
          <w:iCs w:val="0"/>
          <w:spacing w:val="0"/>
          <w:sz w:val="22"/>
          <w:szCs w:val="20"/>
          <w:u w:val="none"/>
        </w:rPr>
        <w:t>2</w:t>
      </w:r>
      <w:r w:rsidR="00DC733E" w:rsidRPr="00DC733E">
        <w:rPr>
          <w:rFonts w:ascii="Arial" w:hAnsi="Arial"/>
          <w:i w:val="0"/>
          <w:iCs w:val="0"/>
          <w:spacing w:val="0"/>
          <w:sz w:val="22"/>
          <w:szCs w:val="20"/>
          <w:u w:val="none"/>
        </w:rPr>
        <w:t>3</w:t>
      </w:r>
      <w:r w:rsidR="00AF67EC" w:rsidRPr="00DC733E">
        <w:rPr>
          <w:rFonts w:ascii="Arial" w:hAnsi="Arial"/>
          <w:i w:val="0"/>
          <w:iCs w:val="0"/>
          <w:spacing w:val="0"/>
          <w:sz w:val="22"/>
          <w:szCs w:val="20"/>
          <w:u w:val="none"/>
        </w:rPr>
        <w:t>.</w:t>
      </w:r>
    </w:p>
    <w:p w14:paraId="1155AC30" w14:textId="77777777" w:rsidR="004817B7" w:rsidRPr="00DC733E" w:rsidRDefault="004817B7" w:rsidP="004817B7">
      <w:pPr>
        <w:rPr>
          <w:lang w:eastAsia="en-GB"/>
        </w:rPr>
      </w:pPr>
    </w:p>
    <w:p w14:paraId="485A47B8" w14:textId="1D76ED34" w:rsidR="00895CDA" w:rsidRPr="00DC733E" w:rsidRDefault="00FA17FF" w:rsidP="008B6E87">
      <w:pPr>
        <w:ind w:left="-567"/>
        <w:rPr>
          <w:i/>
          <w:iCs/>
        </w:rPr>
      </w:pPr>
      <w:r w:rsidRPr="00FA17FF">
        <w:rPr>
          <w:noProof/>
        </w:rPr>
        <w:drawing>
          <wp:inline distT="0" distB="0" distL="0" distR="0" wp14:anchorId="15BF911F" wp14:editId="5EDF543E">
            <wp:extent cx="6475312" cy="3698543"/>
            <wp:effectExtent l="0" t="0" r="1905" b="0"/>
            <wp:docPr id="12589077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84897" cy="3704017"/>
                    </a:xfrm>
                    <a:prstGeom prst="rect">
                      <a:avLst/>
                    </a:prstGeom>
                    <a:noFill/>
                    <a:ln>
                      <a:noFill/>
                    </a:ln>
                  </pic:spPr>
                </pic:pic>
              </a:graphicData>
            </a:graphic>
          </wp:inline>
        </w:drawing>
      </w:r>
    </w:p>
    <w:p w14:paraId="311276A6" w14:textId="77777777" w:rsidR="00502979" w:rsidRPr="00DC733E" w:rsidRDefault="00502979" w:rsidP="00BC3737">
      <w:pPr>
        <w:rPr>
          <w:lang w:eastAsia="en-GB"/>
        </w:rPr>
      </w:pPr>
    </w:p>
    <w:p w14:paraId="38A7EC8B" w14:textId="77777777" w:rsidR="00EF6C9E" w:rsidRPr="00DC733E" w:rsidRDefault="009E2FB3" w:rsidP="00502979">
      <w:pPr>
        <w:rPr>
          <w:sz w:val="22"/>
          <w:szCs w:val="22"/>
          <w:lang w:eastAsia="en-GB"/>
        </w:rPr>
      </w:pPr>
      <w:r w:rsidRPr="00DC733E">
        <w:rPr>
          <w:sz w:val="22"/>
          <w:szCs w:val="22"/>
          <w:lang w:eastAsia="en-GB"/>
        </w:rPr>
        <w:t xml:space="preserve">All assets were owned at the balance sheet date. </w:t>
      </w:r>
    </w:p>
    <w:p w14:paraId="7FEAAF27" w14:textId="77777777" w:rsidR="00EF6C9E" w:rsidRPr="00DC733E" w:rsidRDefault="00EF6C9E" w:rsidP="00502979">
      <w:pPr>
        <w:rPr>
          <w:sz w:val="22"/>
          <w:szCs w:val="22"/>
          <w:lang w:eastAsia="en-GB"/>
        </w:rPr>
      </w:pPr>
    </w:p>
    <w:p w14:paraId="7DD94B84" w14:textId="77777777" w:rsidR="00EF6C9E" w:rsidRPr="00DC733E" w:rsidRDefault="00EF6C9E" w:rsidP="00502979">
      <w:pPr>
        <w:rPr>
          <w:sz w:val="22"/>
          <w:szCs w:val="22"/>
          <w:lang w:eastAsia="en-GB"/>
        </w:rPr>
      </w:pPr>
    </w:p>
    <w:p w14:paraId="0669A6E7" w14:textId="77777777" w:rsidR="00EF6C9E" w:rsidRPr="00DC733E" w:rsidRDefault="00EF6C9E" w:rsidP="00502979">
      <w:pPr>
        <w:rPr>
          <w:sz w:val="22"/>
          <w:szCs w:val="22"/>
          <w:lang w:eastAsia="en-GB"/>
        </w:rPr>
      </w:pPr>
    </w:p>
    <w:p w14:paraId="485A47BA" w14:textId="7992A29A" w:rsidR="00502979" w:rsidRPr="00DC733E" w:rsidRDefault="003353EA" w:rsidP="00502979">
      <w:pPr>
        <w:rPr>
          <w:sz w:val="22"/>
          <w:szCs w:val="22"/>
          <w:lang w:eastAsia="en-GB"/>
        </w:rPr>
      </w:pPr>
      <w:r w:rsidRPr="00DC733E">
        <w:rPr>
          <w:sz w:val="22"/>
          <w:szCs w:val="22"/>
          <w:lang w:eastAsia="en-GB"/>
        </w:rPr>
        <w:t xml:space="preserve">The </w:t>
      </w:r>
      <w:r w:rsidR="00502979" w:rsidRPr="00DC733E">
        <w:rPr>
          <w:sz w:val="22"/>
          <w:szCs w:val="22"/>
          <w:lang w:eastAsia="en-GB"/>
        </w:rPr>
        <w:t>comparative movements in 20</w:t>
      </w:r>
      <w:r w:rsidR="00731540" w:rsidRPr="00DC733E">
        <w:rPr>
          <w:sz w:val="22"/>
          <w:szCs w:val="22"/>
          <w:lang w:eastAsia="en-GB"/>
        </w:rPr>
        <w:t>2</w:t>
      </w:r>
      <w:r w:rsidR="00DC733E">
        <w:rPr>
          <w:sz w:val="22"/>
          <w:szCs w:val="22"/>
          <w:lang w:eastAsia="en-GB"/>
        </w:rPr>
        <w:t>1</w:t>
      </w:r>
      <w:r w:rsidR="00627253" w:rsidRPr="00DC733E">
        <w:rPr>
          <w:sz w:val="22"/>
          <w:szCs w:val="22"/>
          <w:lang w:eastAsia="en-GB"/>
        </w:rPr>
        <w:t>/</w:t>
      </w:r>
      <w:r w:rsidR="00A373B2" w:rsidRPr="00DC733E">
        <w:rPr>
          <w:sz w:val="22"/>
          <w:szCs w:val="22"/>
          <w:lang w:eastAsia="en-GB"/>
        </w:rPr>
        <w:t>2</w:t>
      </w:r>
      <w:r w:rsidR="00DC733E">
        <w:rPr>
          <w:sz w:val="22"/>
          <w:szCs w:val="22"/>
          <w:lang w:eastAsia="en-GB"/>
        </w:rPr>
        <w:t>2</w:t>
      </w:r>
      <w:r w:rsidR="00502979" w:rsidRPr="00DC733E">
        <w:rPr>
          <w:sz w:val="22"/>
          <w:szCs w:val="22"/>
          <w:lang w:eastAsia="en-GB"/>
        </w:rPr>
        <w:t xml:space="preserve"> are shown below:</w:t>
      </w:r>
    </w:p>
    <w:p w14:paraId="15FE0159" w14:textId="77777777" w:rsidR="00731540" w:rsidRPr="00DC733E" w:rsidRDefault="00731540" w:rsidP="00502979">
      <w:pPr>
        <w:rPr>
          <w:sz w:val="22"/>
          <w:szCs w:val="22"/>
          <w:lang w:eastAsia="en-GB"/>
        </w:rPr>
      </w:pPr>
    </w:p>
    <w:p w14:paraId="485A47BB" w14:textId="647CE897" w:rsidR="00C542F5" w:rsidRPr="00DC733E" w:rsidRDefault="00DC733E" w:rsidP="00AC3B17">
      <w:pPr>
        <w:ind w:hanging="426"/>
        <w:rPr>
          <w:sz w:val="22"/>
          <w:szCs w:val="22"/>
          <w:lang w:eastAsia="en-GB"/>
        </w:rPr>
      </w:pPr>
      <w:r w:rsidRPr="00DC733E">
        <w:rPr>
          <w:noProof/>
        </w:rPr>
        <w:drawing>
          <wp:inline distT="0" distB="0" distL="0" distR="0" wp14:anchorId="26F3D3B4" wp14:editId="1E6509E9">
            <wp:extent cx="6106795" cy="4147303"/>
            <wp:effectExtent l="0" t="0" r="825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06795" cy="4147303"/>
                    </a:xfrm>
                    <a:prstGeom prst="rect">
                      <a:avLst/>
                    </a:prstGeom>
                    <a:noFill/>
                    <a:ln>
                      <a:noFill/>
                    </a:ln>
                  </pic:spPr>
                </pic:pic>
              </a:graphicData>
            </a:graphic>
          </wp:inline>
        </w:drawing>
      </w:r>
    </w:p>
    <w:p w14:paraId="65B8C6E6" w14:textId="77777777" w:rsidR="00DC733E" w:rsidRDefault="00DC733E" w:rsidP="008F4389">
      <w:pPr>
        <w:rPr>
          <w:highlight w:val="yellow"/>
          <w:lang w:eastAsia="en-GB"/>
        </w:rPr>
      </w:pPr>
      <w:bookmarkStart w:id="112" w:name="_Hlk135389709"/>
    </w:p>
    <w:p w14:paraId="485A47BD" w14:textId="583F97FC" w:rsidR="00335563" w:rsidRPr="0014004D" w:rsidRDefault="00FA7F4B" w:rsidP="008F4389">
      <w:pPr>
        <w:rPr>
          <w:lang w:eastAsia="en-GB"/>
        </w:rPr>
      </w:pPr>
      <w:r w:rsidRPr="0014004D">
        <w:rPr>
          <w:lang w:eastAsia="en-GB"/>
        </w:rPr>
        <w:t>At 31 March 202</w:t>
      </w:r>
      <w:r w:rsidR="0014004D" w:rsidRPr="0014004D">
        <w:rPr>
          <w:lang w:eastAsia="en-GB"/>
        </w:rPr>
        <w:t>3</w:t>
      </w:r>
      <w:r w:rsidRPr="0014004D">
        <w:rPr>
          <w:lang w:eastAsia="en-GB"/>
        </w:rPr>
        <w:t>, the authority had entered into a number of contracts for the construction or enhancement of property, plant and equipment in 202</w:t>
      </w:r>
      <w:r w:rsidR="0014004D" w:rsidRPr="0014004D">
        <w:rPr>
          <w:lang w:eastAsia="en-GB"/>
        </w:rPr>
        <w:t>3</w:t>
      </w:r>
      <w:r w:rsidRPr="0014004D">
        <w:rPr>
          <w:lang w:eastAsia="en-GB"/>
        </w:rPr>
        <w:t>/2</w:t>
      </w:r>
      <w:r w:rsidR="0014004D" w:rsidRPr="0014004D">
        <w:rPr>
          <w:lang w:eastAsia="en-GB"/>
        </w:rPr>
        <w:t>4</w:t>
      </w:r>
      <w:r w:rsidRPr="0014004D">
        <w:rPr>
          <w:lang w:eastAsia="en-GB"/>
        </w:rPr>
        <w:t>.  These cap</w:t>
      </w:r>
      <w:r w:rsidR="00C9361A" w:rsidRPr="0014004D">
        <w:rPr>
          <w:lang w:eastAsia="en-GB"/>
        </w:rPr>
        <w:t>ital</w:t>
      </w:r>
      <w:r w:rsidRPr="0014004D">
        <w:rPr>
          <w:lang w:eastAsia="en-GB"/>
        </w:rPr>
        <w:t xml:space="preserve"> commitments are:</w:t>
      </w:r>
    </w:p>
    <w:p w14:paraId="35D23D31" w14:textId="77777777" w:rsidR="00A6322E" w:rsidRPr="0014004D" w:rsidRDefault="00A6322E" w:rsidP="008F4389">
      <w:pPr>
        <w:rPr>
          <w:lang w:eastAsia="en-GB"/>
        </w:rPr>
      </w:pPr>
    </w:p>
    <w:p w14:paraId="0E3FA435" w14:textId="0B77302C" w:rsidR="00A6322E" w:rsidRPr="0014004D" w:rsidRDefault="00B5534B" w:rsidP="00F04D04">
      <w:pPr>
        <w:ind w:left="1134"/>
        <w:rPr>
          <w:lang w:eastAsia="en-GB"/>
        </w:rPr>
      </w:pPr>
      <w:r w:rsidRPr="00B5534B">
        <w:rPr>
          <w:noProof/>
        </w:rPr>
        <w:drawing>
          <wp:inline distT="0" distB="0" distL="0" distR="0" wp14:anchorId="0489044F" wp14:editId="145B3E71">
            <wp:extent cx="4364990" cy="2719070"/>
            <wp:effectExtent l="0" t="0" r="0" b="5080"/>
            <wp:docPr id="521553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64990" cy="2719070"/>
                    </a:xfrm>
                    <a:prstGeom prst="rect">
                      <a:avLst/>
                    </a:prstGeom>
                    <a:noFill/>
                    <a:ln>
                      <a:noFill/>
                    </a:ln>
                  </pic:spPr>
                </pic:pic>
              </a:graphicData>
            </a:graphic>
          </wp:inline>
        </w:drawing>
      </w:r>
    </w:p>
    <w:p w14:paraId="23816288" w14:textId="3654A37F" w:rsidR="008B6E87" w:rsidRPr="0014004D" w:rsidRDefault="00185D5C" w:rsidP="008F4389">
      <w:pPr>
        <w:rPr>
          <w:lang w:eastAsia="en-GB"/>
        </w:rPr>
      </w:pPr>
      <w:r w:rsidRPr="0014004D">
        <w:rPr>
          <w:lang w:eastAsia="en-GB"/>
        </w:rPr>
        <w:t xml:space="preserve">        </w:t>
      </w:r>
    </w:p>
    <w:bookmarkEnd w:id="112"/>
    <w:p w14:paraId="63B06A8C" w14:textId="77777777" w:rsidR="008B6E87" w:rsidRDefault="008B6E87" w:rsidP="008F4389">
      <w:pPr>
        <w:rPr>
          <w:lang w:eastAsia="en-GB"/>
        </w:rPr>
      </w:pPr>
    </w:p>
    <w:p w14:paraId="0B1750BF" w14:textId="77777777" w:rsidR="00BC63DA" w:rsidRDefault="00BC63DA" w:rsidP="008F4389">
      <w:pPr>
        <w:rPr>
          <w:lang w:eastAsia="en-GB"/>
        </w:rPr>
      </w:pPr>
    </w:p>
    <w:p w14:paraId="383E9880" w14:textId="77777777" w:rsidR="00BC63DA" w:rsidRDefault="00BC63DA" w:rsidP="008F4389">
      <w:pPr>
        <w:rPr>
          <w:lang w:eastAsia="en-GB"/>
        </w:rPr>
      </w:pPr>
    </w:p>
    <w:p w14:paraId="7B561D49" w14:textId="77777777" w:rsidR="00BC63DA" w:rsidRPr="006E29E8" w:rsidRDefault="00BC63DA" w:rsidP="008F4389">
      <w:pPr>
        <w:rPr>
          <w:lang w:eastAsia="en-GB"/>
        </w:rPr>
      </w:pPr>
    </w:p>
    <w:p w14:paraId="3A8B2C84" w14:textId="2E21137A" w:rsidR="00A6322E" w:rsidRPr="006E29E8" w:rsidRDefault="00185D5C" w:rsidP="008F4389">
      <w:pPr>
        <w:rPr>
          <w:lang w:eastAsia="en-GB"/>
        </w:rPr>
      </w:pPr>
      <w:r w:rsidRPr="006E29E8">
        <w:rPr>
          <w:lang w:eastAsia="en-GB"/>
        </w:rPr>
        <w:t xml:space="preserve">    </w:t>
      </w:r>
      <w:r w:rsidR="00FA7F4B" w:rsidRPr="006E29E8">
        <w:rPr>
          <w:lang w:eastAsia="en-GB"/>
        </w:rPr>
        <w:t xml:space="preserve"> </w:t>
      </w:r>
    </w:p>
    <w:p w14:paraId="5CC12519" w14:textId="77777777" w:rsidR="000D7C2D" w:rsidRDefault="000D7C2D" w:rsidP="00261CF6">
      <w:pPr>
        <w:ind w:left="567" w:hanging="567"/>
        <w:rPr>
          <w:rFonts w:cs="Arial"/>
          <w:b/>
        </w:rPr>
      </w:pPr>
    </w:p>
    <w:p w14:paraId="6EBB6906" w14:textId="77777777" w:rsidR="000D7C2D" w:rsidRDefault="000D7C2D" w:rsidP="00261CF6">
      <w:pPr>
        <w:ind w:left="567" w:hanging="567"/>
        <w:rPr>
          <w:rFonts w:cs="Arial"/>
          <w:b/>
        </w:rPr>
      </w:pPr>
    </w:p>
    <w:p w14:paraId="485A47C0" w14:textId="78B91083" w:rsidR="00E00863" w:rsidRPr="006E29E8" w:rsidRDefault="004050EA" w:rsidP="00261CF6">
      <w:pPr>
        <w:ind w:left="567" w:hanging="567"/>
        <w:rPr>
          <w:b/>
          <w:iCs/>
        </w:rPr>
      </w:pPr>
      <w:r w:rsidRPr="006E29E8">
        <w:rPr>
          <w:rFonts w:cs="Arial"/>
          <w:b/>
        </w:rPr>
        <w:lastRenderedPageBreak/>
        <w:t>19</w:t>
      </w:r>
      <w:r w:rsidR="004B1BA7" w:rsidRPr="006E29E8">
        <w:rPr>
          <w:rFonts w:cs="Arial"/>
          <w:b/>
        </w:rPr>
        <w:t>.</w:t>
      </w:r>
      <w:r w:rsidR="004B1BA7" w:rsidRPr="006E29E8">
        <w:rPr>
          <w:rFonts w:cs="Arial"/>
          <w:b/>
        </w:rPr>
        <w:tab/>
      </w:r>
      <w:r w:rsidR="00E00863" w:rsidRPr="006E29E8">
        <w:rPr>
          <w:b/>
          <w:iCs/>
        </w:rPr>
        <w:t>Bases of Valuation</w:t>
      </w:r>
    </w:p>
    <w:p w14:paraId="485A47C1" w14:textId="77777777" w:rsidR="00E00863" w:rsidRPr="006E29E8" w:rsidRDefault="00BC3737" w:rsidP="00621A29">
      <w:r w:rsidRPr="006E29E8">
        <w:tab/>
      </w:r>
    </w:p>
    <w:p w14:paraId="485A47C2" w14:textId="77777777" w:rsidR="00E00863" w:rsidRPr="006E29E8" w:rsidRDefault="00E00863" w:rsidP="00261CF6">
      <w:pPr>
        <w:pStyle w:val="Subtitle"/>
        <w:tabs>
          <w:tab w:val="left" w:pos="567"/>
        </w:tabs>
        <w:ind w:left="567"/>
        <w:rPr>
          <w:rFonts w:ascii="Arial" w:hAnsi="Arial"/>
          <w:i w:val="0"/>
          <w:iCs w:val="0"/>
          <w:spacing w:val="0"/>
          <w:sz w:val="23"/>
          <w:szCs w:val="23"/>
          <w:u w:val="none"/>
        </w:rPr>
      </w:pPr>
      <w:r w:rsidRPr="006E29E8">
        <w:rPr>
          <w:rFonts w:ascii="Arial" w:hAnsi="Arial"/>
          <w:i w:val="0"/>
          <w:iCs w:val="0"/>
          <w:spacing w:val="0"/>
          <w:sz w:val="23"/>
          <w:szCs w:val="23"/>
          <w:u w:val="none"/>
        </w:rPr>
        <w:t>From 1 April 1994 all of the Authority’s fixed assets have been valued on the basis recommended by CIPFA and in accordance with the Statement of Asset Valuation Principles and Guidance Notes issued by the Royal Institution of Chartered Surveyors (RICS).</w:t>
      </w:r>
      <w:r w:rsidR="00D95903" w:rsidRPr="006E29E8">
        <w:rPr>
          <w:rFonts w:ascii="Arial" w:hAnsi="Arial"/>
          <w:i w:val="0"/>
          <w:iCs w:val="0"/>
          <w:spacing w:val="0"/>
          <w:sz w:val="23"/>
          <w:szCs w:val="23"/>
          <w:u w:val="none"/>
        </w:rPr>
        <w:t xml:space="preserve"> </w:t>
      </w:r>
      <w:r w:rsidRPr="006E29E8">
        <w:rPr>
          <w:rFonts w:ascii="Arial" w:hAnsi="Arial"/>
          <w:i w:val="0"/>
          <w:iCs w:val="0"/>
          <w:spacing w:val="0"/>
          <w:sz w:val="23"/>
          <w:szCs w:val="23"/>
          <w:u w:val="none"/>
        </w:rPr>
        <w:t>Details of the valuation bases applied are set out in</w:t>
      </w:r>
      <w:r w:rsidR="00C33ED6" w:rsidRPr="006E29E8">
        <w:rPr>
          <w:rFonts w:ascii="Arial" w:hAnsi="Arial"/>
          <w:i w:val="0"/>
          <w:iCs w:val="0"/>
          <w:spacing w:val="0"/>
          <w:sz w:val="23"/>
          <w:szCs w:val="23"/>
          <w:u w:val="none"/>
        </w:rPr>
        <w:t xml:space="preserve"> the </w:t>
      </w:r>
      <w:r w:rsidRPr="006E29E8">
        <w:rPr>
          <w:rFonts w:ascii="Arial" w:hAnsi="Arial"/>
          <w:i w:val="0"/>
          <w:iCs w:val="0"/>
          <w:spacing w:val="0"/>
          <w:sz w:val="23"/>
          <w:szCs w:val="23"/>
          <w:u w:val="none"/>
        </w:rPr>
        <w:t>Statement of Accounting Policies.</w:t>
      </w:r>
    </w:p>
    <w:p w14:paraId="485A47C3" w14:textId="77777777" w:rsidR="00E00863" w:rsidRPr="006E29E8" w:rsidRDefault="00E00863" w:rsidP="00261CF6">
      <w:pPr>
        <w:pStyle w:val="Subtitle"/>
        <w:tabs>
          <w:tab w:val="left" w:pos="567"/>
        </w:tabs>
        <w:ind w:left="567"/>
        <w:rPr>
          <w:rFonts w:ascii="Arial" w:hAnsi="Arial"/>
          <w:i w:val="0"/>
          <w:iCs w:val="0"/>
          <w:spacing w:val="0"/>
          <w:sz w:val="23"/>
          <w:szCs w:val="23"/>
          <w:u w:val="none"/>
        </w:rPr>
      </w:pPr>
    </w:p>
    <w:p w14:paraId="485A47C4" w14:textId="0386F603" w:rsidR="005D569B" w:rsidRDefault="004472DD" w:rsidP="00261CF6">
      <w:pPr>
        <w:pStyle w:val="Subtitle"/>
        <w:tabs>
          <w:tab w:val="left" w:pos="567"/>
        </w:tabs>
        <w:ind w:left="567"/>
        <w:rPr>
          <w:rFonts w:ascii="Arial" w:hAnsi="Arial" w:cs="Arial"/>
          <w:i w:val="0"/>
          <w:iCs w:val="0"/>
          <w:spacing w:val="0"/>
          <w:sz w:val="23"/>
          <w:szCs w:val="23"/>
          <w:u w:val="none"/>
        </w:rPr>
      </w:pPr>
      <w:r w:rsidRPr="006E29E8">
        <w:rPr>
          <w:rFonts w:ascii="Arial" w:hAnsi="Arial" w:cs="Arial"/>
          <w:i w:val="0"/>
          <w:iCs w:val="0"/>
          <w:spacing w:val="0"/>
          <w:sz w:val="23"/>
          <w:szCs w:val="23"/>
          <w:u w:val="none"/>
        </w:rPr>
        <w:t>Valuations on h</w:t>
      </w:r>
      <w:r w:rsidR="00793B23" w:rsidRPr="006E29E8">
        <w:rPr>
          <w:rFonts w:ascii="Arial" w:hAnsi="Arial" w:cs="Arial"/>
          <w:i w:val="0"/>
          <w:iCs w:val="0"/>
          <w:spacing w:val="0"/>
          <w:sz w:val="23"/>
          <w:szCs w:val="23"/>
          <w:u w:val="none"/>
        </w:rPr>
        <w:t xml:space="preserve">igh value assets are </w:t>
      </w:r>
      <w:r w:rsidRPr="006E29E8">
        <w:rPr>
          <w:rFonts w:ascii="Arial" w:hAnsi="Arial" w:cs="Arial"/>
          <w:i w:val="0"/>
          <w:iCs w:val="0"/>
          <w:spacing w:val="0"/>
          <w:sz w:val="23"/>
          <w:szCs w:val="23"/>
          <w:u w:val="none"/>
        </w:rPr>
        <w:t>undertaken on an annual basis. V</w:t>
      </w:r>
      <w:r w:rsidR="00453270" w:rsidRPr="006E29E8">
        <w:rPr>
          <w:rFonts w:ascii="Arial" w:hAnsi="Arial" w:cs="Arial"/>
          <w:i w:val="0"/>
          <w:iCs w:val="0"/>
          <w:spacing w:val="0"/>
          <w:sz w:val="23"/>
          <w:szCs w:val="23"/>
          <w:u w:val="none"/>
        </w:rPr>
        <w:t xml:space="preserve">aluations </w:t>
      </w:r>
      <w:r w:rsidRPr="006E29E8">
        <w:rPr>
          <w:rFonts w:ascii="Arial" w:hAnsi="Arial" w:cs="Arial"/>
          <w:i w:val="0"/>
          <w:iCs w:val="0"/>
          <w:spacing w:val="0"/>
          <w:sz w:val="23"/>
          <w:szCs w:val="23"/>
          <w:u w:val="none"/>
        </w:rPr>
        <w:t xml:space="preserve">of other assets </w:t>
      </w:r>
      <w:r w:rsidR="00453270" w:rsidRPr="006E29E8">
        <w:rPr>
          <w:rFonts w:ascii="Arial" w:hAnsi="Arial" w:cs="Arial"/>
          <w:i w:val="0"/>
          <w:iCs w:val="0"/>
          <w:spacing w:val="0"/>
          <w:sz w:val="23"/>
          <w:szCs w:val="23"/>
          <w:u w:val="none"/>
        </w:rPr>
        <w:t>are carried out through</w:t>
      </w:r>
      <w:r w:rsidR="00E00863" w:rsidRPr="006E29E8">
        <w:rPr>
          <w:rFonts w:ascii="Arial" w:hAnsi="Arial" w:cs="Arial"/>
          <w:i w:val="0"/>
          <w:iCs w:val="0"/>
          <w:spacing w:val="0"/>
          <w:sz w:val="23"/>
          <w:szCs w:val="23"/>
          <w:u w:val="none"/>
        </w:rPr>
        <w:t xml:space="preserve"> a rolling five-year revaluation programme with all assets being re-value</w:t>
      </w:r>
      <w:r w:rsidR="00453270" w:rsidRPr="006E29E8">
        <w:rPr>
          <w:rFonts w:ascii="Arial" w:hAnsi="Arial" w:cs="Arial"/>
          <w:i w:val="0"/>
          <w:iCs w:val="0"/>
          <w:spacing w:val="0"/>
          <w:sz w:val="23"/>
          <w:szCs w:val="23"/>
          <w:u w:val="none"/>
        </w:rPr>
        <w:t xml:space="preserve">d at intervals of </w:t>
      </w:r>
      <w:r w:rsidR="00E00863" w:rsidRPr="006E29E8">
        <w:rPr>
          <w:rFonts w:ascii="Arial" w:hAnsi="Arial" w:cs="Arial"/>
          <w:i w:val="0"/>
          <w:iCs w:val="0"/>
          <w:spacing w:val="0"/>
          <w:sz w:val="23"/>
          <w:szCs w:val="23"/>
          <w:u w:val="none"/>
        </w:rPr>
        <w:t>five years</w:t>
      </w:r>
      <w:r w:rsidR="00453270" w:rsidRPr="006E29E8">
        <w:rPr>
          <w:rFonts w:ascii="Arial" w:hAnsi="Arial" w:cs="Arial"/>
          <w:i w:val="0"/>
          <w:iCs w:val="0"/>
          <w:spacing w:val="0"/>
          <w:sz w:val="23"/>
          <w:szCs w:val="23"/>
          <w:u w:val="none"/>
        </w:rPr>
        <w:t xml:space="preserve"> or less</w:t>
      </w:r>
      <w:r w:rsidR="00E00863" w:rsidRPr="006E29E8">
        <w:rPr>
          <w:rFonts w:ascii="Arial" w:hAnsi="Arial" w:cs="Arial"/>
          <w:i w:val="0"/>
          <w:iCs w:val="0"/>
          <w:spacing w:val="0"/>
          <w:sz w:val="23"/>
          <w:szCs w:val="23"/>
          <w:u w:val="none"/>
        </w:rPr>
        <w:t>.</w:t>
      </w:r>
      <w:r w:rsidR="00D95903" w:rsidRPr="006E29E8">
        <w:rPr>
          <w:rFonts w:ascii="Arial" w:hAnsi="Arial" w:cs="Arial"/>
          <w:i w:val="0"/>
          <w:iCs w:val="0"/>
          <w:spacing w:val="0"/>
          <w:sz w:val="23"/>
          <w:szCs w:val="23"/>
          <w:u w:val="none"/>
        </w:rPr>
        <w:t xml:space="preserve"> </w:t>
      </w:r>
      <w:r w:rsidR="005D569B" w:rsidRPr="006E29E8">
        <w:rPr>
          <w:rFonts w:ascii="Arial" w:hAnsi="Arial" w:cs="Arial"/>
          <w:i w:val="0"/>
          <w:iCs w:val="0"/>
          <w:spacing w:val="0"/>
          <w:sz w:val="23"/>
          <w:szCs w:val="23"/>
          <w:u w:val="none"/>
        </w:rPr>
        <w:t xml:space="preserve">The </w:t>
      </w:r>
      <w:r w:rsidR="007348DF" w:rsidRPr="006E29E8">
        <w:rPr>
          <w:rFonts w:ascii="Arial" w:hAnsi="Arial" w:cs="Arial"/>
          <w:i w:val="0"/>
          <w:iCs w:val="0"/>
          <w:spacing w:val="0"/>
          <w:sz w:val="23"/>
          <w:szCs w:val="23"/>
          <w:u w:val="none"/>
        </w:rPr>
        <w:t>20</w:t>
      </w:r>
      <w:r w:rsidR="00EF3F93" w:rsidRPr="006E29E8">
        <w:rPr>
          <w:rFonts w:ascii="Arial" w:hAnsi="Arial" w:cs="Arial"/>
          <w:i w:val="0"/>
          <w:iCs w:val="0"/>
          <w:spacing w:val="0"/>
          <w:sz w:val="23"/>
          <w:szCs w:val="23"/>
          <w:u w:val="none"/>
        </w:rPr>
        <w:t>2</w:t>
      </w:r>
      <w:r w:rsidR="006E29E8" w:rsidRPr="006E29E8">
        <w:rPr>
          <w:rFonts w:ascii="Arial" w:hAnsi="Arial" w:cs="Arial"/>
          <w:i w:val="0"/>
          <w:iCs w:val="0"/>
          <w:spacing w:val="0"/>
          <w:sz w:val="23"/>
          <w:szCs w:val="23"/>
          <w:u w:val="none"/>
        </w:rPr>
        <w:t>2</w:t>
      </w:r>
      <w:r w:rsidR="007348DF" w:rsidRPr="006E29E8">
        <w:rPr>
          <w:rFonts w:ascii="Arial" w:hAnsi="Arial" w:cs="Arial"/>
          <w:i w:val="0"/>
          <w:iCs w:val="0"/>
          <w:spacing w:val="0"/>
          <w:sz w:val="23"/>
          <w:szCs w:val="23"/>
          <w:u w:val="none"/>
        </w:rPr>
        <w:t>/2</w:t>
      </w:r>
      <w:r w:rsidR="006E29E8" w:rsidRPr="006E29E8">
        <w:rPr>
          <w:rFonts w:ascii="Arial" w:hAnsi="Arial" w:cs="Arial"/>
          <w:i w:val="0"/>
          <w:iCs w:val="0"/>
          <w:spacing w:val="0"/>
          <w:sz w:val="23"/>
          <w:szCs w:val="23"/>
          <w:u w:val="none"/>
        </w:rPr>
        <w:t>3</w:t>
      </w:r>
      <w:r w:rsidR="007348DF" w:rsidRPr="006E29E8">
        <w:rPr>
          <w:rFonts w:ascii="Arial" w:hAnsi="Arial" w:cs="Arial"/>
          <w:i w:val="0"/>
          <w:iCs w:val="0"/>
          <w:spacing w:val="0"/>
          <w:sz w:val="23"/>
          <w:szCs w:val="23"/>
          <w:u w:val="none"/>
        </w:rPr>
        <w:t xml:space="preserve"> </w:t>
      </w:r>
      <w:r w:rsidR="005D569B" w:rsidRPr="006E29E8">
        <w:rPr>
          <w:rFonts w:ascii="Arial" w:hAnsi="Arial" w:cs="Arial"/>
          <w:i w:val="0"/>
          <w:iCs w:val="0"/>
          <w:spacing w:val="0"/>
          <w:sz w:val="23"/>
          <w:szCs w:val="23"/>
          <w:u w:val="none"/>
        </w:rPr>
        <w:t xml:space="preserve">valuations </w:t>
      </w:r>
      <w:r w:rsidR="007348DF" w:rsidRPr="006E29E8">
        <w:rPr>
          <w:rFonts w:ascii="Arial" w:hAnsi="Arial" w:cs="Arial"/>
          <w:i w:val="0"/>
          <w:iCs w:val="0"/>
          <w:spacing w:val="0"/>
          <w:sz w:val="23"/>
          <w:szCs w:val="23"/>
          <w:u w:val="none"/>
        </w:rPr>
        <w:t>were</w:t>
      </w:r>
      <w:r w:rsidR="005D569B" w:rsidRPr="006E29E8">
        <w:rPr>
          <w:rFonts w:ascii="Arial" w:hAnsi="Arial" w:cs="Arial"/>
          <w:i w:val="0"/>
          <w:iCs w:val="0"/>
          <w:spacing w:val="0"/>
          <w:sz w:val="23"/>
          <w:szCs w:val="23"/>
          <w:u w:val="none"/>
        </w:rPr>
        <w:t xml:space="preserve"> carried out by </w:t>
      </w:r>
      <w:r w:rsidR="007348DF" w:rsidRPr="006E29E8">
        <w:rPr>
          <w:rFonts w:ascii="Arial" w:hAnsi="Arial" w:cs="Arial"/>
          <w:i w:val="0"/>
          <w:iCs w:val="0"/>
          <w:spacing w:val="0"/>
          <w:sz w:val="23"/>
          <w:szCs w:val="23"/>
          <w:u w:val="none"/>
        </w:rPr>
        <w:t>Mrs H Lancaster MSc MRICS of the Authority’s internal Property Service</w:t>
      </w:r>
      <w:r w:rsidR="005D569B" w:rsidRPr="006E29E8">
        <w:rPr>
          <w:rFonts w:ascii="Arial" w:hAnsi="Arial" w:cs="Arial"/>
          <w:i w:val="0"/>
          <w:iCs w:val="0"/>
          <w:spacing w:val="0"/>
          <w:sz w:val="23"/>
          <w:szCs w:val="23"/>
          <w:u w:val="none"/>
        </w:rPr>
        <w:t xml:space="preserve"> in compliance with the guidance notes provided by the Royal Institute of Chartered Surveyors. </w:t>
      </w:r>
      <w:r w:rsidR="00B7455A" w:rsidRPr="006E29E8">
        <w:rPr>
          <w:rFonts w:ascii="Arial" w:hAnsi="Arial" w:cs="Arial"/>
          <w:i w:val="0"/>
          <w:iCs w:val="0"/>
          <w:spacing w:val="0"/>
          <w:sz w:val="23"/>
          <w:szCs w:val="23"/>
          <w:u w:val="none"/>
        </w:rPr>
        <w:t>In addition to our investment properties</w:t>
      </w:r>
      <w:r w:rsidR="006E29E8" w:rsidRPr="006E29E8">
        <w:rPr>
          <w:rFonts w:ascii="Arial" w:hAnsi="Arial" w:cs="Arial"/>
          <w:i w:val="0"/>
          <w:iCs w:val="0"/>
          <w:spacing w:val="0"/>
          <w:sz w:val="23"/>
          <w:szCs w:val="23"/>
          <w:u w:val="none"/>
        </w:rPr>
        <w:t>, car parks</w:t>
      </w:r>
      <w:r w:rsidR="00B7455A" w:rsidRPr="006E29E8">
        <w:rPr>
          <w:rFonts w:ascii="Arial" w:hAnsi="Arial" w:cs="Arial"/>
          <w:i w:val="0"/>
          <w:iCs w:val="0"/>
          <w:spacing w:val="0"/>
          <w:sz w:val="23"/>
          <w:szCs w:val="23"/>
          <w:u w:val="none"/>
        </w:rPr>
        <w:t xml:space="preserve"> and major assets, which are valued annually, v</w:t>
      </w:r>
      <w:r w:rsidR="005D569B" w:rsidRPr="006E29E8">
        <w:rPr>
          <w:rFonts w:ascii="Arial" w:hAnsi="Arial" w:cs="Arial"/>
          <w:i w:val="0"/>
          <w:iCs w:val="0"/>
          <w:spacing w:val="0"/>
          <w:sz w:val="23"/>
          <w:szCs w:val="23"/>
          <w:u w:val="none"/>
        </w:rPr>
        <w:t xml:space="preserve">aluations of our different types of </w:t>
      </w:r>
      <w:r w:rsidR="00B7455A" w:rsidRPr="006E29E8">
        <w:rPr>
          <w:rFonts w:ascii="Arial" w:hAnsi="Arial" w:cs="Arial"/>
          <w:i w:val="0"/>
          <w:iCs w:val="0"/>
          <w:spacing w:val="0"/>
          <w:sz w:val="23"/>
          <w:szCs w:val="23"/>
          <w:u w:val="none"/>
        </w:rPr>
        <w:t xml:space="preserve">other </w:t>
      </w:r>
      <w:r w:rsidR="005D569B" w:rsidRPr="006E29E8">
        <w:rPr>
          <w:rFonts w:ascii="Arial" w:hAnsi="Arial" w:cs="Arial"/>
          <w:i w:val="0"/>
          <w:iCs w:val="0"/>
          <w:spacing w:val="0"/>
          <w:sz w:val="23"/>
          <w:szCs w:val="23"/>
          <w:u w:val="none"/>
        </w:rPr>
        <w:t>asset have been carried out as follows:</w:t>
      </w:r>
    </w:p>
    <w:p w14:paraId="50BA22AC" w14:textId="77777777" w:rsidR="002116F2" w:rsidRPr="002116F2" w:rsidRDefault="002116F2" w:rsidP="002116F2">
      <w:pPr>
        <w:rPr>
          <w:lang w:eastAsia="en-GB"/>
        </w:rPr>
      </w:pPr>
    </w:p>
    <w:p w14:paraId="259D541A" w14:textId="733A37A8" w:rsidR="006E29E8" w:rsidRPr="002116F2" w:rsidRDefault="006E29E8" w:rsidP="006E29E8">
      <w:pPr>
        <w:pStyle w:val="ListParagraph"/>
        <w:numPr>
          <w:ilvl w:val="0"/>
          <w:numId w:val="51"/>
        </w:numPr>
        <w:rPr>
          <w:sz w:val="23"/>
          <w:szCs w:val="23"/>
          <w:u w:val="none"/>
        </w:rPr>
      </w:pPr>
      <w:r w:rsidRPr="002116F2">
        <w:rPr>
          <w:sz w:val="23"/>
          <w:szCs w:val="23"/>
          <w:u w:val="none"/>
        </w:rPr>
        <w:t>All toilets were valued at 31 March 2020</w:t>
      </w:r>
    </w:p>
    <w:p w14:paraId="485A47C8" w14:textId="77777777" w:rsidR="005C1D0A" w:rsidRPr="002116F2" w:rsidRDefault="005C1D0A" w:rsidP="00317745">
      <w:pPr>
        <w:pStyle w:val="Subtitle"/>
        <w:numPr>
          <w:ilvl w:val="0"/>
          <w:numId w:val="15"/>
        </w:numPr>
        <w:tabs>
          <w:tab w:val="left" w:pos="709"/>
        </w:tabs>
        <w:rPr>
          <w:rFonts w:ascii="Arial" w:hAnsi="Arial" w:cs="Arial"/>
          <w:i w:val="0"/>
          <w:iCs w:val="0"/>
          <w:spacing w:val="0"/>
          <w:sz w:val="23"/>
          <w:szCs w:val="23"/>
          <w:u w:val="none"/>
        </w:rPr>
      </w:pPr>
      <w:r w:rsidRPr="002116F2">
        <w:rPr>
          <w:rFonts w:ascii="Arial" w:hAnsi="Arial" w:cs="Arial"/>
          <w:i w:val="0"/>
          <w:iCs w:val="0"/>
          <w:spacing w:val="0"/>
          <w:sz w:val="23"/>
          <w:szCs w:val="23"/>
          <w:u w:val="none"/>
        </w:rPr>
        <w:t>All information centres were revalued at 31 March 2021</w:t>
      </w:r>
    </w:p>
    <w:p w14:paraId="6ECAFF73" w14:textId="5E08F383" w:rsidR="00B7455A" w:rsidRPr="002116F2" w:rsidRDefault="00B7455A" w:rsidP="00317745">
      <w:pPr>
        <w:pStyle w:val="ListParagraph"/>
        <w:numPr>
          <w:ilvl w:val="0"/>
          <w:numId w:val="15"/>
        </w:numPr>
        <w:rPr>
          <w:sz w:val="23"/>
          <w:szCs w:val="23"/>
          <w:u w:val="none"/>
        </w:rPr>
      </w:pPr>
      <w:r w:rsidRPr="002116F2">
        <w:rPr>
          <w:sz w:val="23"/>
          <w:szCs w:val="23"/>
          <w:u w:val="none"/>
        </w:rPr>
        <w:t>All depots were revalued at 31 March 2022</w:t>
      </w:r>
    </w:p>
    <w:p w14:paraId="485A47C9" w14:textId="044BEDEF" w:rsidR="003975CB" w:rsidRPr="006E29E8" w:rsidRDefault="00A35E4A" w:rsidP="00317745">
      <w:pPr>
        <w:pStyle w:val="Subtitle"/>
        <w:numPr>
          <w:ilvl w:val="0"/>
          <w:numId w:val="15"/>
        </w:numPr>
        <w:tabs>
          <w:tab w:val="left" w:pos="709"/>
        </w:tabs>
        <w:rPr>
          <w:rFonts w:ascii="Arial" w:hAnsi="Arial" w:cs="Arial"/>
          <w:bCs/>
          <w:i w:val="0"/>
          <w:spacing w:val="0"/>
          <w:sz w:val="23"/>
          <w:szCs w:val="23"/>
          <w:u w:val="none"/>
        </w:rPr>
      </w:pPr>
      <w:r w:rsidRPr="006E29E8">
        <w:rPr>
          <w:rFonts w:ascii="Arial" w:hAnsi="Arial" w:cs="Arial"/>
          <w:i w:val="0"/>
          <w:iCs w:val="0"/>
          <w:spacing w:val="0"/>
          <w:sz w:val="23"/>
          <w:szCs w:val="23"/>
          <w:u w:val="none"/>
        </w:rPr>
        <w:t xml:space="preserve">Our valuers </w:t>
      </w:r>
      <w:r w:rsidR="003975CB" w:rsidRPr="006E29E8">
        <w:rPr>
          <w:rFonts w:ascii="Arial" w:hAnsi="Arial" w:cs="Arial"/>
          <w:i w:val="0"/>
          <w:iCs w:val="0"/>
          <w:spacing w:val="0"/>
          <w:sz w:val="23"/>
          <w:szCs w:val="23"/>
          <w:u w:val="none"/>
        </w:rPr>
        <w:t xml:space="preserve">also provided a report confirming that there were no </w:t>
      </w:r>
      <w:r w:rsidRPr="006E29E8">
        <w:rPr>
          <w:rFonts w:ascii="Arial" w:hAnsi="Arial" w:cs="Arial"/>
          <w:i w:val="0"/>
          <w:iCs w:val="0"/>
          <w:spacing w:val="0"/>
          <w:sz w:val="23"/>
          <w:szCs w:val="23"/>
          <w:u w:val="none"/>
        </w:rPr>
        <w:t xml:space="preserve">other </w:t>
      </w:r>
      <w:r w:rsidR="003975CB" w:rsidRPr="006E29E8">
        <w:rPr>
          <w:rFonts w:ascii="Arial" w:hAnsi="Arial" w:cs="Arial"/>
          <w:i w:val="0"/>
          <w:iCs w:val="0"/>
          <w:spacing w:val="0"/>
          <w:sz w:val="23"/>
          <w:szCs w:val="23"/>
          <w:u w:val="none"/>
        </w:rPr>
        <w:t>changes in market conditions during 20</w:t>
      </w:r>
      <w:r w:rsidRPr="006E29E8">
        <w:rPr>
          <w:rFonts w:ascii="Arial" w:hAnsi="Arial" w:cs="Arial"/>
          <w:i w:val="0"/>
          <w:iCs w:val="0"/>
          <w:spacing w:val="0"/>
          <w:sz w:val="23"/>
          <w:szCs w:val="23"/>
          <w:u w:val="none"/>
        </w:rPr>
        <w:t>2</w:t>
      </w:r>
      <w:r w:rsidR="006E29E8" w:rsidRPr="006E29E8">
        <w:rPr>
          <w:rFonts w:ascii="Arial" w:hAnsi="Arial" w:cs="Arial"/>
          <w:i w:val="0"/>
          <w:iCs w:val="0"/>
          <w:spacing w:val="0"/>
          <w:sz w:val="23"/>
          <w:szCs w:val="23"/>
          <w:u w:val="none"/>
        </w:rPr>
        <w:t>2</w:t>
      </w:r>
      <w:r w:rsidRPr="006E29E8">
        <w:rPr>
          <w:rFonts w:ascii="Arial" w:hAnsi="Arial" w:cs="Arial"/>
          <w:i w:val="0"/>
          <w:iCs w:val="0"/>
          <w:spacing w:val="0"/>
          <w:sz w:val="23"/>
          <w:szCs w:val="23"/>
          <w:u w:val="none"/>
        </w:rPr>
        <w:t>/2</w:t>
      </w:r>
      <w:r w:rsidR="006E29E8" w:rsidRPr="006E29E8">
        <w:rPr>
          <w:rFonts w:ascii="Arial" w:hAnsi="Arial" w:cs="Arial"/>
          <w:i w:val="0"/>
          <w:iCs w:val="0"/>
          <w:spacing w:val="0"/>
          <w:sz w:val="23"/>
          <w:szCs w:val="23"/>
          <w:u w:val="none"/>
        </w:rPr>
        <w:t>3</w:t>
      </w:r>
      <w:r w:rsidR="003975CB" w:rsidRPr="006E29E8">
        <w:rPr>
          <w:rFonts w:ascii="Arial" w:hAnsi="Arial" w:cs="Arial"/>
          <w:i w:val="0"/>
          <w:iCs w:val="0"/>
          <w:spacing w:val="0"/>
          <w:sz w:val="23"/>
          <w:szCs w:val="23"/>
          <w:u w:val="none"/>
        </w:rPr>
        <w:t xml:space="preserve"> that would give rise to a material change in the valuations reported at 31 March 20</w:t>
      </w:r>
      <w:r w:rsidRPr="006E29E8">
        <w:rPr>
          <w:rFonts w:ascii="Arial" w:hAnsi="Arial" w:cs="Arial"/>
          <w:i w:val="0"/>
          <w:iCs w:val="0"/>
          <w:spacing w:val="0"/>
          <w:sz w:val="23"/>
          <w:szCs w:val="23"/>
          <w:u w:val="none"/>
        </w:rPr>
        <w:t>2</w:t>
      </w:r>
      <w:r w:rsidR="006E29E8" w:rsidRPr="006E29E8">
        <w:rPr>
          <w:rFonts w:ascii="Arial" w:hAnsi="Arial" w:cs="Arial"/>
          <w:i w:val="0"/>
          <w:iCs w:val="0"/>
          <w:spacing w:val="0"/>
          <w:sz w:val="23"/>
          <w:szCs w:val="23"/>
          <w:u w:val="none"/>
        </w:rPr>
        <w:t>3</w:t>
      </w:r>
      <w:r w:rsidRPr="006E29E8">
        <w:rPr>
          <w:rFonts w:ascii="Arial" w:hAnsi="Arial" w:cs="Arial"/>
          <w:i w:val="0"/>
          <w:iCs w:val="0"/>
          <w:spacing w:val="0"/>
          <w:sz w:val="23"/>
          <w:szCs w:val="23"/>
          <w:u w:val="none"/>
        </w:rPr>
        <w:t xml:space="preserve"> except where specified</w:t>
      </w:r>
      <w:r w:rsidR="003975CB" w:rsidRPr="006E29E8">
        <w:rPr>
          <w:rFonts w:ascii="Arial" w:hAnsi="Arial" w:cs="Arial"/>
          <w:i w:val="0"/>
          <w:iCs w:val="0"/>
          <w:spacing w:val="0"/>
          <w:sz w:val="23"/>
          <w:szCs w:val="23"/>
          <w:u w:val="none"/>
        </w:rPr>
        <w:t>.</w:t>
      </w:r>
    </w:p>
    <w:p w14:paraId="485A47CA" w14:textId="77777777" w:rsidR="003975CB" w:rsidRPr="006E29E8" w:rsidRDefault="003975CB" w:rsidP="003975CB">
      <w:pPr>
        <w:rPr>
          <w:lang w:eastAsia="en-GB"/>
        </w:rPr>
      </w:pPr>
    </w:p>
    <w:p w14:paraId="485A47CB" w14:textId="2CB72782" w:rsidR="001F153B" w:rsidRPr="006E29E8" w:rsidRDefault="00A35E4A" w:rsidP="00261CF6">
      <w:pPr>
        <w:pStyle w:val="Subtitle"/>
        <w:numPr>
          <w:ilvl w:val="0"/>
          <w:numId w:val="0"/>
        </w:numPr>
        <w:tabs>
          <w:tab w:val="left" w:pos="567"/>
        </w:tabs>
        <w:ind w:left="567"/>
        <w:rPr>
          <w:rFonts w:ascii="Arial" w:hAnsi="Arial" w:cs="Arial"/>
          <w:bCs/>
          <w:i w:val="0"/>
          <w:spacing w:val="0"/>
          <w:sz w:val="23"/>
          <w:szCs w:val="23"/>
          <w:u w:val="none"/>
        </w:rPr>
      </w:pPr>
      <w:r w:rsidRPr="006E29E8">
        <w:rPr>
          <w:rFonts w:ascii="Arial" w:hAnsi="Arial" w:cs="Arial"/>
          <w:i w:val="0"/>
          <w:iCs w:val="0"/>
          <w:spacing w:val="0"/>
          <w:sz w:val="23"/>
          <w:szCs w:val="23"/>
          <w:u w:val="none"/>
        </w:rPr>
        <w:t xml:space="preserve">The values of all </w:t>
      </w:r>
      <w:r w:rsidR="00FF5712" w:rsidRPr="006E29E8">
        <w:rPr>
          <w:rFonts w:ascii="Arial" w:hAnsi="Arial" w:cs="Arial"/>
          <w:bCs/>
          <w:i w:val="0"/>
          <w:spacing w:val="0"/>
          <w:sz w:val="23"/>
          <w:szCs w:val="23"/>
          <w:u w:val="none"/>
        </w:rPr>
        <w:t xml:space="preserve">operational assets </w:t>
      </w:r>
      <w:r w:rsidR="005D569B" w:rsidRPr="006E29E8">
        <w:rPr>
          <w:rFonts w:ascii="Arial" w:hAnsi="Arial" w:cs="Arial"/>
          <w:bCs/>
          <w:i w:val="0"/>
          <w:spacing w:val="0"/>
          <w:sz w:val="23"/>
          <w:szCs w:val="23"/>
          <w:u w:val="none"/>
        </w:rPr>
        <w:t xml:space="preserve">other than land and buildings </w:t>
      </w:r>
      <w:r w:rsidR="00FF5712" w:rsidRPr="006E29E8">
        <w:rPr>
          <w:rFonts w:ascii="Arial" w:hAnsi="Arial" w:cs="Arial"/>
          <w:bCs/>
          <w:i w:val="0"/>
          <w:spacing w:val="0"/>
          <w:sz w:val="23"/>
          <w:szCs w:val="23"/>
          <w:u w:val="none"/>
        </w:rPr>
        <w:t xml:space="preserve">were </w:t>
      </w:r>
      <w:r w:rsidRPr="006E29E8">
        <w:rPr>
          <w:rFonts w:ascii="Arial" w:hAnsi="Arial" w:cs="Arial"/>
          <w:bCs/>
          <w:i w:val="0"/>
          <w:spacing w:val="0"/>
          <w:sz w:val="23"/>
          <w:szCs w:val="23"/>
          <w:u w:val="none"/>
        </w:rPr>
        <w:t>reconsidered</w:t>
      </w:r>
      <w:r w:rsidR="00453270" w:rsidRPr="006E29E8">
        <w:rPr>
          <w:rFonts w:ascii="Arial" w:hAnsi="Arial" w:cs="Arial"/>
          <w:bCs/>
          <w:i w:val="0"/>
          <w:spacing w:val="0"/>
          <w:sz w:val="23"/>
          <w:szCs w:val="23"/>
          <w:u w:val="none"/>
        </w:rPr>
        <w:t xml:space="preserve"> by </w:t>
      </w:r>
      <w:r w:rsidR="001639DF" w:rsidRPr="006E29E8">
        <w:rPr>
          <w:rFonts w:ascii="Arial" w:hAnsi="Arial" w:cs="Arial"/>
          <w:bCs/>
          <w:i w:val="0"/>
          <w:spacing w:val="0"/>
          <w:sz w:val="23"/>
          <w:szCs w:val="23"/>
          <w:u w:val="none"/>
        </w:rPr>
        <w:t xml:space="preserve">managers within </w:t>
      </w:r>
      <w:r w:rsidR="00453270" w:rsidRPr="006E29E8">
        <w:rPr>
          <w:rFonts w:ascii="Arial" w:hAnsi="Arial" w:cs="Arial"/>
          <w:bCs/>
          <w:i w:val="0"/>
          <w:spacing w:val="0"/>
          <w:sz w:val="23"/>
          <w:szCs w:val="23"/>
          <w:u w:val="none"/>
        </w:rPr>
        <w:t>the Authority</w:t>
      </w:r>
      <w:r w:rsidR="00E00863" w:rsidRPr="006E29E8">
        <w:rPr>
          <w:rFonts w:ascii="Arial" w:hAnsi="Arial" w:cs="Arial"/>
          <w:bCs/>
          <w:i w:val="0"/>
          <w:spacing w:val="0"/>
          <w:sz w:val="23"/>
          <w:szCs w:val="23"/>
          <w:u w:val="none"/>
        </w:rPr>
        <w:t xml:space="preserve"> at 31</w:t>
      </w:r>
      <w:r w:rsidR="00C33ED6" w:rsidRPr="006E29E8">
        <w:rPr>
          <w:rFonts w:ascii="Arial" w:hAnsi="Arial" w:cs="Arial"/>
          <w:bCs/>
          <w:i w:val="0"/>
          <w:spacing w:val="0"/>
          <w:sz w:val="23"/>
          <w:szCs w:val="23"/>
          <w:u w:val="none"/>
        </w:rPr>
        <w:t xml:space="preserve"> </w:t>
      </w:r>
      <w:r w:rsidR="00E00863" w:rsidRPr="006E29E8">
        <w:rPr>
          <w:rFonts w:ascii="Arial" w:hAnsi="Arial" w:cs="Arial"/>
          <w:bCs/>
          <w:i w:val="0"/>
          <w:spacing w:val="0"/>
          <w:sz w:val="23"/>
          <w:szCs w:val="23"/>
          <w:u w:val="none"/>
        </w:rPr>
        <w:t>March 20</w:t>
      </w:r>
      <w:r w:rsidR="00994056" w:rsidRPr="006E29E8">
        <w:rPr>
          <w:rFonts w:ascii="Arial" w:hAnsi="Arial" w:cs="Arial"/>
          <w:bCs/>
          <w:i w:val="0"/>
          <w:spacing w:val="0"/>
          <w:sz w:val="23"/>
          <w:szCs w:val="23"/>
          <w:u w:val="none"/>
        </w:rPr>
        <w:t>2</w:t>
      </w:r>
      <w:r w:rsidR="006E29E8" w:rsidRPr="006E29E8">
        <w:rPr>
          <w:rFonts w:ascii="Arial" w:hAnsi="Arial" w:cs="Arial"/>
          <w:bCs/>
          <w:i w:val="0"/>
          <w:spacing w:val="0"/>
          <w:sz w:val="23"/>
          <w:szCs w:val="23"/>
          <w:u w:val="none"/>
        </w:rPr>
        <w:t>3</w:t>
      </w:r>
      <w:r w:rsidR="00E00863" w:rsidRPr="006E29E8">
        <w:rPr>
          <w:rFonts w:ascii="Arial" w:hAnsi="Arial" w:cs="Arial"/>
          <w:bCs/>
          <w:i w:val="0"/>
          <w:spacing w:val="0"/>
          <w:sz w:val="23"/>
          <w:szCs w:val="23"/>
          <w:u w:val="none"/>
        </w:rPr>
        <w:t xml:space="preserve">. The basis of asset valuation is set out </w:t>
      </w:r>
      <w:r w:rsidR="00276630" w:rsidRPr="006E29E8">
        <w:rPr>
          <w:rFonts w:ascii="Arial" w:hAnsi="Arial" w:cs="Arial"/>
          <w:bCs/>
          <w:i w:val="0"/>
          <w:spacing w:val="0"/>
          <w:sz w:val="23"/>
          <w:szCs w:val="23"/>
          <w:u w:val="none"/>
        </w:rPr>
        <w:t>below.</w:t>
      </w:r>
    </w:p>
    <w:p w14:paraId="485A47CC" w14:textId="77777777" w:rsidR="00653185" w:rsidRPr="006E29E8" w:rsidRDefault="00653185" w:rsidP="003E6175">
      <w:pPr>
        <w:rPr>
          <w:lang w:eastAsia="en-GB"/>
        </w:rPr>
      </w:pPr>
    </w:p>
    <w:p w14:paraId="485A47CD" w14:textId="77777777" w:rsidR="00276630" w:rsidRPr="006E29E8" w:rsidRDefault="00276630" w:rsidP="006D2EED">
      <w:pPr>
        <w:pStyle w:val="Subtitle"/>
        <w:tabs>
          <w:tab w:val="left" w:pos="709"/>
        </w:tabs>
        <w:ind w:left="709"/>
        <w:rPr>
          <w:rFonts w:ascii="Arial" w:hAnsi="Arial" w:cs="Arial"/>
          <w:bCs/>
          <w:i w:val="0"/>
          <w:spacing w:val="0"/>
          <w:sz w:val="23"/>
          <w:szCs w:val="23"/>
          <w:u w:val="none"/>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556"/>
      </w:tblGrid>
      <w:tr w:rsidR="00276630" w:rsidRPr="006E29E8" w14:paraId="485A47D0" w14:textId="77777777" w:rsidTr="002116F2">
        <w:tc>
          <w:tcPr>
            <w:tcW w:w="5342" w:type="dxa"/>
            <w:shd w:val="clear" w:color="auto" w:fill="000000"/>
          </w:tcPr>
          <w:p w14:paraId="485A47CE" w14:textId="77777777" w:rsidR="00276630" w:rsidRPr="006E29E8" w:rsidRDefault="00276630" w:rsidP="006D2EED">
            <w:pPr>
              <w:pStyle w:val="Subtitle"/>
              <w:tabs>
                <w:tab w:val="left" w:pos="709"/>
              </w:tabs>
              <w:rPr>
                <w:rFonts w:ascii="Arial" w:hAnsi="Arial" w:cs="Arial"/>
                <w:b/>
                <w:bCs/>
                <w:i w:val="0"/>
                <w:sz w:val="23"/>
                <w:szCs w:val="23"/>
                <w:u w:val="none"/>
              </w:rPr>
            </w:pPr>
            <w:r w:rsidRPr="006E29E8">
              <w:rPr>
                <w:rFonts w:ascii="Arial" w:hAnsi="Arial" w:cs="Arial"/>
                <w:b/>
                <w:bCs/>
                <w:i w:val="0"/>
                <w:sz w:val="23"/>
                <w:szCs w:val="23"/>
                <w:u w:val="none"/>
              </w:rPr>
              <w:t>Asset Category</w:t>
            </w:r>
          </w:p>
        </w:tc>
        <w:tc>
          <w:tcPr>
            <w:tcW w:w="3556" w:type="dxa"/>
            <w:shd w:val="clear" w:color="auto" w:fill="000000"/>
          </w:tcPr>
          <w:p w14:paraId="485A47CF" w14:textId="77777777" w:rsidR="00276630" w:rsidRPr="006E29E8" w:rsidRDefault="00276630" w:rsidP="006D2EED">
            <w:pPr>
              <w:pStyle w:val="Subtitle"/>
              <w:tabs>
                <w:tab w:val="left" w:pos="709"/>
              </w:tabs>
              <w:rPr>
                <w:rFonts w:ascii="Arial" w:hAnsi="Arial" w:cs="Arial"/>
                <w:b/>
                <w:bCs/>
                <w:i w:val="0"/>
                <w:sz w:val="23"/>
                <w:szCs w:val="23"/>
                <w:u w:val="none"/>
              </w:rPr>
            </w:pPr>
            <w:r w:rsidRPr="006E29E8">
              <w:rPr>
                <w:rFonts w:ascii="Arial" w:hAnsi="Arial" w:cs="Arial"/>
                <w:b/>
                <w:bCs/>
                <w:i w:val="0"/>
                <w:sz w:val="23"/>
                <w:szCs w:val="23"/>
                <w:u w:val="none"/>
              </w:rPr>
              <w:t>Basis of Valuation</w:t>
            </w:r>
          </w:p>
        </w:tc>
      </w:tr>
      <w:tr w:rsidR="00D02977" w:rsidRPr="006E29E8" w14:paraId="485A47D3" w14:textId="77777777" w:rsidTr="002116F2">
        <w:tc>
          <w:tcPr>
            <w:tcW w:w="5342" w:type="dxa"/>
            <w:shd w:val="clear" w:color="auto" w:fill="auto"/>
          </w:tcPr>
          <w:p w14:paraId="485A47D1" w14:textId="77777777" w:rsidR="00D02977" w:rsidRPr="006E29E8" w:rsidRDefault="00D02977" w:rsidP="00D02977">
            <w:pPr>
              <w:pStyle w:val="BlockText"/>
              <w:tabs>
                <w:tab w:val="clear" w:pos="1843"/>
                <w:tab w:val="left" w:pos="709"/>
              </w:tabs>
              <w:ind w:left="0"/>
              <w:rPr>
                <w:sz w:val="23"/>
                <w:szCs w:val="23"/>
              </w:rPr>
            </w:pPr>
            <w:r w:rsidRPr="006E29E8">
              <w:rPr>
                <w:sz w:val="23"/>
                <w:szCs w:val="23"/>
              </w:rPr>
              <w:t>Operational Land and Buildings -  non specialised</w:t>
            </w:r>
          </w:p>
        </w:tc>
        <w:tc>
          <w:tcPr>
            <w:tcW w:w="3556" w:type="dxa"/>
            <w:shd w:val="clear" w:color="auto" w:fill="auto"/>
          </w:tcPr>
          <w:p w14:paraId="485A47D2" w14:textId="77777777" w:rsidR="00D02977" w:rsidRPr="006E29E8" w:rsidRDefault="00D02977" w:rsidP="00D02977">
            <w:pPr>
              <w:pStyle w:val="BlockText"/>
              <w:tabs>
                <w:tab w:val="clear" w:pos="1843"/>
                <w:tab w:val="left" w:pos="709"/>
              </w:tabs>
              <w:ind w:left="0"/>
              <w:rPr>
                <w:sz w:val="23"/>
                <w:szCs w:val="23"/>
              </w:rPr>
            </w:pPr>
            <w:r w:rsidRPr="006E29E8">
              <w:rPr>
                <w:sz w:val="23"/>
                <w:szCs w:val="23"/>
              </w:rPr>
              <w:t>Current Value - Existing Use Value</w:t>
            </w:r>
          </w:p>
        </w:tc>
      </w:tr>
      <w:tr w:rsidR="00D02977" w:rsidRPr="006E29E8" w14:paraId="485A47D6" w14:textId="77777777" w:rsidTr="002116F2">
        <w:tc>
          <w:tcPr>
            <w:tcW w:w="5342" w:type="dxa"/>
            <w:shd w:val="clear" w:color="auto" w:fill="auto"/>
          </w:tcPr>
          <w:p w14:paraId="485A47D4" w14:textId="77777777" w:rsidR="00D02977" w:rsidRPr="006E29E8" w:rsidRDefault="00D02977" w:rsidP="00D02977">
            <w:pPr>
              <w:pStyle w:val="BlockText"/>
              <w:tabs>
                <w:tab w:val="clear" w:pos="1843"/>
                <w:tab w:val="left" w:pos="709"/>
              </w:tabs>
              <w:ind w:left="0"/>
              <w:rPr>
                <w:sz w:val="23"/>
                <w:szCs w:val="23"/>
              </w:rPr>
            </w:pPr>
            <w:r w:rsidRPr="006E29E8">
              <w:rPr>
                <w:sz w:val="23"/>
                <w:szCs w:val="23"/>
              </w:rPr>
              <w:t>Operational Land and Buildings - specialised</w:t>
            </w:r>
          </w:p>
        </w:tc>
        <w:tc>
          <w:tcPr>
            <w:tcW w:w="3556" w:type="dxa"/>
            <w:shd w:val="clear" w:color="auto" w:fill="auto"/>
          </w:tcPr>
          <w:p w14:paraId="485A47D5" w14:textId="77777777" w:rsidR="00D02977" w:rsidRPr="006E29E8" w:rsidRDefault="00D02977" w:rsidP="00D02977">
            <w:pPr>
              <w:pStyle w:val="BlockText"/>
              <w:tabs>
                <w:tab w:val="clear" w:pos="1843"/>
                <w:tab w:val="left" w:pos="709"/>
              </w:tabs>
              <w:ind w:left="0"/>
              <w:rPr>
                <w:sz w:val="23"/>
                <w:szCs w:val="23"/>
              </w:rPr>
            </w:pPr>
            <w:r w:rsidRPr="006E29E8">
              <w:rPr>
                <w:sz w:val="23"/>
                <w:szCs w:val="23"/>
              </w:rPr>
              <w:t>Depreciated Replacement Cost</w:t>
            </w:r>
          </w:p>
        </w:tc>
      </w:tr>
      <w:tr w:rsidR="00D02977" w:rsidRPr="006E29E8" w14:paraId="485A47D9" w14:textId="77777777" w:rsidTr="002116F2">
        <w:tc>
          <w:tcPr>
            <w:tcW w:w="5342" w:type="dxa"/>
            <w:shd w:val="clear" w:color="auto" w:fill="auto"/>
          </w:tcPr>
          <w:p w14:paraId="485A47D7" w14:textId="77777777" w:rsidR="00D02977" w:rsidRPr="006E29E8" w:rsidRDefault="00D02977" w:rsidP="00D02977">
            <w:pPr>
              <w:pStyle w:val="BlockText"/>
              <w:tabs>
                <w:tab w:val="clear" w:pos="1843"/>
                <w:tab w:val="left" w:pos="709"/>
              </w:tabs>
              <w:ind w:left="0"/>
              <w:rPr>
                <w:sz w:val="23"/>
                <w:szCs w:val="23"/>
              </w:rPr>
            </w:pPr>
            <w:r w:rsidRPr="006E29E8">
              <w:rPr>
                <w:sz w:val="23"/>
                <w:szCs w:val="23"/>
              </w:rPr>
              <w:t>Infrastructure, and Community Assets</w:t>
            </w:r>
          </w:p>
        </w:tc>
        <w:tc>
          <w:tcPr>
            <w:tcW w:w="3556" w:type="dxa"/>
            <w:shd w:val="clear" w:color="auto" w:fill="auto"/>
          </w:tcPr>
          <w:p w14:paraId="485A47D8" w14:textId="77777777" w:rsidR="00D02977" w:rsidRPr="006E29E8" w:rsidRDefault="00D02977" w:rsidP="00D02977">
            <w:pPr>
              <w:pStyle w:val="BlockText"/>
              <w:tabs>
                <w:tab w:val="clear" w:pos="1843"/>
                <w:tab w:val="left" w:pos="709"/>
              </w:tabs>
              <w:ind w:left="0"/>
              <w:rPr>
                <w:sz w:val="23"/>
                <w:szCs w:val="23"/>
              </w:rPr>
            </w:pPr>
            <w:r w:rsidRPr="006E29E8">
              <w:rPr>
                <w:sz w:val="23"/>
                <w:szCs w:val="23"/>
              </w:rPr>
              <w:t>Depreciated Historic Cost</w:t>
            </w:r>
          </w:p>
        </w:tc>
      </w:tr>
      <w:tr w:rsidR="00D02977" w:rsidRPr="006E29E8" w14:paraId="485A47DC" w14:textId="77777777" w:rsidTr="002116F2">
        <w:tc>
          <w:tcPr>
            <w:tcW w:w="5342" w:type="dxa"/>
            <w:shd w:val="clear" w:color="auto" w:fill="auto"/>
          </w:tcPr>
          <w:p w14:paraId="485A47DA" w14:textId="77777777" w:rsidR="00D02977" w:rsidRPr="006E29E8" w:rsidRDefault="00D02977" w:rsidP="00D02977">
            <w:pPr>
              <w:pStyle w:val="BlockText"/>
              <w:tabs>
                <w:tab w:val="clear" w:pos="1843"/>
                <w:tab w:val="left" w:pos="709"/>
              </w:tabs>
              <w:ind w:left="0"/>
              <w:rPr>
                <w:sz w:val="23"/>
                <w:szCs w:val="23"/>
              </w:rPr>
            </w:pPr>
            <w:r w:rsidRPr="006E29E8">
              <w:rPr>
                <w:sz w:val="23"/>
                <w:szCs w:val="23"/>
              </w:rPr>
              <w:t>Vehicles, Plant and Equipment</w:t>
            </w:r>
          </w:p>
        </w:tc>
        <w:tc>
          <w:tcPr>
            <w:tcW w:w="3556" w:type="dxa"/>
            <w:shd w:val="clear" w:color="auto" w:fill="auto"/>
          </w:tcPr>
          <w:p w14:paraId="485A47DB" w14:textId="77777777" w:rsidR="00D02977" w:rsidRPr="006E29E8" w:rsidRDefault="00D02977" w:rsidP="00D02977">
            <w:pPr>
              <w:pStyle w:val="BlockText"/>
              <w:tabs>
                <w:tab w:val="clear" w:pos="1843"/>
                <w:tab w:val="left" w:pos="709"/>
              </w:tabs>
              <w:ind w:left="0"/>
              <w:rPr>
                <w:sz w:val="23"/>
                <w:szCs w:val="23"/>
              </w:rPr>
            </w:pPr>
            <w:r w:rsidRPr="006E29E8">
              <w:rPr>
                <w:sz w:val="23"/>
                <w:szCs w:val="23"/>
              </w:rPr>
              <w:t>Depreciated Historic Cost (as a proxy for fair value)</w:t>
            </w:r>
          </w:p>
        </w:tc>
      </w:tr>
      <w:tr w:rsidR="00D02977" w:rsidRPr="004D5CA8" w14:paraId="485A47DF" w14:textId="77777777" w:rsidTr="002116F2">
        <w:tc>
          <w:tcPr>
            <w:tcW w:w="5342" w:type="dxa"/>
            <w:shd w:val="clear" w:color="auto" w:fill="auto"/>
          </w:tcPr>
          <w:p w14:paraId="485A47DD" w14:textId="77777777" w:rsidR="00D02977" w:rsidRPr="006E29E8" w:rsidRDefault="00D02977" w:rsidP="00D02977">
            <w:pPr>
              <w:pStyle w:val="BlockText"/>
              <w:tabs>
                <w:tab w:val="clear" w:pos="1843"/>
                <w:tab w:val="left" w:pos="709"/>
              </w:tabs>
              <w:ind w:left="0"/>
              <w:rPr>
                <w:sz w:val="23"/>
                <w:szCs w:val="23"/>
              </w:rPr>
            </w:pPr>
            <w:r w:rsidRPr="006E29E8">
              <w:rPr>
                <w:sz w:val="23"/>
                <w:szCs w:val="23"/>
              </w:rPr>
              <w:t>Surplus Assets</w:t>
            </w:r>
          </w:p>
        </w:tc>
        <w:tc>
          <w:tcPr>
            <w:tcW w:w="3556" w:type="dxa"/>
            <w:shd w:val="clear" w:color="auto" w:fill="auto"/>
          </w:tcPr>
          <w:p w14:paraId="485A47DE" w14:textId="77777777" w:rsidR="00D02977" w:rsidRPr="006E29E8" w:rsidRDefault="00D02977" w:rsidP="00D02977">
            <w:pPr>
              <w:pStyle w:val="BlockText"/>
              <w:tabs>
                <w:tab w:val="clear" w:pos="1843"/>
                <w:tab w:val="left" w:pos="709"/>
              </w:tabs>
              <w:ind w:left="0"/>
              <w:rPr>
                <w:sz w:val="23"/>
                <w:szCs w:val="23"/>
              </w:rPr>
            </w:pPr>
            <w:r w:rsidRPr="006E29E8">
              <w:rPr>
                <w:sz w:val="23"/>
                <w:szCs w:val="23"/>
              </w:rPr>
              <w:t>Current Value – Fair value estimated at highest and best use from a market participant’s perspective</w:t>
            </w:r>
          </w:p>
        </w:tc>
      </w:tr>
    </w:tbl>
    <w:p w14:paraId="485A47E0" w14:textId="77777777" w:rsidR="00E00863" w:rsidRPr="00971D23" w:rsidRDefault="00E00863" w:rsidP="006D2EED">
      <w:pPr>
        <w:pStyle w:val="Subtitle"/>
        <w:tabs>
          <w:tab w:val="left" w:pos="709"/>
        </w:tabs>
        <w:ind w:left="709"/>
        <w:rPr>
          <w:rFonts w:ascii="Arial Narrow" w:hAnsi="Arial Narrow" w:cs="Arial"/>
          <w:bCs/>
          <w:i w:val="0"/>
          <w:sz w:val="23"/>
          <w:szCs w:val="23"/>
          <w:u w:val="none"/>
        </w:rPr>
      </w:pPr>
    </w:p>
    <w:p w14:paraId="485A47E1" w14:textId="7FC7D074" w:rsidR="00AC146E" w:rsidRPr="00971D23" w:rsidRDefault="007348DF" w:rsidP="003024B6">
      <w:pPr>
        <w:ind w:left="567"/>
        <w:rPr>
          <w:lang w:eastAsia="en-GB"/>
        </w:rPr>
      </w:pPr>
      <w:r w:rsidRPr="00971D23">
        <w:rPr>
          <w:lang w:eastAsia="en-GB"/>
        </w:rPr>
        <w:t xml:space="preserve">The fair value for </w:t>
      </w:r>
      <w:r w:rsidR="00AC146E" w:rsidRPr="00971D23">
        <w:rPr>
          <w:lang w:eastAsia="en-GB"/>
        </w:rPr>
        <w:t>the Authority’s surplus assets</w:t>
      </w:r>
      <w:r w:rsidR="0004312A" w:rsidRPr="00971D23">
        <w:rPr>
          <w:lang w:eastAsia="en-GB"/>
        </w:rPr>
        <w:t xml:space="preserve">, which </w:t>
      </w:r>
      <w:r w:rsidR="00C07EBC" w:rsidRPr="00971D23">
        <w:rPr>
          <w:lang w:eastAsia="en-GB"/>
        </w:rPr>
        <w:t>a</w:t>
      </w:r>
      <w:r w:rsidR="0004312A" w:rsidRPr="00971D23">
        <w:rPr>
          <w:lang w:eastAsia="en-GB"/>
        </w:rPr>
        <w:t xml:space="preserve">re </w:t>
      </w:r>
      <w:r w:rsidR="00F94AB7" w:rsidRPr="00971D23">
        <w:rPr>
          <w:lang w:eastAsia="en-GB"/>
        </w:rPr>
        <w:t>land assets,</w:t>
      </w:r>
      <w:r w:rsidR="00AC146E" w:rsidRPr="00971D23">
        <w:rPr>
          <w:lang w:eastAsia="en-GB"/>
        </w:rPr>
        <w:t xml:space="preserve"> has been determined using level 2 of the above hierarchy</w:t>
      </w:r>
      <w:r w:rsidR="00C07EBC" w:rsidRPr="00971D23">
        <w:rPr>
          <w:lang w:eastAsia="en-GB"/>
        </w:rPr>
        <w:t>.</w:t>
      </w:r>
      <w:r w:rsidR="0004312A" w:rsidRPr="00971D23">
        <w:rPr>
          <w:lang w:eastAsia="en-GB"/>
        </w:rPr>
        <w:t xml:space="preserve"> </w:t>
      </w:r>
      <w:r w:rsidR="00C07EBC" w:rsidRPr="00971D23">
        <w:rPr>
          <w:lang w:eastAsia="en-GB"/>
        </w:rPr>
        <w:t>These</w:t>
      </w:r>
      <w:r w:rsidR="0004312A" w:rsidRPr="00971D23">
        <w:rPr>
          <w:lang w:eastAsia="en-GB"/>
        </w:rPr>
        <w:t xml:space="preserve"> asset</w:t>
      </w:r>
      <w:r w:rsidR="0014569D">
        <w:rPr>
          <w:lang w:eastAsia="en-GB"/>
        </w:rPr>
        <w:t>s</w:t>
      </w:r>
      <w:r w:rsidR="0004312A" w:rsidRPr="00971D23">
        <w:rPr>
          <w:lang w:eastAsia="en-GB"/>
        </w:rPr>
        <w:t xml:space="preserve"> have been categorised as Assets Held for Sale as they</w:t>
      </w:r>
      <w:r w:rsidR="00D67FEC" w:rsidRPr="00971D23">
        <w:rPr>
          <w:lang w:eastAsia="en-GB"/>
        </w:rPr>
        <w:t xml:space="preserve"> me</w:t>
      </w:r>
      <w:r w:rsidR="0004312A" w:rsidRPr="00971D23">
        <w:rPr>
          <w:lang w:eastAsia="en-GB"/>
        </w:rPr>
        <w:t>et</w:t>
      </w:r>
      <w:r w:rsidR="00B95427" w:rsidRPr="00971D23">
        <w:rPr>
          <w:lang w:eastAsia="en-GB"/>
        </w:rPr>
        <w:t xml:space="preserve"> the requirements set out in the code of practice.</w:t>
      </w:r>
      <w:r w:rsidR="002617BF" w:rsidRPr="00971D23">
        <w:rPr>
          <w:lang w:eastAsia="en-GB"/>
        </w:rPr>
        <w:t xml:space="preserve"> </w:t>
      </w:r>
      <w:r w:rsidR="00AC146E" w:rsidRPr="00971D23">
        <w:rPr>
          <w:lang w:eastAsia="en-GB"/>
        </w:rPr>
        <w:t>The market approach valuation technique using current market conditions and recent sales prices and other relevant information for similar assets in the local area has been used to determine fair value. Any adjustments applied in the assessment of fair value are those consistent with established practices.</w:t>
      </w:r>
    </w:p>
    <w:p w14:paraId="485A47E2" w14:textId="77777777" w:rsidR="0073245D" w:rsidRPr="00971D23" w:rsidRDefault="0073245D" w:rsidP="0073245D">
      <w:pPr>
        <w:ind w:left="720"/>
        <w:rPr>
          <w:lang w:eastAsia="en-GB"/>
        </w:rPr>
      </w:pPr>
    </w:p>
    <w:p w14:paraId="485A47E3" w14:textId="77777777" w:rsidR="0073245D" w:rsidRPr="00971D23" w:rsidRDefault="0073245D" w:rsidP="003024B6">
      <w:pPr>
        <w:ind w:left="567"/>
        <w:rPr>
          <w:lang w:eastAsia="en-GB"/>
        </w:rPr>
      </w:pPr>
      <w:r w:rsidRPr="00971D23">
        <w:rPr>
          <w:lang w:eastAsia="en-GB"/>
        </w:rPr>
        <w:t>In estimating the fair value o</w:t>
      </w:r>
      <w:r w:rsidR="0004312A" w:rsidRPr="00971D23">
        <w:rPr>
          <w:lang w:eastAsia="en-GB"/>
        </w:rPr>
        <w:t>f the Authority’s held for sale</w:t>
      </w:r>
      <w:r w:rsidRPr="00971D23">
        <w:rPr>
          <w:lang w:eastAsia="en-GB"/>
        </w:rPr>
        <w:t>, the highest and best use of the properties is their current use.</w:t>
      </w:r>
      <w:r w:rsidR="00C15F82" w:rsidRPr="00971D23">
        <w:t xml:space="preserve"> </w:t>
      </w:r>
      <w:r w:rsidR="00C15F82" w:rsidRPr="00971D23">
        <w:rPr>
          <w:lang w:eastAsia="en-GB"/>
        </w:rPr>
        <w:t>The authority has carried out sufficient work to satisfy itself that the carrying value of assets not valued in year are not materially different to their current values.</w:t>
      </w:r>
    </w:p>
    <w:p w14:paraId="485A47E4" w14:textId="77777777" w:rsidR="0073245D" w:rsidRPr="004D5CA8" w:rsidRDefault="0073245D" w:rsidP="003024B6">
      <w:pPr>
        <w:ind w:left="567"/>
        <w:rPr>
          <w:highlight w:val="yellow"/>
          <w:lang w:eastAsia="en-GB"/>
        </w:rPr>
      </w:pPr>
    </w:p>
    <w:p w14:paraId="485A47E5" w14:textId="7384AFE3" w:rsidR="007C4374" w:rsidRPr="00971D23" w:rsidRDefault="00540452" w:rsidP="003024B6">
      <w:pPr>
        <w:ind w:left="567"/>
        <w:rPr>
          <w:lang w:eastAsia="en-GB"/>
        </w:rPr>
      </w:pPr>
      <w:r w:rsidRPr="00971D23">
        <w:rPr>
          <w:lang w:eastAsia="en-GB"/>
        </w:rPr>
        <w:lastRenderedPageBreak/>
        <w:t>Depreciation is provided on</w:t>
      </w:r>
      <w:r w:rsidR="00276630" w:rsidRPr="00971D23">
        <w:rPr>
          <w:lang w:eastAsia="en-GB"/>
        </w:rPr>
        <w:t xml:space="preserve"> assets with a finite useful life, other than freehold land. </w:t>
      </w:r>
      <w:r w:rsidRPr="00971D23">
        <w:rPr>
          <w:lang w:eastAsia="en-GB"/>
        </w:rPr>
        <w:t>T</w:t>
      </w:r>
      <w:r w:rsidR="006C2E30" w:rsidRPr="00971D23">
        <w:rPr>
          <w:lang w:eastAsia="en-GB"/>
        </w:rPr>
        <w:t>hree</w:t>
      </w:r>
      <w:r w:rsidRPr="00971D23">
        <w:rPr>
          <w:lang w:eastAsia="en-GB"/>
        </w:rPr>
        <w:t xml:space="preserve"> of the Authority’s </w:t>
      </w:r>
      <w:r w:rsidR="00846F23" w:rsidRPr="00971D23">
        <w:rPr>
          <w:lang w:eastAsia="en-GB"/>
        </w:rPr>
        <w:t>assets</w:t>
      </w:r>
      <w:r w:rsidRPr="00971D23">
        <w:rPr>
          <w:lang w:eastAsia="en-GB"/>
        </w:rPr>
        <w:t xml:space="preserve">, </w:t>
      </w:r>
      <w:proofErr w:type="spellStart"/>
      <w:r w:rsidRPr="00971D23">
        <w:rPr>
          <w:lang w:eastAsia="en-GB"/>
        </w:rPr>
        <w:t>Murley</w:t>
      </w:r>
      <w:proofErr w:type="spellEnd"/>
      <w:r w:rsidRPr="00971D23">
        <w:rPr>
          <w:lang w:eastAsia="en-GB"/>
        </w:rPr>
        <w:t xml:space="preserve"> Moss</w:t>
      </w:r>
      <w:r w:rsidR="00846F23" w:rsidRPr="00971D23">
        <w:rPr>
          <w:lang w:eastAsia="en-GB"/>
        </w:rPr>
        <w:t xml:space="preserve">, </w:t>
      </w:r>
      <w:proofErr w:type="spellStart"/>
      <w:r w:rsidR="00846F23" w:rsidRPr="00971D23">
        <w:rPr>
          <w:lang w:eastAsia="en-GB"/>
        </w:rPr>
        <w:t>Brockhole</w:t>
      </w:r>
      <w:proofErr w:type="spellEnd"/>
      <w:r w:rsidR="00846F23" w:rsidRPr="00971D23">
        <w:rPr>
          <w:lang w:eastAsia="en-GB"/>
        </w:rPr>
        <w:t xml:space="preserve"> and the Keswick to </w:t>
      </w:r>
      <w:proofErr w:type="spellStart"/>
      <w:r w:rsidR="00846F23" w:rsidRPr="00971D23">
        <w:rPr>
          <w:lang w:eastAsia="en-GB"/>
        </w:rPr>
        <w:t>Threlkeld</w:t>
      </w:r>
      <w:proofErr w:type="spellEnd"/>
      <w:r w:rsidR="00846F23" w:rsidRPr="00971D23">
        <w:rPr>
          <w:lang w:eastAsia="en-GB"/>
        </w:rPr>
        <w:t xml:space="preserve"> Multi User Trail</w:t>
      </w:r>
      <w:r w:rsidRPr="00971D23">
        <w:rPr>
          <w:lang w:eastAsia="en-GB"/>
        </w:rPr>
        <w:t xml:space="preserve"> have been split into components with estimated useful lives as follows:</w:t>
      </w:r>
    </w:p>
    <w:p w14:paraId="485A47E7" w14:textId="77777777" w:rsidR="001F153B" w:rsidRPr="00971D23" w:rsidRDefault="001F153B" w:rsidP="006D2EED">
      <w:pPr>
        <w:rPr>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tblGrid>
      <w:tr w:rsidR="00540452" w:rsidRPr="00971D23" w14:paraId="485A47EA" w14:textId="77777777" w:rsidTr="008775D1">
        <w:trPr>
          <w:jc w:val="center"/>
        </w:trPr>
        <w:tc>
          <w:tcPr>
            <w:tcW w:w="2802" w:type="dxa"/>
            <w:shd w:val="clear" w:color="auto" w:fill="000000"/>
          </w:tcPr>
          <w:p w14:paraId="485A47E8" w14:textId="77777777" w:rsidR="00540452" w:rsidRPr="00971D23" w:rsidRDefault="00540452" w:rsidP="006D2EED">
            <w:pPr>
              <w:rPr>
                <w:b/>
                <w:lang w:eastAsia="en-GB"/>
              </w:rPr>
            </w:pPr>
            <w:r w:rsidRPr="00971D23">
              <w:rPr>
                <w:b/>
                <w:lang w:eastAsia="en-GB"/>
              </w:rPr>
              <w:t>Component</w:t>
            </w:r>
          </w:p>
        </w:tc>
        <w:tc>
          <w:tcPr>
            <w:tcW w:w="2268" w:type="dxa"/>
            <w:shd w:val="clear" w:color="auto" w:fill="000000"/>
          </w:tcPr>
          <w:p w14:paraId="485A47E9" w14:textId="77777777" w:rsidR="00540452" w:rsidRPr="00971D23" w:rsidRDefault="00540452" w:rsidP="006D2EED">
            <w:pPr>
              <w:rPr>
                <w:b/>
                <w:lang w:eastAsia="en-GB"/>
              </w:rPr>
            </w:pPr>
            <w:r w:rsidRPr="00971D23">
              <w:rPr>
                <w:b/>
                <w:lang w:eastAsia="en-GB"/>
              </w:rPr>
              <w:t>Useful Life (Years)</w:t>
            </w:r>
          </w:p>
        </w:tc>
      </w:tr>
      <w:tr w:rsidR="00540452" w:rsidRPr="00971D23" w14:paraId="485A47ED" w14:textId="77777777" w:rsidTr="00D876E8">
        <w:trPr>
          <w:jc w:val="center"/>
        </w:trPr>
        <w:tc>
          <w:tcPr>
            <w:tcW w:w="2802" w:type="dxa"/>
            <w:shd w:val="clear" w:color="auto" w:fill="auto"/>
          </w:tcPr>
          <w:p w14:paraId="485A47EB" w14:textId="23942923" w:rsidR="00540452" w:rsidRPr="00971D23" w:rsidRDefault="00540452" w:rsidP="006D2EED">
            <w:pPr>
              <w:rPr>
                <w:lang w:eastAsia="en-GB"/>
              </w:rPr>
            </w:pPr>
            <w:r w:rsidRPr="00971D23">
              <w:rPr>
                <w:lang w:eastAsia="en-GB"/>
              </w:rPr>
              <w:t>Structure</w:t>
            </w:r>
            <w:r w:rsidR="006C2E30" w:rsidRPr="00971D23">
              <w:rPr>
                <w:lang w:eastAsia="en-GB"/>
              </w:rPr>
              <w:t>/Tunnels</w:t>
            </w:r>
          </w:p>
        </w:tc>
        <w:tc>
          <w:tcPr>
            <w:tcW w:w="2268" w:type="dxa"/>
            <w:shd w:val="clear" w:color="auto" w:fill="auto"/>
          </w:tcPr>
          <w:p w14:paraId="485A47EC" w14:textId="77777777" w:rsidR="00540452" w:rsidRPr="00971D23" w:rsidRDefault="00540452" w:rsidP="004E7571">
            <w:pPr>
              <w:jc w:val="center"/>
              <w:rPr>
                <w:lang w:eastAsia="en-GB"/>
              </w:rPr>
            </w:pPr>
            <w:r w:rsidRPr="00971D23">
              <w:rPr>
                <w:lang w:eastAsia="en-GB"/>
              </w:rPr>
              <w:t>50</w:t>
            </w:r>
          </w:p>
        </w:tc>
      </w:tr>
      <w:tr w:rsidR="00540452" w:rsidRPr="00971D23" w14:paraId="485A47F0" w14:textId="77777777" w:rsidTr="00D876E8">
        <w:trPr>
          <w:jc w:val="center"/>
        </w:trPr>
        <w:tc>
          <w:tcPr>
            <w:tcW w:w="2802" w:type="dxa"/>
            <w:shd w:val="clear" w:color="auto" w:fill="auto"/>
          </w:tcPr>
          <w:p w14:paraId="485A47EE" w14:textId="77777777" w:rsidR="00540452" w:rsidRPr="00971D23" w:rsidRDefault="00540452" w:rsidP="006D2EED">
            <w:pPr>
              <w:rPr>
                <w:lang w:eastAsia="en-GB"/>
              </w:rPr>
            </w:pPr>
            <w:r w:rsidRPr="00971D23">
              <w:rPr>
                <w:lang w:eastAsia="en-GB"/>
              </w:rPr>
              <w:t>Mechanical &amp; Electrical</w:t>
            </w:r>
          </w:p>
        </w:tc>
        <w:tc>
          <w:tcPr>
            <w:tcW w:w="2268" w:type="dxa"/>
            <w:shd w:val="clear" w:color="auto" w:fill="auto"/>
          </w:tcPr>
          <w:p w14:paraId="485A47EF" w14:textId="77777777" w:rsidR="00540452" w:rsidRPr="00971D23" w:rsidRDefault="00540452" w:rsidP="004E7571">
            <w:pPr>
              <w:jc w:val="center"/>
              <w:rPr>
                <w:lang w:eastAsia="en-GB"/>
              </w:rPr>
            </w:pPr>
            <w:r w:rsidRPr="00971D23">
              <w:rPr>
                <w:lang w:eastAsia="en-GB"/>
              </w:rPr>
              <w:t>20</w:t>
            </w:r>
          </w:p>
        </w:tc>
      </w:tr>
      <w:tr w:rsidR="00540452" w:rsidRPr="004D5CA8" w14:paraId="485A47F3" w14:textId="77777777" w:rsidTr="00D876E8">
        <w:trPr>
          <w:jc w:val="center"/>
        </w:trPr>
        <w:tc>
          <w:tcPr>
            <w:tcW w:w="2802" w:type="dxa"/>
            <w:shd w:val="clear" w:color="auto" w:fill="auto"/>
          </w:tcPr>
          <w:p w14:paraId="485A47F1" w14:textId="77777777" w:rsidR="00540452" w:rsidRPr="00971D23" w:rsidRDefault="00540452" w:rsidP="006D2EED">
            <w:pPr>
              <w:rPr>
                <w:lang w:eastAsia="en-GB"/>
              </w:rPr>
            </w:pPr>
            <w:r w:rsidRPr="00971D23">
              <w:rPr>
                <w:lang w:eastAsia="en-GB"/>
              </w:rPr>
              <w:t>Roof</w:t>
            </w:r>
          </w:p>
        </w:tc>
        <w:tc>
          <w:tcPr>
            <w:tcW w:w="2268" w:type="dxa"/>
            <w:shd w:val="clear" w:color="auto" w:fill="auto"/>
          </w:tcPr>
          <w:p w14:paraId="485A47F2" w14:textId="77777777" w:rsidR="00540452" w:rsidRPr="00971D23" w:rsidRDefault="00540452" w:rsidP="004E7571">
            <w:pPr>
              <w:jc w:val="center"/>
              <w:rPr>
                <w:lang w:eastAsia="en-GB"/>
              </w:rPr>
            </w:pPr>
            <w:r w:rsidRPr="00971D23">
              <w:rPr>
                <w:lang w:eastAsia="en-GB"/>
              </w:rPr>
              <w:t>35</w:t>
            </w:r>
          </w:p>
        </w:tc>
      </w:tr>
      <w:tr w:rsidR="00540452" w:rsidRPr="00971D23" w14:paraId="485A47F6" w14:textId="77777777" w:rsidTr="00D876E8">
        <w:trPr>
          <w:jc w:val="center"/>
        </w:trPr>
        <w:tc>
          <w:tcPr>
            <w:tcW w:w="2802" w:type="dxa"/>
            <w:shd w:val="clear" w:color="auto" w:fill="auto"/>
          </w:tcPr>
          <w:p w14:paraId="485A47F4" w14:textId="77777777" w:rsidR="00540452" w:rsidRPr="00971D23" w:rsidRDefault="00540452" w:rsidP="006D2EED">
            <w:pPr>
              <w:rPr>
                <w:lang w:eastAsia="en-GB"/>
              </w:rPr>
            </w:pPr>
            <w:r w:rsidRPr="00971D23">
              <w:rPr>
                <w:lang w:eastAsia="en-GB"/>
              </w:rPr>
              <w:t>External Works</w:t>
            </w:r>
          </w:p>
        </w:tc>
        <w:tc>
          <w:tcPr>
            <w:tcW w:w="2268" w:type="dxa"/>
            <w:shd w:val="clear" w:color="auto" w:fill="auto"/>
          </w:tcPr>
          <w:p w14:paraId="485A47F5" w14:textId="77777777" w:rsidR="00540452" w:rsidRPr="00971D23" w:rsidRDefault="00540452" w:rsidP="004E7571">
            <w:pPr>
              <w:jc w:val="center"/>
              <w:rPr>
                <w:lang w:eastAsia="en-GB"/>
              </w:rPr>
            </w:pPr>
            <w:r w:rsidRPr="00971D23">
              <w:rPr>
                <w:lang w:eastAsia="en-GB"/>
              </w:rPr>
              <w:t>30</w:t>
            </w:r>
          </w:p>
        </w:tc>
      </w:tr>
      <w:tr w:rsidR="006C2E30" w:rsidRPr="00971D23" w14:paraId="62930E5D" w14:textId="77777777" w:rsidTr="00D876E8">
        <w:trPr>
          <w:jc w:val="center"/>
        </w:trPr>
        <w:tc>
          <w:tcPr>
            <w:tcW w:w="2802" w:type="dxa"/>
            <w:shd w:val="clear" w:color="auto" w:fill="auto"/>
          </w:tcPr>
          <w:p w14:paraId="18E25038" w14:textId="644CEE82" w:rsidR="006C2E30" w:rsidRPr="00971D23" w:rsidRDefault="00846F23" w:rsidP="006D2EED">
            <w:pPr>
              <w:rPr>
                <w:lang w:eastAsia="en-GB"/>
              </w:rPr>
            </w:pPr>
            <w:r w:rsidRPr="00971D23">
              <w:rPr>
                <w:lang w:eastAsia="en-GB"/>
              </w:rPr>
              <w:t>Path surfaces &amp; fencing</w:t>
            </w:r>
          </w:p>
        </w:tc>
        <w:tc>
          <w:tcPr>
            <w:tcW w:w="2268" w:type="dxa"/>
            <w:shd w:val="clear" w:color="auto" w:fill="auto"/>
          </w:tcPr>
          <w:p w14:paraId="3D2C2BA4" w14:textId="7666E18B" w:rsidR="006C2E30" w:rsidRPr="00971D23" w:rsidRDefault="00846F23" w:rsidP="004E7571">
            <w:pPr>
              <w:jc w:val="center"/>
              <w:rPr>
                <w:lang w:eastAsia="en-GB"/>
              </w:rPr>
            </w:pPr>
            <w:r w:rsidRPr="00971D23">
              <w:rPr>
                <w:lang w:eastAsia="en-GB"/>
              </w:rPr>
              <w:t>15</w:t>
            </w:r>
          </w:p>
        </w:tc>
      </w:tr>
    </w:tbl>
    <w:p w14:paraId="485A47F7" w14:textId="77777777" w:rsidR="00540452" w:rsidRPr="00971D23" w:rsidRDefault="00540452" w:rsidP="006D2EED">
      <w:pPr>
        <w:rPr>
          <w:lang w:eastAsia="en-GB"/>
        </w:rPr>
      </w:pPr>
    </w:p>
    <w:p w14:paraId="485A47F8" w14:textId="77777777" w:rsidR="00F64E83" w:rsidRPr="00971D23" w:rsidRDefault="00F64E83" w:rsidP="00D02977">
      <w:pPr>
        <w:ind w:left="709"/>
        <w:rPr>
          <w:lang w:eastAsia="en-GB"/>
        </w:rPr>
      </w:pPr>
    </w:p>
    <w:p w14:paraId="485A47F9" w14:textId="77777777" w:rsidR="00540452" w:rsidRPr="00971D23" w:rsidRDefault="00540452" w:rsidP="003024B6">
      <w:pPr>
        <w:ind w:left="567"/>
        <w:rPr>
          <w:lang w:eastAsia="en-GB"/>
        </w:rPr>
      </w:pPr>
      <w:r w:rsidRPr="00971D23">
        <w:rPr>
          <w:lang w:eastAsia="en-GB"/>
        </w:rPr>
        <w:t>For all other assets depreciation is charged, in line with the accounting policies, on a straight line basis over the following estimated useful lives:</w:t>
      </w:r>
    </w:p>
    <w:p w14:paraId="485A47FA" w14:textId="77777777" w:rsidR="00F64E83" w:rsidRPr="00971D23" w:rsidRDefault="00F64E83" w:rsidP="006D2EED">
      <w:pPr>
        <w:ind w:left="709" w:hanging="709"/>
        <w:rPr>
          <w:lang w:eastAsia="en-GB"/>
        </w:rPr>
      </w:pPr>
    </w:p>
    <w:p w14:paraId="485A47FB" w14:textId="77777777" w:rsidR="00F64E83" w:rsidRPr="00971D23" w:rsidRDefault="00F64E83" w:rsidP="006D2EED">
      <w:pPr>
        <w:ind w:left="709" w:hanging="709"/>
        <w:rPr>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901"/>
      </w:tblGrid>
      <w:tr w:rsidR="00540452" w:rsidRPr="00971D23" w14:paraId="485A47FE" w14:textId="77777777" w:rsidTr="008775D1">
        <w:trPr>
          <w:jc w:val="center"/>
        </w:trPr>
        <w:tc>
          <w:tcPr>
            <w:tcW w:w="2801" w:type="dxa"/>
            <w:shd w:val="clear" w:color="auto" w:fill="000000"/>
          </w:tcPr>
          <w:p w14:paraId="485A47FC" w14:textId="77777777" w:rsidR="00540452" w:rsidRPr="00971D23" w:rsidRDefault="00540452" w:rsidP="006D2EED">
            <w:pPr>
              <w:rPr>
                <w:b/>
                <w:lang w:eastAsia="en-GB"/>
              </w:rPr>
            </w:pPr>
            <w:r w:rsidRPr="00971D23">
              <w:rPr>
                <w:b/>
                <w:lang w:eastAsia="en-GB"/>
              </w:rPr>
              <w:t>Asset Type</w:t>
            </w:r>
          </w:p>
        </w:tc>
        <w:tc>
          <w:tcPr>
            <w:tcW w:w="3901" w:type="dxa"/>
            <w:shd w:val="clear" w:color="auto" w:fill="000000"/>
          </w:tcPr>
          <w:p w14:paraId="485A47FD" w14:textId="77777777" w:rsidR="00540452" w:rsidRPr="00971D23" w:rsidRDefault="00540452" w:rsidP="006D2EED">
            <w:pPr>
              <w:rPr>
                <w:b/>
                <w:lang w:eastAsia="en-GB"/>
              </w:rPr>
            </w:pPr>
            <w:r w:rsidRPr="00971D23">
              <w:rPr>
                <w:b/>
                <w:lang w:eastAsia="en-GB"/>
              </w:rPr>
              <w:t>Useful Life</w:t>
            </w:r>
            <w:r w:rsidR="001F581B" w:rsidRPr="00971D23">
              <w:rPr>
                <w:b/>
                <w:lang w:eastAsia="en-GB"/>
              </w:rPr>
              <w:t xml:space="preserve"> (Years)</w:t>
            </w:r>
          </w:p>
        </w:tc>
      </w:tr>
      <w:tr w:rsidR="00540452" w:rsidRPr="00971D23" w14:paraId="485A4801" w14:textId="77777777" w:rsidTr="00D876E8">
        <w:trPr>
          <w:jc w:val="center"/>
        </w:trPr>
        <w:tc>
          <w:tcPr>
            <w:tcW w:w="2801" w:type="dxa"/>
            <w:shd w:val="clear" w:color="auto" w:fill="auto"/>
          </w:tcPr>
          <w:p w14:paraId="485A47FF" w14:textId="77777777" w:rsidR="00540452" w:rsidRPr="00971D23" w:rsidRDefault="00540452" w:rsidP="006D2EED">
            <w:pPr>
              <w:rPr>
                <w:lang w:eastAsia="en-GB"/>
              </w:rPr>
            </w:pPr>
            <w:r w:rsidRPr="00971D23">
              <w:rPr>
                <w:lang w:eastAsia="en-GB"/>
              </w:rPr>
              <w:t>Operational Buildings</w:t>
            </w:r>
          </w:p>
        </w:tc>
        <w:tc>
          <w:tcPr>
            <w:tcW w:w="3901" w:type="dxa"/>
            <w:shd w:val="clear" w:color="auto" w:fill="auto"/>
          </w:tcPr>
          <w:p w14:paraId="485A4800" w14:textId="77777777" w:rsidR="00540452" w:rsidRPr="00971D23" w:rsidRDefault="001F581B" w:rsidP="004E7571">
            <w:pPr>
              <w:jc w:val="center"/>
              <w:rPr>
                <w:lang w:eastAsia="en-GB"/>
              </w:rPr>
            </w:pPr>
            <w:r w:rsidRPr="00971D23">
              <w:rPr>
                <w:lang w:eastAsia="en-GB"/>
              </w:rPr>
              <w:t>10 to 50 depending on the type of asset and the construction material</w:t>
            </w:r>
          </w:p>
        </w:tc>
      </w:tr>
      <w:tr w:rsidR="00540452" w:rsidRPr="00971D23" w14:paraId="485A4804" w14:textId="77777777" w:rsidTr="00D876E8">
        <w:trPr>
          <w:jc w:val="center"/>
        </w:trPr>
        <w:tc>
          <w:tcPr>
            <w:tcW w:w="2801" w:type="dxa"/>
            <w:shd w:val="clear" w:color="auto" w:fill="auto"/>
          </w:tcPr>
          <w:p w14:paraId="485A4802" w14:textId="77777777" w:rsidR="00540452" w:rsidRPr="00971D23" w:rsidRDefault="001F581B" w:rsidP="006D2EED">
            <w:pPr>
              <w:rPr>
                <w:lang w:eastAsia="en-GB"/>
              </w:rPr>
            </w:pPr>
            <w:r w:rsidRPr="00971D23">
              <w:rPr>
                <w:lang w:eastAsia="en-GB"/>
              </w:rPr>
              <w:t>Vehicles and Plant</w:t>
            </w:r>
          </w:p>
        </w:tc>
        <w:tc>
          <w:tcPr>
            <w:tcW w:w="3901" w:type="dxa"/>
            <w:shd w:val="clear" w:color="auto" w:fill="auto"/>
          </w:tcPr>
          <w:p w14:paraId="485A4803" w14:textId="77777777" w:rsidR="00540452" w:rsidRPr="00971D23" w:rsidRDefault="001F581B" w:rsidP="004E7571">
            <w:pPr>
              <w:jc w:val="center"/>
              <w:rPr>
                <w:lang w:eastAsia="en-GB"/>
              </w:rPr>
            </w:pPr>
            <w:r w:rsidRPr="00971D23">
              <w:rPr>
                <w:lang w:eastAsia="en-GB"/>
              </w:rPr>
              <w:t>5 to 15</w:t>
            </w:r>
          </w:p>
        </w:tc>
      </w:tr>
      <w:tr w:rsidR="00540452" w:rsidRPr="00971D23" w14:paraId="485A4807" w14:textId="77777777" w:rsidTr="00D876E8">
        <w:trPr>
          <w:jc w:val="center"/>
        </w:trPr>
        <w:tc>
          <w:tcPr>
            <w:tcW w:w="2801" w:type="dxa"/>
            <w:shd w:val="clear" w:color="auto" w:fill="auto"/>
          </w:tcPr>
          <w:p w14:paraId="485A4805" w14:textId="77777777" w:rsidR="00540452" w:rsidRPr="00971D23" w:rsidRDefault="001F581B" w:rsidP="006D2EED">
            <w:pPr>
              <w:rPr>
                <w:lang w:eastAsia="en-GB"/>
              </w:rPr>
            </w:pPr>
            <w:r w:rsidRPr="00971D23">
              <w:rPr>
                <w:lang w:eastAsia="en-GB"/>
              </w:rPr>
              <w:t>Fixtures and Fittings</w:t>
            </w:r>
          </w:p>
        </w:tc>
        <w:tc>
          <w:tcPr>
            <w:tcW w:w="3901" w:type="dxa"/>
            <w:shd w:val="clear" w:color="auto" w:fill="auto"/>
          </w:tcPr>
          <w:p w14:paraId="485A4806" w14:textId="77777777" w:rsidR="00540452" w:rsidRPr="00971D23" w:rsidRDefault="001F581B" w:rsidP="004E7571">
            <w:pPr>
              <w:jc w:val="center"/>
              <w:rPr>
                <w:lang w:eastAsia="en-GB"/>
              </w:rPr>
            </w:pPr>
            <w:r w:rsidRPr="00971D23">
              <w:rPr>
                <w:lang w:eastAsia="en-GB"/>
              </w:rPr>
              <w:t>5 to 15</w:t>
            </w:r>
          </w:p>
        </w:tc>
      </w:tr>
      <w:tr w:rsidR="00540452" w:rsidRPr="00971D23" w14:paraId="485A480A" w14:textId="77777777" w:rsidTr="00D876E8">
        <w:trPr>
          <w:jc w:val="center"/>
        </w:trPr>
        <w:tc>
          <w:tcPr>
            <w:tcW w:w="2801" w:type="dxa"/>
            <w:shd w:val="clear" w:color="auto" w:fill="auto"/>
          </w:tcPr>
          <w:p w14:paraId="485A4808" w14:textId="77777777" w:rsidR="00540452" w:rsidRPr="00971D23" w:rsidRDefault="001F581B" w:rsidP="006D2EED">
            <w:pPr>
              <w:rPr>
                <w:lang w:eastAsia="en-GB"/>
              </w:rPr>
            </w:pPr>
            <w:r w:rsidRPr="00971D23">
              <w:rPr>
                <w:lang w:eastAsia="en-GB"/>
              </w:rPr>
              <w:t>Infrastructure Assets</w:t>
            </w:r>
          </w:p>
        </w:tc>
        <w:tc>
          <w:tcPr>
            <w:tcW w:w="3901" w:type="dxa"/>
            <w:shd w:val="clear" w:color="auto" w:fill="auto"/>
          </w:tcPr>
          <w:p w14:paraId="485A4809" w14:textId="77777777" w:rsidR="00540452" w:rsidRPr="00971D23" w:rsidRDefault="001F581B" w:rsidP="004E7571">
            <w:pPr>
              <w:jc w:val="center"/>
              <w:rPr>
                <w:lang w:eastAsia="en-GB"/>
              </w:rPr>
            </w:pPr>
            <w:r w:rsidRPr="00971D23">
              <w:rPr>
                <w:lang w:eastAsia="en-GB"/>
              </w:rPr>
              <w:t>30</w:t>
            </w:r>
          </w:p>
        </w:tc>
      </w:tr>
      <w:tr w:rsidR="00540452" w:rsidRPr="00971D23" w14:paraId="485A480D" w14:textId="77777777" w:rsidTr="00D876E8">
        <w:trPr>
          <w:jc w:val="center"/>
        </w:trPr>
        <w:tc>
          <w:tcPr>
            <w:tcW w:w="2801" w:type="dxa"/>
            <w:shd w:val="clear" w:color="auto" w:fill="auto"/>
          </w:tcPr>
          <w:p w14:paraId="485A480B" w14:textId="77777777" w:rsidR="00540452" w:rsidRPr="00971D23" w:rsidRDefault="001F581B" w:rsidP="006D2EED">
            <w:pPr>
              <w:rPr>
                <w:lang w:eastAsia="en-GB"/>
              </w:rPr>
            </w:pPr>
            <w:r w:rsidRPr="00971D23">
              <w:rPr>
                <w:lang w:eastAsia="en-GB"/>
              </w:rPr>
              <w:t>Computer Equipment</w:t>
            </w:r>
          </w:p>
        </w:tc>
        <w:tc>
          <w:tcPr>
            <w:tcW w:w="3901" w:type="dxa"/>
            <w:shd w:val="clear" w:color="auto" w:fill="auto"/>
          </w:tcPr>
          <w:p w14:paraId="485A480C" w14:textId="77777777" w:rsidR="00540452" w:rsidRPr="00971D23" w:rsidRDefault="001F581B" w:rsidP="004E7571">
            <w:pPr>
              <w:jc w:val="center"/>
              <w:rPr>
                <w:lang w:eastAsia="en-GB"/>
              </w:rPr>
            </w:pPr>
            <w:r w:rsidRPr="00971D23">
              <w:rPr>
                <w:lang w:eastAsia="en-GB"/>
              </w:rPr>
              <w:t>3 to 5</w:t>
            </w:r>
          </w:p>
        </w:tc>
      </w:tr>
      <w:tr w:rsidR="00540452" w:rsidRPr="00971D23" w14:paraId="485A4810" w14:textId="77777777" w:rsidTr="00D876E8">
        <w:trPr>
          <w:jc w:val="center"/>
        </w:trPr>
        <w:tc>
          <w:tcPr>
            <w:tcW w:w="2801" w:type="dxa"/>
            <w:shd w:val="clear" w:color="auto" w:fill="auto"/>
          </w:tcPr>
          <w:p w14:paraId="485A480E" w14:textId="77777777" w:rsidR="00540452" w:rsidRPr="00971D23" w:rsidRDefault="001F581B" w:rsidP="006D2EED">
            <w:pPr>
              <w:rPr>
                <w:lang w:eastAsia="en-GB"/>
              </w:rPr>
            </w:pPr>
            <w:r w:rsidRPr="00971D23">
              <w:rPr>
                <w:lang w:eastAsia="en-GB"/>
              </w:rPr>
              <w:t>Other Equipment</w:t>
            </w:r>
          </w:p>
        </w:tc>
        <w:tc>
          <w:tcPr>
            <w:tcW w:w="3901" w:type="dxa"/>
            <w:shd w:val="clear" w:color="auto" w:fill="auto"/>
          </w:tcPr>
          <w:p w14:paraId="485A480F" w14:textId="77777777" w:rsidR="00540452" w:rsidRPr="00971D23" w:rsidRDefault="001F581B" w:rsidP="004E7571">
            <w:pPr>
              <w:jc w:val="center"/>
              <w:rPr>
                <w:lang w:eastAsia="en-GB"/>
              </w:rPr>
            </w:pPr>
            <w:r w:rsidRPr="00971D23">
              <w:rPr>
                <w:lang w:eastAsia="en-GB"/>
              </w:rPr>
              <w:t>5 to 7</w:t>
            </w:r>
          </w:p>
        </w:tc>
      </w:tr>
    </w:tbl>
    <w:p w14:paraId="485A4811" w14:textId="77777777" w:rsidR="00540452" w:rsidRPr="00971D23" w:rsidRDefault="00540452" w:rsidP="006D2EED">
      <w:pPr>
        <w:ind w:left="709"/>
        <w:rPr>
          <w:lang w:eastAsia="en-GB"/>
        </w:rPr>
      </w:pPr>
    </w:p>
    <w:p w14:paraId="485A4812" w14:textId="77777777" w:rsidR="00540452" w:rsidRPr="00F63F45" w:rsidRDefault="001F581B" w:rsidP="003024B6">
      <w:pPr>
        <w:ind w:left="567"/>
        <w:rPr>
          <w:lang w:eastAsia="en-GB"/>
        </w:rPr>
      </w:pPr>
      <w:r w:rsidRPr="00F63F45">
        <w:rPr>
          <w:lang w:eastAsia="en-GB"/>
        </w:rPr>
        <w:t>Resid</w:t>
      </w:r>
      <w:r w:rsidR="00AD46B4" w:rsidRPr="00F63F45">
        <w:rPr>
          <w:lang w:eastAsia="en-GB"/>
        </w:rPr>
        <w:t xml:space="preserve">ual values are based on </w:t>
      </w:r>
      <w:r w:rsidR="005731AF" w:rsidRPr="00F63F45">
        <w:rPr>
          <w:lang w:eastAsia="en-GB"/>
        </w:rPr>
        <w:t>the expected age and condition of the asset at the end of its useful life.</w:t>
      </w:r>
    </w:p>
    <w:p w14:paraId="485A4813" w14:textId="77777777" w:rsidR="001F581B" w:rsidRPr="00F63F45" w:rsidRDefault="001F581B" w:rsidP="003024B6">
      <w:pPr>
        <w:ind w:left="567"/>
        <w:rPr>
          <w:lang w:eastAsia="en-GB"/>
        </w:rPr>
      </w:pPr>
    </w:p>
    <w:p w14:paraId="485A4814" w14:textId="77777777" w:rsidR="00E00863" w:rsidRPr="00F63F45" w:rsidRDefault="00E00863" w:rsidP="003024B6">
      <w:pPr>
        <w:pStyle w:val="Subtitle"/>
        <w:tabs>
          <w:tab w:val="left" w:pos="709"/>
        </w:tabs>
        <w:ind w:left="567"/>
        <w:rPr>
          <w:rFonts w:ascii="Arial" w:hAnsi="Arial"/>
          <w:i w:val="0"/>
          <w:iCs w:val="0"/>
          <w:spacing w:val="0"/>
          <w:sz w:val="23"/>
          <w:szCs w:val="23"/>
          <w:u w:val="none"/>
        </w:rPr>
      </w:pPr>
      <w:r w:rsidRPr="00F63F45">
        <w:rPr>
          <w:rFonts w:ascii="Arial" w:hAnsi="Arial"/>
          <w:i w:val="0"/>
          <w:iCs w:val="0"/>
          <w:spacing w:val="0"/>
          <w:sz w:val="23"/>
          <w:szCs w:val="23"/>
          <w:u w:val="none"/>
        </w:rPr>
        <w:t xml:space="preserve">An analysis of all property, plant and equipment, </w:t>
      </w:r>
      <w:r w:rsidR="00F930D2" w:rsidRPr="00F63F45">
        <w:rPr>
          <w:rFonts w:ascii="Arial" w:hAnsi="Arial"/>
          <w:i w:val="0"/>
          <w:iCs w:val="0"/>
          <w:spacing w:val="0"/>
          <w:sz w:val="23"/>
          <w:szCs w:val="23"/>
          <w:u w:val="none"/>
        </w:rPr>
        <w:t xml:space="preserve">heritage assets &amp; </w:t>
      </w:r>
      <w:r w:rsidRPr="00F63F45">
        <w:rPr>
          <w:rFonts w:ascii="Arial" w:hAnsi="Arial"/>
          <w:i w:val="0"/>
          <w:iCs w:val="0"/>
          <w:spacing w:val="0"/>
          <w:sz w:val="23"/>
          <w:szCs w:val="23"/>
          <w:u w:val="none"/>
        </w:rPr>
        <w:t xml:space="preserve">investment property and </w:t>
      </w:r>
      <w:r w:rsidR="00F930D2" w:rsidRPr="00F63F45">
        <w:rPr>
          <w:rFonts w:ascii="Arial" w:hAnsi="Arial"/>
          <w:i w:val="0"/>
          <w:iCs w:val="0"/>
          <w:spacing w:val="0"/>
          <w:sz w:val="23"/>
          <w:szCs w:val="23"/>
          <w:u w:val="none"/>
        </w:rPr>
        <w:t xml:space="preserve">non-current </w:t>
      </w:r>
      <w:r w:rsidRPr="00F63F45">
        <w:rPr>
          <w:rFonts w:ascii="Arial" w:hAnsi="Arial"/>
          <w:i w:val="0"/>
          <w:iCs w:val="0"/>
          <w:spacing w:val="0"/>
          <w:sz w:val="23"/>
          <w:szCs w:val="23"/>
          <w:u w:val="none"/>
        </w:rPr>
        <w:t>assets held for sale includes: -</w:t>
      </w:r>
    </w:p>
    <w:p w14:paraId="485A4815" w14:textId="77777777" w:rsidR="00E00863" w:rsidRPr="00F63F45" w:rsidRDefault="00E00863" w:rsidP="006D2EED"/>
    <w:p w14:paraId="485A4816" w14:textId="6F6A11FD" w:rsidR="00E00863" w:rsidRPr="00F63F45" w:rsidRDefault="00F63F45" w:rsidP="005C4E2E">
      <w:pPr>
        <w:pStyle w:val="Subtitle"/>
        <w:tabs>
          <w:tab w:val="left" w:pos="0"/>
        </w:tabs>
        <w:ind w:right="-1"/>
        <w:jc w:val="center"/>
        <w:rPr>
          <w:b/>
          <w:sz w:val="22"/>
        </w:rPr>
      </w:pPr>
      <w:bookmarkStart w:id="113" w:name="_MON_1370694915"/>
      <w:bookmarkStart w:id="114" w:name="_MON_1395563362"/>
      <w:bookmarkStart w:id="115" w:name="_MON_1401092242"/>
      <w:bookmarkStart w:id="116" w:name="_MON_1401262794"/>
      <w:bookmarkStart w:id="117" w:name="_MON_1401539091"/>
      <w:bookmarkStart w:id="118" w:name="_MON_1402138189"/>
      <w:bookmarkStart w:id="119" w:name="_MON_1361875372"/>
      <w:bookmarkStart w:id="120" w:name="_MON_1361875448"/>
      <w:bookmarkStart w:id="121" w:name="_MON_1362396253"/>
      <w:bookmarkStart w:id="122" w:name="_MON_1363760650"/>
      <w:bookmarkStart w:id="123" w:name="_MON_1368447127"/>
      <w:bookmarkStart w:id="124" w:name="_MON_1368447486"/>
      <w:bookmarkStart w:id="125" w:name="_MON_1368447525"/>
      <w:bookmarkStart w:id="126" w:name="_MON_1368447891"/>
      <w:bookmarkStart w:id="127" w:name="_MON_1369553213"/>
      <w:bookmarkStart w:id="128" w:name="_MON_1369727678"/>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F63F45">
        <w:rPr>
          <w:noProof/>
        </w:rPr>
        <w:drawing>
          <wp:inline distT="0" distB="0" distL="0" distR="0" wp14:anchorId="1B1799A0" wp14:editId="33701F35">
            <wp:extent cx="4057650" cy="1676400"/>
            <wp:effectExtent l="0" t="0" r="0" b="0"/>
            <wp:docPr id="16745866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57650" cy="1676400"/>
                    </a:xfrm>
                    <a:prstGeom prst="rect">
                      <a:avLst/>
                    </a:prstGeom>
                    <a:noFill/>
                    <a:ln>
                      <a:noFill/>
                    </a:ln>
                  </pic:spPr>
                </pic:pic>
              </a:graphicData>
            </a:graphic>
          </wp:inline>
        </w:drawing>
      </w:r>
    </w:p>
    <w:p w14:paraId="485A4817" w14:textId="77777777" w:rsidR="00E00863" w:rsidRPr="00F63F45" w:rsidRDefault="00E00863" w:rsidP="006D2EED">
      <w:pPr>
        <w:pStyle w:val="Subtitle"/>
        <w:numPr>
          <w:ilvl w:val="0"/>
          <w:numId w:val="0"/>
        </w:numPr>
        <w:tabs>
          <w:tab w:val="left" w:pos="-709"/>
          <w:tab w:val="left" w:pos="-284"/>
          <w:tab w:val="left" w:pos="-142"/>
          <w:tab w:val="left" w:pos="0"/>
          <w:tab w:val="left" w:pos="1276"/>
        </w:tabs>
        <w:spacing w:line="240" w:lineRule="atLeast"/>
        <w:ind w:right="680"/>
        <w:rPr>
          <w:rFonts w:ascii="Arial" w:eastAsia="Times New Roman" w:hAnsi="Arial"/>
          <w:i w:val="0"/>
          <w:iCs w:val="0"/>
          <w:spacing w:val="0"/>
          <w:sz w:val="23"/>
          <w:szCs w:val="23"/>
        </w:rPr>
      </w:pPr>
    </w:p>
    <w:p w14:paraId="485A4818" w14:textId="77777777" w:rsidR="00D73A39" w:rsidRPr="00F63F45" w:rsidRDefault="00D73A39" w:rsidP="00D73A39">
      <w:pPr>
        <w:rPr>
          <w:lang w:eastAsia="en-GB"/>
        </w:rPr>
      </w:pPr>
    </w:p>
    <w:p w14:paraId="485A4819" w14:textId="77777777" w:rsidR="00E00863" w:rsidRPr="000119E5" w:rsidRDefault="00C15F82" w:rsidP="00CF3182">
      <w:pPr>
        <w:pStyle w:val="Subtitle"/>
        <w:numPr>
          <w:ilvl w:val="0"/>
          <w:numId w:val="0"/>
        </w:numPr>
        <w:tabs>
          <w:tab w:val="left" w:pos="-709"/>
          <w:tab w:val="left" w:pos="-284"/>
          <w:tab w:val="left" w:pos="-142"/>
          <w:tab w:val="left" w:pos="567"/>
        </w:tabs>
        <w:spacing w:line="240" w:lineRule="atLeast"/>
        <w:ind w:left="567" w:right="680" w:hanging="567"/>
        <w:rPr>
          <w:rFonts w:ascii="Arial" w:hAnsi="Arial" w:cs="Arial"/>
          <w:b/>
          <w:i w:val="0"/>
          <w:sz w:val="23"/>
          <w:szCs w:val="23"/>
          <w:u w:val="none"/>
        </w:rPr>
      </w:pPr>
      <w:r w:rsidRPr="00F63F45">
        <w:rPr>
          <w:rFonts w:ascii="Arial" w:hAnsi="Arial" w:cs="Arial"/>
          <w:b/>
          <w:i w:val="0"/>
          <w:sz w:val="23"/>
          <w:szCs w:val="23"/>
          <w:u w:val="none"/>
        </w:rPr>
        <w:br w:type="page"/>
      </w:r>
      <w:r w:rsidR="004B1BA7" w:rsidRPr="000119E5">
        <w:rPr>
          <w:rFonts w:ascii="Arial" w:hAnsi="Arial" w:cs="Arial"/>
          <w:b/>
          <w:i w:val="0"/>
          <w:sz w:val="23"/>
          <w:szCs w:val="23"/>
          <w:u w:val="none"/>
        </w:rPr>
        <w:lastRenderedPageBreak/>
        <w:t>2</w:t>
      </w:r>
      <w:r w:rsidR="00AA6E06" w:rsidRPr="000119E5">
        <w:rPr>
          <w:rFonts w:ascii="Arial" w:hAnsi="Arial" w:cs="Arial"/>
          <w:b/>
          <w:i w:val="0"/>
          <w:sz w:val="23"/>
          <w:szCs w:val="23"/>
          <w:u w:val="none"/>
        </w:rPr>
        <w:t>0</w:t>
      </w:r>
      <w:r w:rsidR="004B1BA7" w:rsidRPr="000119E5">
        <w:rPr>
          <w:rFonts w:ascii="Arial" w:hAnsi="Arial" w:cs="Arial"/>
          <w:b/>
          <w:i w:val="0"/>
          <w:sz w:val="23"/>
          <w:szCs w:val="23"/>
          <w:u w:val="none"/>
        </w:rPr>
        <w:t>.</w:t>
      </w:r>
      <w:r w:rsidR="00CF3182" w:rsidRPr="000119E5">
        <w:rPr>
          <w:rFonts w:ascii="Arial" w:hAnsi="Arial" w:cs="Arial"/>
          <w:b/>
          <w:i w:val="0"/>
          <w:sz w:val="23"/>
          <w:szCs w:val="23"/>
          <w:u w:val="none"/>
        </w:rPr>
        <w:t xml:space="preserve">  </w:t>
      </w:r>
      <w:r w:rsidR="00E00863" w:rsidRPr="000119E5">
        <w:rPr>
          <w:rFonts w:ascii="Arial" w:eastAsia="Times New Roman" w:hAnsi="Arial"/>
          <w:b/>
          <w:i w:val="0"/>
          <w:iCs w:val="0"/>
          <w:spacing w:val="0"/>
          <w:sz w:val="23"/>
          <w:szCs w:val="23"/>
          <w:u w:val="none"/>
          <w:lang w:eastAsia="en-US"/>
        </w:rPr>
        <w:t>Capital Expenditure</w:t>
      </w:r>
    </w:p>
    <w:p w14:paraId="485A481A" w14:textId="77777777" w:rsidR="00E00863" w:rsidRPr="000119E5" w:rsidRDefault="005A4342" w:rsidP="005A4342">
      <w:pPr>
        <w:pStyle w:val="Subtitle"/>
        <w:tabs>
          <w:tab w:val="left" w:pos="709"/>
          <w:tab w:val="left" w:pos="1103"/>
        </w:tabs>
        <w:ind w:left="709"/>
        <w:rPr>
          <w:rFonts w:ascii="Arial" w:hAnsi="Arial"/>
          <w:i w:val="0"/>
          <w:iCs w:val="0"/>
          <w:spacing w:val="0"/>
          <w:sz w:val="22"/>
          <w:szCs w:val="20"/>
          <w:u w:val="none"/>
        </w:rPr>
      </w:pPr>
      <w:r w:rsidRPr="000119E5">
        <w:rPr>
          <w:rFonts w:ascii="Arial" w:hAnsi="Arial"/>
          <w:i w:val="0"/>
          <w:iCs w:val="0"/>
          <w:spacing w:val="0"/>
          <w:sz w:val="22"/>
          <w:szCs w:val="20"/>
          <w:u w:val="none"/>
        </w:rPr>
        <w:tab/>
      </w:r>
    </w:p>
    <w:p w14:paraId="485A481B" w14:textId="223AD898" w:rsidR="00E00863" w:rsidRPr="000119E5" w:rsidRDefault="00CF3182" w:rsidP="00CF3182">
      <w:pPr>
        <w:pStyle w:val="Subtitle"/>
        <w:tabs>
          <w:tab w:val="left" w:pos="567"/>
        </w:tabs>
        <w:rPr>
          <w:rFonts w:ascii="Arial" w:hAnsi="Arial"/>
          <w:i w:val="0"/>
          <w:iCs w:val="0"/>
          <w:spacing w:val="0"/>
          <w:sz w:val="22"/>
          <w:szCs w:val="20"/>
          <w:u w:val="none"/>
        </w:rPr>
      </w:pPr>
      <w:r w:rsidRPr="000119E5">
        <w:rPr>
          <w:rFonts w:ascii="Arial" w:hAnsi="Arial"/>
          <w:i w:val="0"/>
          <w:iCs w:val="0"/>
          <w:spacing w:val="0"/>
          <w:sz w:val="22"/>
          <w:szCs w:val="20"/>
          <w:u w:val="none"/>
        </w:rPr>
        <w:tab/>
      </w:r>
      <w:r w:rsidR="00E00863" w:rsidRPr="000119E5">
        <w:rPr>
          <w:rFonts w:ascii="Arial" w:hAnsi="Arial"/>
          <w:i w:val="0"/>
          <w:iCs w:val="0"/>
          <w:spacing w:val="0"/>
          <w:sz w:val="22"/>
          <w:szCs w:val="20"/>
          <w:u w:val="none"/>
        </w:rPr>
        <w:t xml:space="preserve">Capital Expenditure </w:t>
      </w:r>
      <w:r w:rsidR="004735BE" w:rsidRPr="000119E5">
        <w:rPr>
          <w:rFonts w:ascii="Arial" w:hAnsi="Arial"/>
          <w:i w:val="0"/>
          <w:iCs w:val="0"/>
          <w:spacing w:val="0"/>
          <w:sz w:val="22"/>
          <w:szCs w:val="20"/>
          <w:u w:val="none"/>
        </w:rPr>
        <w:t>and its financing</w:t>
      </w:r>
      <w:r w:rsidR="0067794B" w:rsidRPr="000119E5">
        <w:rPr>
          <w:rFonts w:ascii="Arial" w:hAnsi="Arial"/>
          <w:i w:val="0"/>
          <w:iCs w:val="0"/>
          <w:spacing w:val="0"/>
          <w:sz w:val="22"/>
          <w:szCs w:val="20"/>
          <w:u w:val="none"/>
        </w:rPr>
        <w:t>, including schemes under construction</w:t>
      </w:r>
      <w:r w:rsidR="004735BE" w:rsidRPr="000119E5">
        <w:rPr>
          <w:rFonts w:ascii="Arial" w:hAnsi="Arial"/>
          <w:i w:val="0"/>
          <w:iCs w:val="0"/>
          <w:spacing w:val="0"/>
          <w:sz w:val="22"/>
          <w:szCs w:val="20"/>
          <w:u w:val="none"/>
        </w:rPr>
        <w:t xml:space="preserve"> were </w:t>
      </w:r>
      <w:r w:rsidR="00E00863" w:rsidRPr="000119E5">
        <w:rPr>
          <w:rFonts w:ascii="Arial" w:hAnsi="Arial"/>
          <w:i w:val="0"/>
          <w:iCs w:val="0"/>
          <w:spacing w:val="0"/>
          <w:sz w:val="22"/>
          <w:szCs w:val="20"/>
          <w:u w:val="none"/>
        </w:rPr>
        <w:t>as follows:</w:t>
      </w:r>
    </w:p>
    <w:p w14:paraId="2F50AF98" w14:textId="77777777" w:rsidR="000119E5" w:rsidRDefault="000119E5" w:rsidP="000119E5">
      <w:pPr>
        <w:rPr>
          <w:highlight w:val="yellow"/>
          <w:lang w:eastAsia="en-GB"/>
        </w:rPr>
      </w:pPr>
    </w:p>
    <w:tbl>
      <w:tblPr>
        <w:tblW w:w="8900" w:type="dxa"/>
        <w:tblLook w:val="04A0" w:firstRow="1" w:lastRow="0" w:firstColumn="1" w:lastColumn="0" w:noHBand="0" w:noVBand="1"/>
      </w:tblPr>
      <w:tblGrid>
        <w:gridCol w:w="1008"/>
        <w:gridCol w:w="1196"/>
        <w:gridCol w:w="3776"/>
        <w:gridCol w:w="1012"/>
        <w:gridCol w:w="1012"/>
        <w:gridCol w:w="968"/>
      </w:tblGrid>
      <w:tr w:rsidR="000119E5" w:rsidRPr="000119E5" w14:paraId="72554A3E" w14:textId="77777777" w:rsidTr="000119E5">
        <w:trPr>
          <w:trHeight w:val="290"/>
        </w:trPr>
        <w:tc>
          <w:tcPr>
            <w:tcW w:w="1008" w:type="dxa"/>
            <w:tcBorders>
              <w:top w:val="single" w:sz="8" w:space="0" w:color="auto"/>
              <w:left w:val="single" w:sz="8" w:space="0" w:color="auto"/>
              <w:bottom w:val="nil"/>
              <w:right w:val="nil"/>
            </w:tcBorders>
            <w:shd w:val="clear" w:color="000000" w:fill="000000"/>
            <w:noWrap/>
            <w:vAlign w:val="center"/>
            <w:hideMark/>
          </w:tcPr>
          <w:p w14:paraId="2E9F1FF2" w14:textId="77777777" w:rsidR="000119E5" w:rsidRPr="000119E5" w:rsidRDefault="000119E5" w:rsidP="000119E5">
            <w:pPr>
              <w:rPr>
                <w:rFonts w:cs="Arial"/>
                <w:color w:val="FFFFFF"/>
                <w:lang w:eastAsia="en-GB"/>
              </w:rPr>
            </w:pPr>
            <w:r w:rsidRPr="000119E5">
              <w:rPr>
                <w:rFonts w:cs="Arial"/>
                <w:color w:val="FFFFFF"/>
                <w:lang w:eastAsia="en-GB"/>
              </w:rPr>
              <w:t> </w:t>
            </w:r>
          </w:p>
        </w:tc>
        <w:tc>
          <w:tcPr>
            <w:tcW w:w="1196" w:type="dxa"/>
            <w:tcBorders>
              <w:top w:val="single" w:sz="8" w:space="0" w:color="auto"/>
              <w:left w:val="nil"/>
              <w:bottom w:val="nil"/>
              <w:right w:val="nil"/>
            </w:tcBorders>
            <w:shd w:val="clear" w:color="000000" w:fill="000000"/>
            <w:noWrap/>
            <w:vAlign w:val="center"/>
            <w:hideMark/>
          </w:tcPr>
          <w:p w14:paraId="2999610A" w14:textId="77777777" w:rsidR="000119E5" w:rsidRPr="000119E5" w:rsidRDefault="000119E5" w:rsidP="000119E5">
            <w:pPr>
              <w:rPr>
                <w:rFonts w:cs="Arial"/>
                <w:b/>
                <w:bCs/>
                <w:color w:val="FFFFFF"/>
                <w:lang w:eastAsia="en-GB"/>
              </w:rPr>
            </w:pPr>
            <w:r w:rsidRPr="000119E5">
              <w:rPr>
                <w:rFonts w:cs="Arial"/>
                <w:b/>
                <w:bCs/>
                <w:color w:val="FFFFFF"/>
                <w:lang w:eastAsia="en-GB"/>
              </w:rPr>
              <w:t> </w:t>
            </w:r>
          </w:p>
        </w:tc>
        <w:tc>
          <w:tcPr>
            <w:tcW w:w="3776" w:type="dxa"/>
            <w:tcBorders>
              <w:top w:val="single" w:sz="8" w:space="0" w:color="auto"/>
              <w:left w:val="nil"/>
              <w:bottom w:val="nil"/>
              <w:right w:val="nil"/>
            </w:tcBorders>
            <w:shd w:val="clear" w:color="000000" w:fill="000000"/>
            <w:noWrap/>
            <w:vAlign w:val="center"/>
            <w:hideMark/>
          </w:tcPr>
          <w:p w14:paraId="7C2C9349" w14:textId="77777777" w:rsidR="000119E5" w:rsidRPr="000119E5" w:rsidRDefault="000119E5" w:rsidP="000119E5">
            <w:pPr>
              <w:rPr>
                <w:rFonts w:cs="Arial"/>
                <w:color w:val="FFFFFF"/>
                <w:lang w:eastAsia="en-GB"/>
              </w:rPr>
            </w:pPr>
            <w:r w:rsidRPr="000119E5">
              <w:rPr>
                <w:rFonts w:cs="Arial"/>
                <w:color w:val="FFFFFF"/>
                <w:lang w:eastAsia="en-GB"/>
              </w:rPr>
              <w:t> </w:t>
            </w:r>
          </w:p>
        </w:tc>
        <w:tc>
          <w:tcPr>
            <w:tcW w:w="976" w:type="dxa"/>
            <w:tcBorders>
              <w:top w:val="single" w:sz="8" w:space="0" w:color="auto"/>
              <w:left w:val="nil"/>
              <w:bottom w:val="nil"/>
              <w:right w:val="nil"/>
            </w:tcBorders>
            <w:shd w:val="clear" w:color="000000" w:fill="000000"/>
            <w:noWrap/>
            <w:vAlign w:val="center"/>
            <w:hideMark/>
          </w:tcPr>
          <w:p w14:paraId="551B4720" w14:textId="77777777" w:rsidR="000119E5" w:rsidRPr="000119E5" w:rsidRDefault="000119E5" w:rsidP="000119E5">
            <w:pPr>
              <w:jc w:val="center"/>
              <w:rPr>
                <w:rFonts w:cs="Arial"/>
                <w:b/>
                <w:bCs/>
                <w:color w:val="FFFFFF"/>
                <w:sz w:val="22"/>
                <w:szCs w:val="22"/>
                <w:lang w:eastAsia="en-GB"/>
              </w:rPr>
            </w:pPr>
            <w:r w:rsidRPr="000119E5">
              <w:rPr>
                <w:rFonts w:cs="Arial"/>
                <w:b/>
                <w:bCs/>
                <w:color w:val="FFFFFF"/>
                <w:sz w:val="22"/>
                <w:szCs w:val="22"/>
                <w:lang w:eastAsia="en-GB"/>
              </w:rPr>
              <w:t>2021/22</w:t>
            </w:r>
          </w:p>
        </w:tc>
        <w:tc>
          <w:tcPr>
            <w:tcW w:w="976" w:type="dxa"/>
            <w:tcBorders>
              <w:top w:val="single" w:sz="8" w:space="0" w:color="auto"/>
              <w:left w:val="nil"/>
              <w:bottom w:val="nil"/>
              <w:right w:val="nil"/>
            </w:tcBorders>
            <w:shd w:val="clear" w:color="000000" w:fill="000000"/>
            <w:noWrap/>
            <w:vAlign w:val="center"/>
            <w:hideMark/>
          </w:tcPr>
          <w:p w14:paraId="12847291" w14:textId="77777777" w:rsidR="000119E5" w:rsidRPr="000119E5" w:rsidRDefault="000119E5" w:rsidP="000119E5">
            <w:pPr>
              <w:jc w:val="center"/>
              <w:rPr>
                <w:rFonts w:cs="Arial"/>
                <w:b/>
                <w:bCs/>
                <w:color w:val="FFFFFF"/>
                <w:sz w:val="22"/>
                <w:szCs w:val="22"/>
                <w:lang w:eastAsia="en-GB"/>
              </w:rPr>
            </w:pPr>
            <w:r w:rsidRPr="000119E5">
              <w:rPr>
                <w:rFonts w:cs="Arial"/>
                <w:b/>
                <w:bCs/>
                <w:color w:val="FFFFFF"/>
                <w:sz w:val="22"/>
                <w:szCs w:val="22"/>
                <w:lang w:eastAsia="en-GB"/>
              </w:rPr>
              <w:t>2022/23</w:t>
            </w:r>
          </w:p>
        </w:tc>
        <w:tc>
          <w:tcPr>
            <w:tcW w:w="968" w:type="dxa"/>
            <w:tcBorders>
              <w:top w:val="single" w:sz="8" w:space="0" w:color="auto"/>
              <w:left w:val="nil"/>
              <w:bottom w:val="nil"/>
              <w:right w:val="single" w:sz="8" w:space="0" w:color="auto"/>
            </w:tcBorders>
            <w:shd w:val="clear" w:color="000000" w:fill="000000"/>
            <w:noWrap/>
            <w:vAlign w:val="center"/>
            <w:hideMark/>
          </w:tcPr>
          <w:p w14:paraId="7E2BD347" w14:textId="77777777" w:rsidR="000119E5" w:rsidRPr="000119E5" w:rsidRDefault="000119E5" w:rsidP="000119E5">
            <w:pPr>
              <w:rPr>
                <w:rFonts w:cs="Arial"/>
                <w:color w:val="FFFFFF"/>
                <w:lang w:eastAsia="en-GB"/>
              </w:rPr>
            </w:pPr>
            <w:r w:rsidRPr="000119E5">
              <w:rPr>
                <w:rFonts w:cs="Arial"/>
                <w:color w:val="FFFFFF"/>
                <w:lang w:eastAsia="en-GB"/>
              </w:rPr>
              <w:t> </w:t>
            </w:r>
          </w:p>
        </w:tc>
      </w:tr>
      <w:tr w:rsidR="000119E5" w:rsidRPr="000119E5" w14:paraId="38724728" w14:textId="77777777" w:rsidTr="000119E5">
        <w:trPr>
          <w:trHeight w:val="290"/>
        </w:trPr>
        <w:tc>
          <w:tcPr>
            <w:tcW w:w="1008" w:type="dxa"/>
            <w:tcBorders>
              <w:top w:val="nil"/>
              <w:left w:val="single" w:sz="8" w:space="0" w:color="auto"/>
              <w:bottom w:val="nil"/>
              <w:right w:val="nil"/>
            </w:tcBorders>
            <w:shd w:val="clear" w:color="000000" w:fill="000000"/>
            <w:noWrap/>
            <w:vAlign w:val="center"/>
            <w:hideMark/>
          </w:tcPr>
          <w:p w14:paraId="4D0E2BAD" w14:textId="77777777" w:rsidR="000119E5" w:rsidRPr="000119E5" w:rsidRDefault="000119E5" w:rsidP="000119E5">
            <w:pPr>
              <w:rPr>
                <w:rFonts w:cs="Arial"/>
                <w:color w:val="FFFFFF"/>
                <w:lang w:eastAsia="en-GB"/>
              </w:rPr>
            </w:pPr>
            <w:r w:rsidRPr="000119E5">
              <w:rPr>
                <w:rFonts w:cs="Arial"/>
                <w:color w:val="FFFFFF"/>
                <w:lang w:eastAsia="en-GB"/>
              </w:rPr>
              <w:t> </w:t>
            </w:r>
          </w:p>
        </w:tc>
        <w:tc>
          <w:tcPr>
            <w:tcW w:w="1196" w:type="dxa"/>
            <w:tcBorders>
              <w:top w:val="nil"/>
              <w:left w:val="nil"/>
              <w:bottom w:val="nil"/>
              <w:right w:val="nil"/>
            </w:tcBorders>
            <w:shd w:val="clear" w:color="000000" w:fill="000000"/>
            <w:noWrap/>
            <w:vAlign w:val="center"/>
            <w:hideMark/>
          </w:tcPr>
          <w:p w14:paraId="33AE6F21" w14:textId="77777777" w:rsidR="000119E5" w:rsidRPr="000119E5" w:rsidRDefault="000119E5" w:rsidP="000119E5">
            <w:pPr>
              <w:rPr>
                <w:rFonts w:cs="Arial"/>
                <w:b/>
                <w:bCs/>
                <w:color w:val="FFFFFF"/>
                <w:lang w:eastAsia="en-GB"/>
              </w:rPr>
            </w:pPr>
            <w:r w:rsidRPr="000119E5">
              <w:rPr>
                <w:rFonts w:cs="Arial"/>
                <w:b/>
                <w:bCs/>
                <w:color w:val="FFFFFF"/>
                <w:lang w:eastAsia="en-GB"/>
              </w:rPr>
              <w:t> </w:t>
            </w:r>
          </w:p>
        </w:tc>
        <w:tc>
          <w:tcPr>
            <w:tcW w:w="3776" w:type="dxa"/>
            <w:tcBorders>
              <w:top w:val="nil"/>
              <w:left w:val="nil"/>
              <w:bottom w:val="nil"/>
              <w:right w:val="nil"/>
            </w:tcBorders>
            <w:shd w:val="clear" w:color="000000" w:fill="000000"/>
            <w:noWrap/>
            <w:vAlign w:val="center"/>
            <w:hideMark/>
          </w:tcPr>
          <w:p w14:paraId="45EA1250" w14:textId="77777777" w:rsidR="000119E5" w:rsidRPr="000119E5" w:rsidRDefault="000119E5" w:rsidP="000119E5">
            <w:pPr>
              <w:rPr>
                <w:rFonts w:cs="Arial"/>
                <w:color w:val="FFFFFF"/>
                <w:lang w:eastAsia="en-GB"/>
              </w:rPr>
            </w:pPr>
            <w:r w:rsidRPr="000119E5">
              <w:rPr>
                <w:rFonts w:cs="Arial"/>
                <w:color w:val="FFFFFF"/>
                <w:lang w:eastAsia="en-GB"/>
              </w:rPr>
              <w:t> </w:t>
            </w:r>
          </w:p>
        </w:tc>
        <w:tc>
          <w:tcPr>
            <w:tcW w:w="976" w:type="dxa"/>
            <w:tcBorders>
              <w:top w:val="nil"/>
              <w:left w:val="nil"/>
              <w:bottom w:val="nil"/>
              <w:right w:val="nil"/>
            </w:tcBorders>
            <w:shd w:val="clear" w:color="000000" w:fill="000000"/>
            <w:noWrap/>
            <w:vAlign w:val="center"/>
            <w:hideMark/>
          </w:tcPr>
          <w:p w14:paraId="3FCD7249" w14:textId="77777777" w:rsidR="000119E5" w:rsidRPr="000119E5" w:rsidRDefault="000119E5" w:rsidP="000119E5">
            <w:pPr>
              <w:jc w:val="center"/>
              <w:rPr>
                <w:rFonts w:cs="Arial"/>
                <w:b/>
                <w:bCs/>
                <w:color w:val="FFFFFF"/>
                <w:sz w:val="22"/>
                <w:szCs w:val="22"/>
                <w:lang w:eastAsia="en-GB"/>
              </w:rPr>
            </w:pPr>
            <w:r w:rsidRPr="000119E5">
              <w:rPr>
                <w:rFonts w:cs="Arial"/>
                <w:b/>
                <w:bCs/>
                <w:color w:val="FFFFFF"/>
                <w:sz w:val="22"/>
                <w:szCs w:val="22"/>
                <w:lang w:eastAsia="en-GB"/>
              </w:rPr>
              <w:t>£000s</w:t>
            </w:r>
          </w:p>
        </w:tc>
        <w:tc>
          <w:tcPr>
            <w:tcW w:w="976" w:type="dxa"/>
            <w:tcBorders>
              <w:top w:val="nil"/>
              <w:left w:val="nil"/>
              <w:bottom w:val="nil"/>
              <w:right w:val="nil"/>
            </w:tcBorders>
            <w:shd w:val="clear" w:color="000000" w:fill="000000"/>
            <w:noWrap/>
            <w:vAlign w:val="center"/>
            <w:hideMark/>
          </w:tcPr>
          <w:p w14:paraId="47A63196" w14:textId="77777777" w:rsidR="000119E5" w:rsidRPr="000119E5" w:rsidRDefault="000119E5" w:rsidP="000119E5">
            <w:pPr>
              <w:jc w:val="center"/>
              <w:rPr>
                <w:rFonts w:cs="Arial"/>
                <w:b/>
                <w:bCs/>
                <w:color w:val="FFFFFF"/>
                <w:sz w:val="22"/>
                <w:szCs w:val="22"/>
                <w:lang w:eastAsia="en-GB"/>
              </w:rPr>
            </w:pPr>
            <w:r w:rsidRPr="000119E5">
              <w:rPr>
                <w:rFonts w:cs="Arial"/>
                <w:b/>
                <w:bCs/>
                <w:color w:val="FFFFFF"/>
                <w:sz w:val="22"/>
                <w:szCs w:val="22"/>
                <w:lang w:eastAsia="en-GB"/>
              </w:rPr>
              <w:t>£000s</w:t>
            </w:r>
          </w:p>
        </w:tc>
        <w:tc>
          <w:tcPr>
            <w:tcW w:w="968" w:type="dxa"/>
            <w:tcBorders>
              <w:top w:val="nil"/>
              <w:left w:val="nil"/>
              <w:bottom w:val="nil"/>
              <w:right w:val="single" w:sz="8" w:space="0" w:color="auto"/>
            </w:tcBorders>
            <w:shd w:val="clear" w:color="000000" w:fill="000000"/>
            <w:noWrap/>
            <w:vAlign w:val="center"/>
            <w:hideMark/>
          </w:tcPr>
          <w:p w14:paraId="4DC923E1" w14:textId="77777777" w:rsidR="000119E5" w:rsidRPr="000119E5" w:rsidRDefault="000119E5" w:rsidP="000119E5">
            <w:pPr>
              <w:rPr>
                <w:rFonts w:cs="Arial"/>
                <w:color w:val="FFFFFF"/>
                <w:lang w:eastAsia="en-GB"/>
              </w:rPr>
            </w:pPr>
            <w:r w:rsidRPr="000119E5">
              <w:rPr>
                <w:rFonts w:cs="Arial"/>
                <w:color w:val="FFFFFF"/>
                <w:lang w:eastAsia="en-GB"/>
              </w:rPr>
              <w:t> </w:t>
            </w:r>
          </w:p>
        </w:tc>
      </w:tr>
      <w:tr w:rsidR="000119E5" w:rsidRPr="000119E5" w14:paraId="2B8ED7E1"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132089E6"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6256F127"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3C6E52A4"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nil"/>
              <w:left w:val="nil"/>
              <w:bottom w:val="nil"/>
              <w:right w:val="nil"/>
            </w:tcBorders>
            <w:shd w:val="clear" w:color="000000" w:fill="FFFFFF"/>
            <w:noWrap/>
            <w:vAlign w:val="center"/>
            <w:hideMark/>
          </w:tcPr>
          <w:p w14:paraId="6F651F83"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nil"/>
              <w:left w:val="nil"/>
              <w:bottom w:val="nil"/>
              <w:right w:val="nil"/>
            </w:tcBorders>
            <w:shd w:val="clear" w:color="000000" w:fill="FFFFFF"/>
            <w:noWrap/>
            <w:vAlign w:val="center"/>
            <w:hideMark/>
          </w:tcPr>
          <w:p w14:paraId="1576DECD"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68" w:type="dxa"/>
            <w:tcBorders>
              <w:top w:val="nil"/>
              <w:left w:val="nil"/>
              <w:bottom w:val="nil"/>
              <w:right w:val="single" w:sz="8" w:space="0" w:color="auto"/>
            </w:tcBorders>
            <w:shd w:val="clear" w:color="000000" w:fill="FFFFFF"/>
            <w:noWrap/>
            <w:vAlign w:val="center"/>
            <w:hideMark/>
          </w:tcPr>
          <w:p w14:paraId="0C4E1BD8"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7ABD44B7"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21FCA53D"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4972" w:type="dxa"/>
            <w:gridSpan w:val="2"/>
            <w:tcBorders>
              <w:top w:val="nil"/>
              <w:left w:val="nil"/>
              <w:bottom w:val="nil"/>
              <w:right w:val="nil"/>
            </w:tcBorders>
            <w:shd w:val="clear" w:color="000000" w:fill="FFFFFF"/>
            <w:noWrap/>
            <w:vAlign w:val="center"/>
            <w:hideMark/>
          </w:tcPr>
          <w:p w14:paraId="745BC81C"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Land and Buildings</w:t>
            </w:r>
          </w:p>
        </w:tc>
        <w:tc>
          <w:tcPr>
            <w:tcW w:w="976" w:type="dxa"/>
            <w:tcBorders>
              <w:top w:val="nil"/>
              <w:left w:val="nil"/>
              <w:bottom w:val="nil"/>
              <w:right w:val="nil"/>
            </w:tcBorders>
            <w:shd w:val="clear" w:color="000000" w:fill="FFFFFF"/>
            <w:noWrap/>
            <w:vAlign w:val="center"/>
            <w:hideMark/>
          </w:tcPr>
          <w:p w14:paraId="0018C7CC"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nil"/>
              <w:left w:val="nil"/>
              <w:bottom w:val="nil"/>
              <w:right w:val="nil"/>
            </w:tcBorders>
            <w:shd w:val="clear" w:color="000000" w:fill="FFFFFF"/>
            <w:noWrap/>
            <w:vAlign w:val="center"/>
            <w:hideMark/>
          </w:tcPr>
          <w:p w14:paraId="51B586B2"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68" w:type="dxa"/>
            <w:tcBorders>
              <w:top w:val="nil"/>
              <w:left w:val="nil"/>
              <w:bottom w:val="nil"/>
              <w:right w:val="single" w:sz="8" w:space="0" w:color="auto"/>
            </w:tcBorders>
            <w:shd w:val="clear" w:color="000000" w:fill="FFFFFF"/>
            <w:noWrap/>
            <w:vAlign w:val="center"/>
            <w:hideMark/>
          </w:tcPr>
          <w:p w14:paraId="3BFD2D3D"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5F2D04FB"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4A020C3A"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4B9BEEB4"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38213CDE"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Information Centre works</w:t>
            </w:r>
          </w:p>
        </w:tc>
        <w:tc>
          <w:tcPr>
            <w:tcW w:w="976" w:type="dxa"/>
            <w:tcBorders>
              <w:top w:val="nil"/>
              <w:left w:val="nil"/>
              <w:bottom w:val="nil"/>
              <w:right w:val="nil"/>
            </w:tcBorders>
            <w:shd w:val="clear" w:color="000000" w:fill="FFFFFF"/>
            <w:noWrap/>
            <w:vAlign w:val="center"/>
            <w:hideMark/>
          </w:tcPr>
          <w:p w14:paraId="6E28E371"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0</w:t>
            </w:r>
          </w:p>
        </w:tc>
        <w:tc>
          <w:tcPr>
            <w:tcW w:w="976" w:type="dxa"/>
            <w:tcBorders>
              <w:top w:val="nil"/>
              <w:left w:val="nil"/>
              <w:bottom w:val="nil"/>
              <w:right w:val="nil"/>
            </w:tcBorders>
            <w:shd w:val="clear" w:color="000000" w:fill="FFFFFF"/>
            <w:noWrap/>
            <w:vAlign w:val="center"/>
            <w:hideMark/>
          </w:tcPr>
          <w:p w14:paraId="31AA5B3D"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44</w:t>
            </w:r>
          </w:p>
        </w:tc>
        <w:tc>
          <w:tcPr>
            <w:tcW w:w="968" w:type="dxa"/>
            <w:tcBorders>
              <w:top w:val="nil"/>
              <w:left w:val="nil"/>
              <w:bottom w:val="nil"/>
              <w:right w:val="single" w:sz="8" w:space="0" w:color="auto"/>
            </w:tcBorders>
            <w:shd w:val="clear" w:color="000000" w:fill="FFFFFF"/>
            <w:noWrap/>
            <w:vAlign w:val="center"/>
            <w:hideMark/>
          </w:tcPr>
          <w:p w14:paraId="6F7B104B"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0BD3411E"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5D24F536"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6DE00543"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4636C3B7" w14:textId="77777777" w:rsidR="000119E5" w:rsidRPr="000119E5" w:rsidRDefault="000119E5" w:rsidP="000119E5">
            <w:pPr>
              <w:rPr>
                <w:rFonts w:cs="Arial"/>
                <w:color w:val="000000"/>
                <w:sz w:val="22"/>
                <w:szCs w:val="22"/>
                <w:lang w:eastAsia="en-GB"/>
              </w:rPr>
            </w:pPr>
            <w:proofErr w:type="spellStart"/>
            <w:r w:rsidRPr="000119E5">
              <w:rPr>
                <w:rFonts w:cs="Arial"/>
                <w:color w:val="000000"/>
                <w:sz w:val="22"/>
                <w:szCs w:val="22"/>
                <w:lang w:eastAsia="en-GB"/>
              </w:rPr>
              <w:t>Brockhole</w:t>
            </w:r>
            <w:proofErr w:type="spellEnd"/>
            <w:r w:rsidRPr="000119E5">
              <w:rPr>
                <w:rFonts w:cs="Arial"/>
                <w:color w:val="000000"/>
                <w:sz w:val="22"/>
                <w:szCs w:val="22"/>
                <w:lang w:eastAsia="en-GB"/>
              </w:rPr>
              <w:t xml:space="preserve"> Improvements</w:t>
            </w:r>
          </w:p>
        </w:tc>
        <w:tc>
          <w:tcPr>
            <w:tcW w:w="976" w:type="dxa"/>
            <w:tcBorders>
              <w:top w:val="nil"/>
              <w:left w:val="nil"/>
              <w:bottom w:val="nil"/>
              <w:right w:val="nil"/>
            </w:tcBorders>
            <w:shd w:val="clear" w:color="000000" w:fill="FFFFFF"/>
            <w:noWrap/>
            <w:vAlign w:val="center"/>
            <w:hideMark/>
          </w:tcPr>
          <w:p w14:paraId="3DFF1E5E"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208</w:t>
            </w:r>
          </w:p>
        </w:tc>
        <w:tc>
          <w:tcPr>
            <w:tcW w:w="976" w:type="dxa"/>
            <w:tcBorders>
              <w:top w:val="nil"/>
              <w:left w:val="nil"/>
              <w:bottom w:val="nil"/>
              <w:right w:val="nil"/>
            </w:tcBorders>
            <w:shd w:val="clear" w:color="000000" w:fill="FFFFFF"/>
            <w:noWrap/>
            <w:vAlign w:val="center"/>
            <w:hideMark/>
          </w:tcPr>
          <w:p w14:paraId="7F3CE2A6"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216</w:t>
            </w:r>
          </w:p>
        </w:tc>
        <w:tc>
          <w:tcPr>
            <w:tcW w:w="968" w:type="dxa"/>
            <w:tcBorders>
              <w:top w:val="nil"/>
              <w:left w:val="nil"/>
              <w:bottom w:val="nil"/>
              <w:right w:val="single" w:sz="8" w:space="0" w:color="auto"/>
            </w:tcBorders>
            <w:shd w:val="clear" w:color="000000" w:fill="FFFFFF"/>
            <w:noWrap/>
            <w:vAlign w:val="center"/>
            <w:hideMark/>
          </w:tcPr>
          <w:p w14:paraId="5DCFE6B9"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69A9B27A"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4275E3AE"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3FAC6480"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5398579E"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Depot works</w:t>
            </w:r>
          </w:p>
        </w:tc>
        <w:tc>
          <w:tcPr>
            <w:tcW w:w="976" w:type="dxa"/>
            <w:tcBorders>
              <w:top w:val="nil"/>
              <w:left w:val="nil"/>
              <w:bottom w:val="nil"/>
              <w:right w:val="nil"/>
            </w:tcBorders>
            <w:shd w:val="clear" w:color="000000" w:fill="FFFFFF"/>
            <w:noWrap/>
            <w:vAlign w:val="center"/>
            <w:hideMark/>
          </w:tcPr>
          <w:p w14:paraId="16662F6D"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0</w:t>
            </w:r>
          </w:p>
        </w:tc>
        <w:tc>
          <w:tcPr>
            <w:tcW w:w="976" w:type="dxa"/>
            <w:tcBorders>
              <w:top w:val="nil"/>
              <w:left w:val="nil"/>
              <w:bottom w:val="nil"/>
              <w:right w:val="nil"/>
            </w:tcBorders>
            <w:shd w:val="clear" w:color="000000" w:fill="FFFFFF"/>
            <w:noWrap/>
            <w:vAlign w:val="center"/>
            <w:hideMark/>
          </w:tcPr>
          <w:p w14:paraId="69363912"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28</w:t>
            </w:r>
          </w:p>
        </w:tc>
        <w:tc>
          <w:tcPr>
            <w:tcW w:w="968" w:type="dxa"/>
            <w:tcBorders>
              <w:top w:val="nil"/>
              <w:left w:val="nil"/>
              <w:bottom w:val="nil"/>
              <w:right w:val="single" w:sz="8" w:space="0" w:color="auto"/>
            </w:tcBorders>
            <w:shd w:val="clear" w:color="000000" w:fill="FFFFFF"/>
            <w:noWrap/>
            <w:vAlign w:val="center"/>
            <w:hideMark/>
          </w:tcPr>
          <w:p w14:paraId="60384486"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618C6DEF"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2E30DE71"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23D27303"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5B930B63" w14:textId="77777777" w:rsidR="000119E5" w:rsidRPr="000119E5" w:rsidRDefault="000119E5" w:rsidP="000119E5">
            <w:pPr>
              <w:rPr>
                <w:rFonts w:cs="Arial"/>
                <w:color w:val="000000"/>
                <w:sz w:val="22"/>
                <w:szCs w:val="22"/>
                <w:lang w:eastAsia="en-GB"/>
              </w:rPr>
            </w:pPr>
            <w:proofErr w:type="spellStart"/>
            <w:r w:rsidRPr="000119E5">
              <w:rPr>
                <w:rFonts w:cs="Arial"/>
                <w:color w:val="000000"/>
                <w:sz w:val="22"/>
                <w:szCs w:val="22"/>
                <w:lang w:eastAsia="en-GB"/>
              </w:rPr>
              <w:t>Murley</w:t>
            </w:r>
            <w:proofErr w:type="spellEnd"/>
            <w:r w:rsidRPr="000119E5">
              <w:rPr>
                <w:rFonts w:cs="Arial"/>
                <w:color w:val="000000"/>
                <w:sz w:val="22"/>
                <w:szCs w:val="22"/>
                <w:lang w:eastAsia="en-GB"/>
              </w:rPr>
              <w:t xml:space="preserve"> Moss</w:t>
            </w:r>
          </w:p>
        </w:tc>
        <w:tc>
          <w:tcPr>
            <w:tcW w:w="976" w:type="dxa"/>
            <w:tcBorders>
              <w:top w:val="nil"/>
              <w:left w:val="nil"/>
              <w:bottom w:val="nil"/>
              <w:right w:val="nil"/>
            </w:tcBorders>
            <w:shd w:val="clear" w:color="000000" w:fill="FFFFFF"/>
            <w:noWrap/>
            <w:vAlign w:val="center"/>
            <w:hideMark/>
          </w:tcPr>
          <w:p w14:paraId="3328B1E1"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121</w:t>
            </w:r>
          </w:p>
        </w:tc>
        <w:tc>
          <w:tcPr>
            <w:tcW w:w="976" w:type="dxa"/>
            <w:tcBorders>
              <w:top w:val="nil"/>
              <w:left w:val="nil"/>
              <w:bottom w:val="nil"/>
              <w:right w:val="nil"/>
            </w:tcBorders>
            <w:shd w:val="clear" w:color="000000" w:fill="FFFFFF"/>
            <w:noWrap/>
            <w:vAlign w:val="center"/>
            <w:hideMark/>
          </w:tcPr>
          <w:p w14:paraId="3B3CC135"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0</w:t>
            </w:r>
          </w:p>
        </w:tc>
        <w:tc>
          <w:tcPr>
            <w:tcW w:w="968" w:type="dxa"/>
            <w:tcBorders>
              <w:top w:val="nil"/>
              <w:left w:val="nil"/>
              <w:bottom w:val="nil"/>
              <w:right w:val="single" w:sz="8" w:space="0" w:color="auto"/>
            </w:tcBorders>
            <w:shd w:val="clear" w:color="000000" w:fill="FFFFFF"/>
            <w:noWrap/>
            <w:vAlign w:val="center"/>
            <w:hideMark/>
          </w:tcPr>
          <w:p w14:paraId="24CCD823"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49C9C895" w14:textId="77777777" w:rsidTr="000119E5">
        <w:trPr>
          <w:trHeight w:val="300"/>
        </w:trPr>
        <w:tc>
          <w:tcPr>
            <w:tcW w:w="1008" w:type="dxa"/>
            <w:tcBorders>
              <w:top w:val="nil"/>
              <w:left w:val="single" w:sz="8" w:space="0" w:color="auto"/>
              <w:bottom w:val="nil"/>
              <w:right w:val="nil"/>
            </w:tcBorders>
            <w:shd w:val="clear" w:color="000000" w:fill="FFFFFF"/>
            <w:noWrap/>
            <w:vAlign w:val="center"/>
            <w:hideMark/>
          </w:tcPr>
          <w:p w14:paraId="63626501"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50C9C8E1"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682C40B2"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Car Parks</w:t>
            </w:r>
          </w:p>
        </w:tc>
        <w:tc>
          <w:tcPr>
            <w:tcW w:w="976" w:type="dxa"/>
            <w:tcBorders>
              <w:top w:val="nil"/>
              <w:left w:val="nil"/>
              <w:bottom w:val="nil"/>
              <w:right w:val="nil"/>
            </w:tcBorders>
            <w:shd w:val="clear" w:color="000000" w:fill="FFFFFF"/>
            <w:noWrap/>
            <w:vAlign w:val="center"/>
            <w:hideMark/>
          </w:tcPr>
          <w:p w14:paraId="04BAC828"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8</w:t>
            </w:r>
          </w:p>
        </w:tc>
        <w:tc>
          <w:tcPr>
            <w:tcW w:w="976" w:type="dxa"/>
            <w:tcBorders>
              <w:top w:val="nil"/>
              <w:left w:val="nil"/>
              <w:bottom w:val="nil"/>
              <w:right w:val="nil"/>
            </w:tcBorders>
            <w:shd w:val="clear" w:color="000000" w:fill="FFFFFF"/>
            <w:noWrap/>
            <w:vAlign w:val="center"/>
            <w:hideMark/>
          </w:tcPr>
          <w:p w14:paraId="0C9D51B2"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0</w:t>
            </w:r>
          </w:p>
        </w:tc>
        <w:tc>
          <w:tcPr>
            <w:tcW w:w="968" w:type="dxa"/>
            <w:tcBorders>
              <w:top w:val="nil"/>
              <w:left w:val="nil"/>
              <w:bottom w:val="nil"/>
              <w:right w:val="single" w:sz="8" w:space="0" w:color="auto"/>
            </w:tcBorders>
            <w:shd w:val="clear" w:color="000000" w:fill="FFFFFF"/>
            <w:noWrap/>
            <w:vAlign w:val="center"/>
            <w:hideMark/>
          </w:tcPr>
          <w:p w14:paraId="0A53BEC2"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09ACCEE3"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5D20C721"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4D84365F"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6426BE3D"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single" w:sz="8" w:space="0" w:color="auto"/>
              <w:left w:val="nil"/>
              <w:bottom w:val="nil"/>
              <w:right w:val="nil"/>
            </w:tcBorders>
            <w:shd w:val="clear" w:color="000000" w:fill="FFFFFF"/>
            <w:noWrap/>
            <w:vAlign w:val="center"/>
            <w:hideMark/>
          </w:tcPr>
          <w:p w14:paraId="3D5D214C"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337</w:t>
            </w:r>
          </w:p>
        </w:tc>
        <w:tc>
          <w:tcPr>
            <w:tcW w:w="976" w:type="dxa"/>
            <w:tcBorders>
              <w:top w:val="single" w:sz="8" w:space="0" w:color="auto"/>
              <w:left w:val="nil"/>
              <w:bottom w:val="nil"/>
              <w:right w:val="nil"/>
            </w:tcBorders>
            <w:shd w:val="clear" w:color="000000" w:fill="FFFFFF"/>
            <w:noWrap/>
            <w:vAlign w:val="center"/>
            <w:hideMark/>
          </w:tcPr>
          <w:p w14:paraId="38D3331B"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288</w:t>
            </w:r>
          </w:p>
        </w:tc>
        <w:tc>
          <w:tcPr>
            <w:tcW w:w="968" w:type="dxa"/>
            <w:tcBorders>
              <w:top w:val="nil"/>
              <w:left w:val="nil"/>
              <w:bottom w:val="nil"/>
              <w:right w:val="single" w:sz="8" w:space="0" w:color="auto"/>
            </w:tcBorders>
            <w:shd w:val="clear" w:color="000000" w:fill="FFFFFF"/>
            <w:noWrap/>
            <w:vAlign w:val="center"/>
            <w:hideMark/>
          </w:tcPr>
          <w:p w14:paraId="195C6C20"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4F9E9690"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458983FA"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4972" w:type="dxa"/>
            <w:gridSpan w:val="2"/>
            <w:tcBorders>
              <w:top w:val="nil"/>
              <w:left w:val="nil"/>
              <w:bottom w:val="nil"/>
              <w:right w:val="nil"/>
            </w:tcBorders>
            <w:shd w:val="clear" w:color="000000" w:fill="FFFFFF"/>
            <w:noWrap/>
            <w:vAlign w:val="center"/>
            <w:hideMark/>
          </w:tcPr>
          <w:p w14:paraId="4798D96C"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Investment Properties</w:t>
            </w:r>
          </w:p>
        </w:tc>
        <w:tc>
          <w:tcPr>
            <w:tcW w:w="976" w:type="dxa"/>
            <w:tcBorders>
              <w:top w:val="nil"/>
              <w:left w:val="nil"/>
              <w:bottom w:val="nil"/>
              <w:right w:val="nil"/>
            </w:tcBorders>
            <w:shd w:val="clear" w:color="000000" w:fill="FFFFFF"/>
            <w:noWrap/>
            <w:vAlign w:val="center"/>
            <w:hideMark/>
          </w:tcPr>
          <w:p w14:paraId="4DD9E8A3"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nil"/>
              <w:left w:val="nil"/>
              <w:bottom w:val="nil"/>
              <w:right w:val="nil"/>
            </w:tcBorders>
            <w:shd w:val="clear" w:color="000000" w:fill="FFFFFF"/>
            <w:noWrap/>
            <w:vAlign w:val="center"/>
            <w:hideMark/>
          </w:tcPr>
          <w:p w14:paraId="3BBE9E57"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68" w:type="dxa"/>
            <w:tcBorders>
              <w:top w:val="nil"/>
              <w:left w:val="nil"/>
              <w:bottom w:val="nil"/>
              <w:right w:val="single" w:sz="8" w:space="0" w:color="auto"/>
            </w:tcBorders>
            <w:shd w:val="clear" w:color="000000" w:fill="FFFFFF"/>
            <w:noWrap/>
            <w:vAlign w:val="center"/>
            <w:hideMark/>
          </w:tcPr>
          <w:p w14:paraId="1ACD4361"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205B6F7F" w14:textId="77777777" w:rsidTr="000119E5">
        <w:trPr>
          <w:trHeight w:val="300"/>
        </w:trPr>
        <w:tc>
          <w:tcPr>
            <w:tcW w:w="1008" w:type="dxa"/>
            <w:tcBorders>
              <w:top w:val="nil"/>
              <w:left w:val="single" w:sz="8" w:space="0" w:color="auto"/>
              <w:bottom w:val="nil"/>
              <w:right w:val="nil"/>
            </w:tcBorders>
            <w:shd w:val="clear" w:color="000000" w:fill="FFFFFF"/>
            <w:noWrap/>
            <w:vAlign w:val="center"/>
            <w:hideMark/>
          </w:tcPr>
          <w:p w14:paraId="1202E03E"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13615A68"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18D5FDE2" w14:textId="77777777" w:rsidR="000119E5" w:rsidRPr="000119E5" w:rsidRDefault="000119E5" w:rsidP="000119E5">
            <w:pPr>
              <w:rPr>
                <w:rFonts w:cs="Arial"/>
                <w:color w:val="000000"/>
                <w:sz w:val="22"/>
                <w:szCs w:val="22"/>
                <w:lang w:eastAsia="en-GB"/>
              </w:rPr>
            </w:pPr>
            <w:proofErr w:type="spellStart"/>
            <w:r w:rsidRPr="000119E5">
              <w:rPr>
                <w:rFonts w:cs="Arial"/>
                <w:color w:val="000000"/>
                <w:sz w:val="22"/>
                <w:szCs w:val="22"/>
                <w:lang w:eastAsia="en-GB"/>
              </w:rPr>
              <w:t>Haverthwaite</w:t>
            </w:r>
            <w:proofErr w:type="spellEnd"/>
            <w:r w:rsidRPr="000119E5">
              <w:rPr>
                <w:rFonts w:cs="Arial"/>
                <w:color w:val="000000"/>
                <w:sz w:val="22"/>
                <w:szCs w:val="22"/>
                <w:lang w:eastAsia="en-GB"/>
              </w:rPr>
              <w:t xml:space="preserve"> Heights</w:t>
            </w:r>
          </w:p>
        </w:tc>
        <w:tc>
          <w:tcPr>
            <w:tcW w:w="976" w:type="dxa"/>
            <w:tcBorders>
              <w:top w:val="nil"/>
              <w:left w:val="nil"/>
              <w:bottom w:val="nil"/>
              <w:right w:val="nil"/>
            </w:tcBorders>
            <w:shd w:val="clear" w:color="000000" w:fill="FFFFFF"/>
            <w:noWrap/>
            <w:vAlign w:val="center"/>
            <w:hideMark/>
          </w:tcPr>
          <w:p w14:paraId="6479801F"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9</w:t>
            </w:r>
          </w:p>
        </w:tc>
        <w:tc>
          <w:tcPr>
            <w:tcW w:w="976" w:type="dxa"/>
            <w:tcBorders>
              <w:top w:val="nil"/>
              <w:left w:val="nil"/>
              <w:bottom w:val="nil"/>
              <w:right w:val="nil"/>
            </w:tcBorders>
            <w:shd w:val="clear" w:color="000000" w:fill="FFFFFF"/>
            <w:noWrap/>
            <w:vAlign w:val="center"/>
            <w:hideMark/>
          </w:tcPr>
          <w:p w14:paraId="243507DF"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0</w:t>
            </w:r>
          </w:p>
        </w:tc>
        <w:tc>
          <w:tcPr>
            <w:tcW w:w="968" w:type="dxa"/>
            <w:tcBorders>
              <w:top w:val="nil"/>
              <w:left w:val="nil"/>
              <w:bottom w:val="nil"/>
              <w:right w:val="single" w:sz="8" w:space="0" w:color="auto"/>
            </w:tcBorders>
            <w:shd w:val="clear" w:color="000000" w:fill="FFFFFF"/>
            <w:noWrap/>
            <w:vAlign w:val="center"/>
            <w:hideMark/>
          </w:tcPr>
          <w:p w14:paraId="217BAAFD"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4A88C7FE"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6ED12ED4"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69FE7718"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622BCC20"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single" w:sz="8" w:space="0" w:color="auto"/>
              <w:left w:val="nil"/>
              <w:bottom w:val="nil"/>
              <w:right w:val="nil"/>
            </w:tcBorders>
            <w:shd w:val="clear" w:color="000000" w:fill="FFFFFF"/>
            <w:noWrap/>
            <w:vAlign w:val="center"/>
            <w:hideMark/>
          </w:tcPr>
          <w:p w14:paraId="4542E3DB"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9</w:t>
            </w:r>
          </w:p>
        </w:tc>
        <w:tc>
          <w:tcPr>
            <w:tcW w:w="976" w:type="dxa"/>
            <w:tcBorders>
              <w:top w:val="single" w:sz="8" w:space="0" w:color="auto"/>
              <w:left w:val="nil"/>
              <w:bottom w:val="nil"/>
              <w:right w:val="nil"/>
            </w:tcBorders>
            <w:shd w:val="clear" w:color="000000" w:fill="FFFFFF"/>
            <w:noWrap/>
            <w:vAlign w:val="center"/>
            <w:hideMark/>
          </w:tcPr>
          <w:p w14:paraId="322C288B"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0</w:t>
            </w:r>
          </w:p>
        </w:tc>
        <w:tc>
          <w:tcPr>
            <w:tcW w:w="968" w:type="dxa"/>
            <w:tcBorders>
              <w:top w:val="nil"/>
              <w:left w:val="nil"/>
              <w:bottom w:val="nil"/>
              <w:right w:val="single" w:sz="8" w:space="0" w:color="auto"/>
            </w:tcBorders>
            <w:shd w:val="clear" w:color="000000" w:fill="FFFFFF"/>
            <w:noWrap/>
            <w:vAlign w:val="center"/>
            <w:hideMark/>
          </w:tcPr>
          <w:p w14:paraId="631C2A1F"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59566233"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7C6D4837"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4972" w:type="dxa"/>
            <w:gridSpan w:val="2"/>
            <w:tcBorders>
              <w:top w:val="nil"/>
              <w:left w:val="nil"/>
              <w:bottom w:val="nil"/>
              <w:right w:val="nil"/>
            </w:tcBorders>
            <w:shd w:val="clear" w:color="000000" w:fill="FFFFFF"/>
            <w:noWrap/>
            <w:vAlign w:val="center"/>
            <w:hideMark/>
          </w:tcPr>
          <w:p w14:paraId="07786A3C"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Infrastructure &amp; Community</w:t>
            </w:r>
          </w:p>
        </w:tc>
        <w:tc>
          <w:tcPr>
            <w:tcW w:w="976" w:type="dxa"/>
            <w:tcBorders>
              <w:top w:val="nil"/>
              <w:left w:val="nil"/>
              <w:bottom w:val="nil"/>
              <w:right w:val="nil"/>
            </w:tcBorders>
            <w:shd w:val="clear" w:color="000000" w:fill="FFFFFF"/>
            <w:noWrap/>
            <w:vAlign w:val="center"/>
            <w:hideMark/>
          </w:tcPr>
          <w:p w14:paraId="319023D7"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nil"/>
              <w:left w:val="nil"/>
              <w:bottom w:val="nil"/>
              <w:right w:val="nil"/>
            </w:tcBorders>
            <w:shd w:val="clear" w:color="000000" w:fill="FFFFFF"/>
            <w:noWrap/>
            <w:vAlign w:val="center"/>
            <w:hideMark/>
          </w:tcPr>
          <w:p w14:paraId="01BBB0BF"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68" w:type="dxa"/>
            <w:tcBorders>
              <w:top w:val="nil"/>
              <w:left w:val="nil"/>
              <w:bottom w:val="nil"/>
              <w:right w:val="single" w:sz="8" w:space="0" w:color="auto"/>
            </w:tcBorders>
            <w:shd w:val="clear" w:color="000000" w:fill="FFFFFF"/>
            <w:noWrap/>
            <w:vAlign w:val="center"/>
            <w:hideMark/>
          </w:tcPr>
          <w:p w14:paraId="1878475C"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1B9494B4"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62021DD6"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063F7662"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4BAD46B2"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Multi-User Trails</w:t>
            </w:r>
          </w:p>
        </w:tc>
        <w:tc>
          <w:tcPr>
            <w:tcW w:w="976" w:type="dxa"/>
            <w:tcBorders>
              <w:top w:val="nil"/>
              <w:left w:val="nil"/>
              <w:bottom w:val="nil"/>
              <w:right w:val="nil"/>
            </w:tcBorders>
            <w:shd w:val="clear" w:color="000000" w:fill="FFFFFF"/>
            <w:noWrap/>
            <w:vAlign w:val="center"/>
            <w:hideMark/>
          </w:tcPr>
          <w:p w14:paraId="517E043D"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285</w:t>
            </w:r>
          </w:p>
        </w:tc>
        <w:tc>
          <w:tcPr>
            <w:tcW w:w="976" w:type="dxa"/>
            <w:tcBorders>
              <w:top w:val="nil"/>
              <w:left w:val="nil"/>
              <w:bottom w:val="nil"/>
              <w:right w:val="nil"/>
            </w:tcBorders>
            <w:shd w:val="clear" w:color="000000" w:fill="FFFFFF"/>
            <w:noWrap/>
            <w:vAlign w:val="center"/>
            <w:hideMark/>
          </w:tcPr>
          <w:p w14:paraId="6A756F60"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1270</w:t>
            </w:r>
          </w:p>
        </w:tc>
        <w:tc>
          <w:tcPr>
            <w:tcW w:w="968" w:type="dxa"/>
            <w:tcBorders>
              <w:top w:val="nil"/>
              <w:left w:val="nil"/>
              <w:bottom w:val="nil"/>
              <w:right w:val="single" w:sz="8" w:space="0" w:color="auto"/>
            </w:tcBorders>
            <w:shd w:val="clear" w:color="000000" w:fill="FFFFFF"/>
            <w:noWrap/>
            <w:vAlign w:val="center"/>
            <w:hideMark/>
          </w:tcPr>
          <w:p w14:paraId="363EA033"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641A0A09"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2E197E81"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2316EEC9"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41D35948"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DEFRA Access works</w:t>
            </w:r>
          </w:p>
        </w:tc>
        <w:tc>
          <w:tcPr>
            <w:tcW w:w="976" w:type="dxa"/>
            <w:tcBorders>
              <w:top w:val="nil"/>
              <w:left w:val="nil"/>
              <w:bottom w:val="nil"/>
              <w:right w:val="nil"/>
            </w:tcBorders>
            <w:shd w:val="clear" w:color="000000" w:fill="FFFFFF"/>
            <w:noWrap/>
            <w:vAlign w:val="center"/>
            <w:hideMark/>
          </w:tcPr>
          <w:p w14:paraId="6414E4D6"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0</w:t>
            </w:r>
          </w:p>
        </w:tc>
        <w:tc>
          <w:tcPr>
            <w:tcW w:w="976" w:type="dxa"/>
            <w:tcBorders>
              <w:top w:val="nil"/>
              <w:left w:val="nil"/>
              <w:bottom w:val="nil"/>
              <w:right w:val="nil"/>
            </w:tcBorders>
            <w:shd w:val="clear" w:color="000000" w:fill="FFFFFF"/>
            <w:noWrap/>
            <w:vAlign w:val="center"/>
            <w:hideMark/>
          </w:tcPr>
          <w:p w14:paraId="109BE31A"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86</w:t>
            </w:r>
          </w:p>
        </w:tc>
        <w:tc>
          <w:tcPr>
            <w:tcW w:w="968" w:type="dxa"/>
            <w:tcBorders>
              <w:top w:val="nil"/>
              <w:left w:val="nil"/>
              <w:bottom w:val="nil"/>
              <w:right w:val="single" w:sz="8" w:space="0" w:color="auto"/>
            </w:tcBorders>
            <w:shd w:val="clear" w:color="000000" w:fill="FFFFFF"/>
            <w:noWrap/>
            <w:vAlign w:val="center"/>
            <w:hideMark/>
          </w:tcPr>
          <w:p w14:paraId="47640B80"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4110B184"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55FFE19F"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547F6F3F"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37DB9F9A"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Electric Charge Points</w:t>
            </w:r>
          </w:p>
        </w:tc>
        <w:tc>
          <w:tcPr>
            <w:tcW w:w="976" w:type="dxa"/>
            <w:tcBorders>
              <w:top w:val="nil"/>
              <w:left w:val="nil"/>
              <w:bottom w:val="nil"/>
              <w:right w:val="nil"/>
            </w:tcBorders>
            <w:shd w:val="clear" w:color="000000" w:fill="FFFFFF"/>
            <w:noWrap/>
            <w:vAlign w:val="center"/>
            <w:hideMark/>
          </w:tcPr>
          <w:p w14:paraId="7F869701"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8</w:t>
            </w:r>
          </w:p>
        </w:tc>
        <w:tc>
          <w:tcPr>
            <w:tcW w:w="976" w:type="dxa"/>
            <w:tcBorders>
              <w:top w:val="nil"/>
              <w:left w:val="nil"/>
              <w:bottom w:val="nil"/>
              <w:right w:val="nil"/>
            </w:tcBorders>
            <w:shd w:val="clear" w:color="000000" w:fill="FFFFFF"/>
            <w:noWrap/>
            <w:vAlign w:val="center"/>
            <w:hideMark/>
          </w:tcPr>
          <w:p w14:paraId="695C0D2D"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11</w:t>
            </w:r>
          </w:p>
        </w:tc>
        <w:tc>
          <w:tcPr>
            <w:tcW w:w="968" w:type="dxa"/>
            <w:tcBorders>
              <w:top w:val="nil"/>
              <w:left w:val="nil"/>
              <w:bottom w:val="nil"/>
              <w:right w:val="single" w:sz="8" w:space="0" w:color="auto"/>
            </w:tcBorders>
            <w:shd w:val="clear" w:color="000000" w:fill="FFFFFF"/>
            <w:noWrap/>
            <w:vAlign w:val="center"/>
            <w:hideMark/>
          </w:tcPr>
          <w:p w14:paraId="0B727575"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2EC2C9C3" w14:textId="77777777" w:rsidTr="000119E5">
        <w:trPr>
          <w:trHeight w:val="300"/>
        </w:trPr>
        <w:tc>
          <w:tcPr>
            <w:tcW w:w="1008" w:type="dxa"/>
            <w:tcBorders>
              <w:top w:val="nil"/>
              <w:left w:val="single" w:sz="8" w:space="0" w:color="auto"/>
              <w:bottom w:val="nil"/>
              <w:right w:val="nil"/>
            </w:tcBorders>
            <w:shd w:val="clear" w:color="000000" w:fill="FFFFFF"/>
            <w:noWrap/>
            <w:vAlign w:val="center"/>
            <w:hideMark/>
          </w:tcPr>
          <w:p w14:paraId="3876EEA5"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45ADF3AD"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3D6A157B"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Stanley Ghyll Enhancements</w:t>
            </w:r>
          </w:p>
        </w:tc>
        <w:tc>
          <w:tcPr>
            <w:tcW w:w="976" w:type="dxa"/>
            <w:tcBorders>
              <w:top w:val="nil"/>
              <w:left w:val="nil"/>
              <w:bottom w:val="nil"/>
              <w:right w:val="nil"/>
            </w:tcBorders>
            <w:shd w:val="clear" w:color="000000" w:fill="FFFFFF"/>
            <w:noWrap/>
            <w:vAlign w:val="center"/>
            <w:hideMark/>
          </w:tcPr>
          <w:p w14:paraId="29C6DD29"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316</w:t>
            </w:r>
          </w:p>
        </w:tc>
        <w:tc>
          <w:tcPr>
            <w:tcW w:w="976" w:type="dxa"/>
            <w:tcBorders>
              <w:top w:val="nil"/>
              <w:left w:val="nil"/>
              <w:bottom w:val="nil"/>
              <w:right w:val="nil"/>
            </w:tcBorders>
            <w:shd w:val="clear" w:color="000000" w:fill="FFFFFF"/>
            <w:noWrap/>
            <w:vAlign w:val="center"/>
            <w:hideMark/>
          </w:tcPr>
          <w:p w14:paraId="4D1F40B1"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0</w:t>
            </w:r>
          </w:p>
        </w:tc>
        <w:tc>
          <w:tcPr>
            <w:tcW w:w="968" w:type="dxa"/>
            <w:tcBorders>
              <w:top w:val="nil"/>
              <w:left w:val="nil"/>
              <w:bottom w:val="nil"/>
              <w:right w:val="single" w:sz="8" w:space="0" w:color="auto"/>
            </w:tcBorders>
            <w:shd w:val="clear" w:color="000000" w:fill="FFFFFF"/>
            <w:noWrap/>
            <w:vAlign w:val="center"/>
            <w:hideMark/>
          </w:tcPr>
          <w:p w14:paraId="43019520"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70DF207F"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01C30F37"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332B6E7F"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243ADCDA"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single" w:sz="8" w:space="0" w:color="auto"/>
              <w:left w:val="nil"/>
              <w:bottom w:val="nil"/>
              <w:right w:val="nil"/>
            </w:tcBorders>
            <w:shd w:val="clear" w:color="000000" w:fill="FFFFFF"/>
            <w:noWrap/>
            <w:vAlign w:val="center"/>
            <w:hideMark/>
          </w:tcPr>
          <w:p w14:paraId="01375218"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609</w:t>
            </w:r>
          </w:p>
        </w:tc>
        <w:tc>
          <w:tcPr>
            <w:tcW w:w="976" w:type="dxa"/>
            <w:tcBorders>
              <w:top w:val="single" w:sz="8" w:space="0" w:color="auto"/>
              <w:left w:val="nil"/>
              <w:bottom w:val="nil"/>
              <w:right w:val="nil"/>
            </w:tcBorders>
            <w:shd w:val="clear" w:color="000000" w:fill="FFFFFF"/>
            <w:noWrap/>
            <w:vAlign w:val="center"/>
            <w:hideMark/>
          </w:tcPr>
          <w:p w14:paraId="42550D5A"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1367</w:t>
            </w:r>
          </w:p>
        </w:tc>
        <w:tc>
          <w:tcPr>
            <w:tcW w:w="968" w:type="dxa"/>
            <w:tcBorders>
              <w:top w:val="nil"/>
              <w:left w:val="nil"/>
              <w:bottom w:val="nil"/>
              <w:right w:val="single" w:sz="8" w:space="0" w:color="auto"/>
            </w:tcBorders>
            <w:shd w:val="clear" w:color="000000" w:fill="FFFFFF"/>
            <w:noWrap/>
            <w:vAlign w:val="center"/>
            <w:hideMark/>
          </w:tcPr>
          <w:p w14:paraId="53EE1D19"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6D6C8081"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3AEE8EDD"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4972" w:type="dxa"/>
            <w:gridSpan w:val="2"/>
            <w:tcBorders>
              <w:top w:val="nil"/>
              <w:left w:val="nil"/>
              <w:bottom w:val="nil"/>
              <w:right w:val="nil"/>
            </w:tcBorders>
            <w:shd w:val="clear" w:color="000000" w:fill="FFFFFF"/>
            <w:noWrap/>
            <w:vAlign w:val="center"/>
            <w:hideMark/>
          </w:tcPr>
          <w:p w14:paraId="6CEB8F52"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Vehicles and Plant</w:t>
            </w:r>
          </w:p>
        </w:tc>
        <w:tc>
          <w:tcPr>
            <w:tcW w:w="976" w:type="dxa"/>
            <w:tcBorders>
              <w:top w:val="nil"/>
              <w:left w:val="nil"/>
              <w:bottom w:val="nil"/>
              <w:right w:val="nil"/>
            </w:tcBorders>
            <w:shd w:val="clear" w:color="000000" w:fill="FFFFFF"/>
            <w:noWrap/>
            <w:vAlign w:val="center"/>
            <w:hideMark/>
          </w:tcPr>
          <w:p w14:paraId="23E6313B"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nil"/>
              <w:left w:val="nil"/>
              <w:bottom w:val="nil"/>
              <w:right w:val="nil"/>
            </w:tcBorders>
            <w:shd w:val="clear" w:color="000000" w:fill="FFFFFF"/>
            <w:noWrap/>
            <w:vAlign w:val="center"/>
            <w:hideMark/>
          </w:tcPr>
          <w:p w14:paraId="50FB6266"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68" w:type="dxa"/>
            <w:tcBorders>
              <w:top w:val="nil"/>
              <w:left w:val="nil"/>
              <w:bottom w:val="nil"/>
              <w:right w:val="single" w:sz="8" w:space="0" w:color="auto"/>
            </w:tcBorders>
            <w:shd w:val="clear" w:color="000000" w:fill="FFFFFF"/>
            <w:noWrap/>
            <w:vAlign w:val="center"/>
            <w:hideMark/>
          </w:tcPr>
          <w:p w14:paraId="56FAC536"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0B31F707"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768AD789"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477B9A94"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6BE60AB0"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Vehicles</w:t>
            </w:r>
          </w:p>
        </w:tc>
        <w:tc>
          <w:tcPr>
            <w:tcW w:w="976" w:type="dxa"/>
            <w:tcBorders>
              <w:top w:val="nil"/>
              <w:left w:val="nil"/>
              <w:bottom w:val="nil"/>
              <w:right w:val="nil"/>
            </w:tcBorders>
            <w:shd w:val="clear" w:color="000000" w:fill="FFFFFF"/>
            <w:noWrap/>
            <w:vAlign w:val="center"/>
            <w:hideMark/>
          </w:tcPr>
          <w:p w14:paraId="7334E37E"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13</w:t>
            </w:r>
          </w:p>
        </w:tc>
        <w:tc>
          <w:tcPr>
            <w:tcW w:w="976" w:type="dxa"/>
            <w:tcBorders>
              <w:top w:val="nil"/>
              <w:left w:val="nil"/>
              <w:bottom w:val="nil"/>
              <w:right w:val="nil"/>
            </w:tcBorders>
            <w:shd w:val="clear" w:color="000000" w:fill="FFFFFF"/>
            <w:noWrap/>
            <w:vAlign w:val="center"/>
            <w:hideMark/>
          </w:tcPr>
          <w:p w14:paraId="4F0845CB"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117</w:t>
            </w:r>
          </w:p>
        </w:tc>
        <w:tc>
          <w:tcPr>
            <w:tcW w:w="968" w:type="dxa"/>
            <w:tcBorders>
              <w:top w:val="nil"/>
              <w:left w:val="nil"/>
              <w:bottom w:val="nil"/>
              <w:right w:val="single" w:sz="8" w:space="0" w:color="auto"/>
            </w:tcBorders>
            <w:shd w:val="clear" w:color="000000" w:fill="FFFFFF"/>
            <w:noWrap/>
            <w:vAlign w:val="center"/>
            <w:hideMark/>
          </w:tcPr>
          <w:p w14:paraId="0B6A61AE"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3220F30B"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16DE7E78"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70A67A89"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3DB7DBC5"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Boats</w:t>
            </w:r>
          </w:p>
        </w:tc>
        <w:tc>
          <w:tcPr>
            <w:tcW w:w="976" w:type="dxa"/>
            <w:tcBorders>
              <w:top w:val="nil"/>
              <w:left w:val="nil"/>
              <w:bottom w:val="nil"/>
              <w:right w:val="nil"/>
            </w:tcBorders>
            <w:shd w:val="clear" w:color="000000" w:fill="FFFFFF"/>
            <w:noWrap/>
            <w:vAlign w:val="center"/>
            <w:hideMark/>
          </w:tcPr>
          <w:p w14:paraId="5176F419"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29</w:t>
            </w:r>
          </w:p>
        </w:tc>
        <w:tc>
          <w:tcPr>
            <w:tcW w:w="976" w:type="dxa"/>
            <w:tcBorders>
              <w:top w:val="nil"/>
              <w:left w:val="nil"/>
              <w:bottom w:val="nil"/>
              <w:right w:val="nil"/>
            </w:tcBorders>
            <w:shd w:val="clear" w:color="000000" w:fill="FFFFFF"/>
            <w:noWrap/>
            <w:vAlign w:val="center"/>
            <w:hideMark/>
          </w:tcPr>
          <w:p w14:paraId="5B7F539F"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42</w:t>
            </w:r>
          </w:p>
        </w:tc>
        <w:tc>
          <w:tcPr>
            <w:tcW w:w="968" w:type="dxa"/>
            <w:tcBorders>
              <w:top w:val="nil"/>
              <w:left w:val="nil"/>
              <w:bottom w:val="nil"/>
              <w:right w:val="single" w:sz="8" w:space="0" w:color="auto"/>
            </w:tcBorders>
            <w:shd w:val="clear" w:color="000000" w:fill="FFFFFF"/>
            <w:noWrap/>
            <w:vAlign w:val="center"/>
            <w:hideMark/>
          </w:tcPr>
          <w:p w14:paraId="3EB7F439"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33B637F6" w14:textId="77777777" w:rsidTr="000119E5">
        <w:trPr>
          <w:trHeight w:val="300"/>
        </w:trPr>
        <w:tc>
          <w:tcPr>
            <w:tcW w:w="1008" w:type="dxa"/>
            <w:tcBorders>
              <w:top w:val="nil"/>
              <w:left w:val="single" w:sz="8" w:space="0" w:color="auto"/>
              <w:bottom w:val="nil"/>
              <w:right w:val="nil"/>
            </w:tcBorders>
            <w:shd w:val="clear" w:color="000000" w:fill="FFFFFF"/>
            <w:noWrap/>
            <w:vAlign w:val="center"/>
            <w:hideMark/>
          </w:tcPr>
          <w:p w14:paraId="3518B9A6"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1096E82E"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0855DC25"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Plant &amp; Equipment</w:t>
            </w:r>
          </w:p>
        </w:tc>
        <w:tc>
          <w:tcPr>
            <w:tcW w:w="976" w:type="dxa"/>
            <w:tcBorders>
              <w:top w:val="nil"/>
              <w:left w:val="nil"/>
              <w:bottom w:val="single" w:sz="8" w:space="0" w:color="auto"/>
              <w:right w:val="nil"/>
            </w:tcBorders>
            <w:shd w:val="clear" w:color="000000" w:fill="FFFFFF"/>
            <w:noWrap/>
            <w:vAlign w:val="center"/>
            <w:hideMark/>
          </w:tcPr>
          <w:p w14:paraId="60EB2A17"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14</w:t>
            </w:r>
          </w:p>
        </w:tc>
        <w:tc>
          <w:tcPr>
            <w:tcW w:w="976" w:type="dxa"/>
            <w:tcBorders>
              <w:top w:val="nil"/>
              <w:left w:val="nil"/>
              <w:bottom w:val="single" w:sz="8" w:space="0" w:color="auto"/>
              <w:right w:val="nil"/>
            </w:tcBorders>
            <w:shd w:val="clear" w:color="000000" w:fill="FFFFFF"/>
            <w:noWrap/>
            <w:vAlign w:val="center"/>
            <w:hideMark/>
          </w:tcPr>
          <w:p w14:paraId="38BAAC77"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41</w:t>
            </w:r>
          </w:p>
        </w:tc>
        <w:tc>
          <w:tcPr>
            <w:tcW w:w="968" w:type="dxa"/>
            <w:tcBorders>
              <w:top w:val="nil"/>
              <w:left w:val="nil"/>
              <w:bottom w:val="nil"/>
              <w:right w:val="single" w:sz="8" w:space="0" w:color="auto"/>
            </w:tcBorders>
            <w:shd w:val="clear" w:color="000000" w:fill="FFFFFF"/>
            <w:noWrap/>
            <w:vAlign w:val="center"/>
            <w:hideMark/>
          </w:tcPr>
          <w:p w14:paraId="6C773196"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1B3CE350"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708DA491"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04EF4478"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6A225162"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nil"/>
              <w:left w:val="nil"/>
              <w:bottom w:val="nil"/>
              <w:right w:val="nil"/>
            </w:tcBorders>
            <w:shd w:val="clear" w:color="000000" w:fill="FFFFFF"/>
            <w:noWrap/>
            <w:vAlign w:val="center"/>
            <w:hideMark/>
          </w:tcPr>
          <w:p w14:paraId="419919BB"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56</w:t>
            </w:r>
          </w:p>
        </w:tc>
        <w:tc>
          <w:tcPr>
            <w:tcW w:w="976" w:type="dxa"/>
            <w:tcBorders>
              <w:top w:val="nil"/>
              <w:left w:val="nil"/>
              <w:bottom w:val="nil"/>
              <w:right w:val="nil"/>
            </w:tcBorders>
            <w:shd w:val="clear" w:color="000000" w:fill="FFFFFF"/>
            <w:noWrap/>
            <w:vAlign w:val="center"/>
            <w:hideMark/>
          </w:tcPr>
          <w:p w14:paraId="297D01D0"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200</w:t>
            </w:r>
          </w:p>
        </w:tc>
        <w:tc>
          <w:tcPr>
            <w:tcW w:w="968" w:type="dxa"/>
            <w:tcBorders>
              <w:top w:val="nil"/>
              <w:left w:val="nil"/>
              <w:bottom w:val="nil"/>
              <w:right w:val="single" w:sz="8" w:space="0" w:color="auto"/>
            </w:tcBorders>
            <w:shd w:val="clear" w:color="000000" w:fill="FFFFFF"/>
            <w:noWrap/>
            <w:vAlign w:val="center"/>
            <w:hideMark/>
          </w:tcPr>
          <w:p w14:paraId="3BBB4B19"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1621F5C6"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09E936C1"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4972" w:type="dxa"/>
            <w:gridSpan w:val="2"/>
            <w:tcBorders>
              <w:top w:val="nil"/>
              <w:left w:val="nil"/>
              <w:bottom w:val="nil"/>
              <w:right w:val="nil"/>
            </w:tcBorders>
            <w:shd w:val="clear" w:color="000000" w:fill="FFFFFF"/>
            <w:noWrap/>
            <w:vAlign w:val="center"/>
            <w:hideMark/>
          </w:tcPr>
          <w:p w14:paraId="52E6308D"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Equipment</w:t>
            </w:r>
          </w:p>
        </w:tc>
        <w:tc>
          <w:tcPr>
            <w:tcW w:w="976" w:type="dxa"/>
            <w:tcBorders>
              <w:top w:val="nil"/>
              <w:left w:val="nil"/>
              <w:bottom w:val="nil"/>
              <w:right w:val="nil"/>
            </w:tcBorders>
            <w:shd w:val="clear" w:color="000000" w:fill="FFFFFF"/>
            <w:noWrap/>
            <w:vAlign w:val="center"/>
            <w:hideMark/>
          </w:tcPr>
          <w:p w14:paraId="63E17207"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nil"/>
              <w:left w:val="nil"/>
              <w:bottom w:val="nil"/>
              <w:right w:val="nil"/>
            </w:tcBorders>
            <w:shd w:val="clear" w:color="000000" w:fill="FFFFFF"/>
            <w:noWrap/>
            <w:vAlign w:val="center"/>
            <w:hideMark/>
          </w:tcPr>
          <w:p w14:paraId="5AE06A75"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68" w:type="dxa"/>
            <w:tcBorders>
              <w:top w:val="nil"/>
              <w:left w:val="nil"/>
              <w:bottom w:val="nil"/>
              <w:right w:val="single" w:sz="8" w:space="0" w:color="auto"/>
            </w:tcBorders>
            <w:shd w:val="clear" w:color="000000" w:fill="FFFFFF"/>
            <w:noWrap/>
            <w:vAlign w:val="center"/>
            <w:hideMark/>
          </w:tcPr>
          <w:p w14:paraId="6E60E444"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456576A2"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2FDE6427"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01B500FE"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17F3B511"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Computer Equipment</w:t>
            </w:r>
          </w:p>
        </w:tc>
        <w:tc>
          <w:tcPr>
            <w:tcW w:w="976" w:type="dxa"/>
            <w:tcBorders>
              <w:top w:val="nil"/>
              <w:left w:val="nil"/>
              <w:bottom w:val="nil"/>
              <w:right w:val="nil"/>
            </w:tcBorders>
            <w:shd w:val="clear" w:color="000000" w:fill="FFFFFF"/>
            <w:noWrap/>
            <w:vAlign w:val="center"/>
            <w:hideMark/>
          </w:tcPr>
          <w:p w14:paraId="7B7607C5"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16</w:t>
            </w:r>
          </w:p>
        </w:tc>
        <w:tc>
          <w:tcPr>
            <w:tcW w:w="976" w:type="dxa"/>
            <w:tcBorders>
              <w:top w:val="nil"/>
              <w:left w:val="nil"/>
              <w:bottom w:val="nil"/>
              <w:right w:val="nil"/>
            </w:tcBorders>
            <w:shd w:val="clear" w:color="000000" w:fill="FFFFFF"/>
            <w:noWrap/>
            <w:vAlign w:val="center"/>
            <w:hideMark/>
          </w:tcPr>
          <w:p w14:paraId="7A15030E"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26</w:t>
            </w:r>
          </w:p>
        </w:tc>
        <w:tc>
          <w:tcPr>
            <w:tcW w:w="968" w:type="dxa"/>
            <w:tcBorders>
              <w:top w:val="nil"/>
              <w:left w:val="nil"/>
              <w:bottom w:val="nil"/>
              <w:right w:val="single" w:sz="8" w:space="0" w:color="auto"/>
            </w:tcBorders>
            <w:shd w:val="clear" w:color="000000" w:fill="FFFFFF"/>
            <w:noWrap/>
            <w:vAlign w:val="center"/>
            <w:hideMark/>
          </w:tcPr>
          <w:p w14:paraId="13231EE8"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1E89BE9C" w14:textId="77777777" w:rsidTr="000119E5">
        <w:trPr>
          <w:trHeight w:val="300"/>
        </w:trPr>
        <w:tc>
          <w:tcPr>
            <w:tcW w:w="1008" w:type="dxa"/>
            <w:tcBorders>
              <w:top w:val="nil"/>
              <w:left w:val="single" w:sz="8" w:space="0" w:color="auto"/>
              <w:bottom w:val="nil"/>
              <w:right w:val="nil"/>
            </w:tcBorders>
            <w:shd w:val="clear" w:color="000000" w:fill="FFFFFF"/>
            <w:noWrap/>
            <w:vAlign w:val="center"/>
            <w:hideMark/>
          </w:tcPr>
          <w:p w14:paraId="60850236"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69B2B7E4"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0845A3B6" w14:textId="77777777" w:rsidR="000119E5" w:rsidRPr="000119E5" w:rsidRDefault="000119E5" w:rsidP="000119E5">
            <w:pPr>
              <w:rPr>
                <w:rFonts w:cs="Arial"/>
                <w:color w:val="000000"/>
                <w:sz w:val="22"/>
                <w:szCs w:val="22"/>
                <w:lang w:eastAsia="en-GB"/>
              </w:rPr>
            </w:pPr>
            <w:proofErr w:type="spellStart"/>
            <w:r w:rsidRPr="000119E5">
              <w:rPr>
                <w:rFonts w:cs="Arial"/>
                <w:color w:val="000000"/>
                <w:sz w:val="22"/>
                <w:szCs w:val="22"/>
                <w:lang w:eastAsia="en-GB"/>
              </w:rPr>
              <w:t>Brockhole</w:t>
            </w:r>
            <w:proofErr w:type="spellEnd"/>
            <w:r w:rsidRPr="000119E5">
              <w:rPr>
                <w:rFonts w:cs="Arial"/>
                <w:color w:val="000000"/>
                <w:sz w:val="22"/>
                <w:szCs w:val="22"/>
                <w:lang w:eastAsia="en-GB"/>
              </w:rPr>
              <w:t xml:space="preserve"> Equipment</w:t>
            </w:r>
          </w:p>
        </w:tc>
        <w:tc>
          <w:tcPr>
            <w:tcW w:w="976" w:type="dxa"/>
            <w:tcBorders>
              <w:top w:val="nil"/>
              <w:left w:val="nil"/>
              <w:bottom w:val="nil"/>
              <w:right w:val="nil"/>
            </w:tcBorders>
            <w:shd w:val="clear" w:color="000000" w:fill="FFFFFF"/>
            <w:noWrap/>
            <w:vAlign w:val="center"/>
            <w:hideMark/>
          </w:tcPr>
          <w:p w14:paraId="72A63696"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41</w:t>
            </w:r>
          </w:p>
        </w:tc>
        <w:tc>
          <w:tcPr>
            <w:tcW w:w="976" w:type="dxa"/>
            <w:tcBorders>
              <w:top w:val="nil"/>
              <w:left w:val="nil"/>
              <w:bottom w:val="nil"/>
              <w:right w:val="nil"/>
            </w:tcBorders>
            <w:shd w:val="clear" w:color="000000" w:fill="FFFFFF"/>
            <w:noWrap/>
            <w:vAlign w:val="center"/>
            <w:hideMark/>
          </w:tcPr>
          <w:p w14:paraId="6D88FE8B"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0</w:t>
            </w:r>
          </w:p>
        </w:tc>
        <w:tc>
          <w:tcPr>
            <w:tcW w:w="968" w:type="dxa"/>
            <w:tcBorders>
              <w:top w:val="nil"/>
              <w:left w:val="nil"/>
              <w:bottom w:val="nil"/>
              <w:right w:val="single" w:sz="8" w:space="0" w:color="auto"/>
            </w:tcBorders>
            <w:shd w:val="clear" w:color="000000" w:fill="FFFFFF"/>
            <w:noWrap/>
            <w:vAlign w:val="center"/>
            <w:hideMark/>
          </w:tcPr>
          <w:p w14:paraId="3B9A039F"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6102CA30"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256223F7"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410A8489"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4B8B5263"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single" w:sz="8" w:space="0" w:color="auto"/>
              <w:left w:val="nil"/>
              <w:bottom w:val="nil"/>
              <w:right w:val="nil"/>
            </w:tcBorders>
            <w:shd w:val="clear" w:color="000000" w:fill="FFFFFF"/>
            <w:noWrap/>
            <w:vAlign w:val="center"/>
            <w:hideMark/>
          </w:tcPr>
          <w:p w14:paraId="3AE478E8"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57</w:t>
            </w:r>
          </w:p>
        </w:tc>
        <w:tc>
          <w:tcPr>
            <w:tcW w:w="976" w:type="dxa"/>
            <w:tcBorders>
              <w:top w:val="single" w:sz="8" w:space="0" w:color="auto"/>
              <w:left w:val="nil"/>
              <w:bottom w:val="nil"/>
              <w:right w:val="nil"/>
            </w:tcBorders>
            <w:shd w:val="clear" w:color="000000" w:fill="FFFFFF"/>
            <w:noWrap/>
            <w:vAlign w:val="center"/>
            <w:hideMark/>
          </w:tcPr>
          <w:p w14:paraId="69FF270F"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26</w:t>
            </w:r>
          </w:p>
        </w:tc>
        <w:tc>
          <w:tcPr>
            <w:tcW w:w="968" w:type="dxa"/>
            <w:tcBorders>
              <w:top w:val="nil"/>
              <w:left w:val="nil"/>
              <w:bottom w:val="nil"/>
              <w:right w:val="single" w:sz="8" w:space="0" w:color="auto"/>
            </w:tcBorders>
            <w:shd w:val="clear" w:color="000000" w:fill="FFFFFF"/>
            <w:noWrap/>
            <w:vAlign w:val="center"/>
            <w:hideMark/>
          </w:tcPr>
          <w:p w14:paraId="7C8A4EED"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5E0C888E"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43138973"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4972" w:type="dxa"/>
            <w:gridSpan w:val="2"/>
            <w:tcBorders>
              <w:top w:val="nil"/>
              <w:left w:val="nil"/>
              <w:bottom w:val="nil"/>
              <w:right w:val="nil"/>
            </w:tcBorders>
            <w:shd w:val="clear" w:color="000000" w:fill="FFFFFF"/>
            <w:noWrap/>
            <w:vAlign w:val="center"/>
            <w:hideMark/>
          </w:tcPr>
          <w:p w14:paraId="5F8CDDD6"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Intangible Assets</w:t>
            </w:r>
          </w:p>
        </w:tc>
        <w:tc>
          <w:tcPr>
            <w:tcW w:w="976" w:type="dxa"/>
            <w:tcBorders>
              <w:top w:val="nil"/>
              <w:left w:val="nil"/>
              <w:bottom w:val="nil"/>
              <w:right w:val="nil"/>
            </w:tcBorders>
            <w:shd w:val="clear" w:color="000000" w:fill="FFFFFF"/>
            <w:noWrap/>
            <w:vAlign w:val="center"/>
            <w:hideMark/>
          </w:tcPr>
          <w:p w14:paraId="3A274B83"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nil"/>
              <w:left w:val="nil"/>
              <w:bottom w:val="nil"/>
              <w:right w:val="nil"/>
            </w:tcBorders>
            <w:shd w:val="clear" w:color="000000" w:fill="FFFFFF"/>
            <w:noWrap/>
            <w:vAlign w:val="center"/>
            <w:hideMark/>
          </w:tcPr>
          <w:p w14:paraId="1088A23B"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68" w:type="dxa"/>
            <w:tcBorders>
              <w:top w:val="nil"/>
              <w:left w:val="nil"/>
              <w:bottom w:val="nil"/>
              <w:right w:val="single" w:sz="8" w:space="0" w:color="auto"/>
            </w:tcBorders>
            <w:shd w:val="clear" w:color="000000" w:fill="FFFFFF"/>
            <w:noWrap/>
            <w:vAlign w:val="center"/>
            <w:hideMark/>
          </w:tcPr>
          <w:p w14:paraId="64C46967"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0479AED5" w14:textId="77777777" w:rsidTr="000119E5">
        <w:trPr>
          <w:trHeight w:val="300"/>
        </w:trPr>
        <w:tc>
          <w:tcPr>
            <w:tcW w:w="1008" w:type="dxa"/>
            <w:tcBorders>
              <w:top w:val="nil"/>
              <w:left w:val="single" w:sz="8" w:space="0" w:color="auto"/>
              <w:bottom w:val="nil"/>
              <w:right w:val="nil"/>
            </w:tcBorders>
            <w:shd w:val="clear" w:color="000000" w:fill="FFFFFF"/>
            <w:noWrap/>
            <w:vAlign w:val="center"/>
            <w:hideMark/>
          </w:tcPr>
          <w:p w14:paraId="21DF9E42"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1AC70852"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6096EA0F"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Software &amp; Electronic Images</w:t>
            </w:r>
          </w:p>
        </w:tc>
        <w:tc>
          <w:tcPr>
            <w:tcW w:w="976" w:type="dxa"/>
            <w:tcBorders>
              <w:top w:val="nil"/>
              <w:left w:val="nil"/>
              <w:bottom w:val="nil"/>
              <w:right w:val="nil"/>
            </w:tcBorders>
            <w:shd w:val="clear" w:color="000000" w:fill="FFFFFF"/>
            <w:noWrap/>
            <w:vAlign w:val="center"/>
            <w:hideMark/>
          </w:tcPr>
          <w:p w14:paraId="189E2B1A"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8</w:t>
            </w:r>
          </w:p>
        </w:tc>
        <w:tc>
          <w:tcPr>
            <w:tcW w:w="976" w:type="dxa"/>
            <w:tcBorders>
              <w:top w:val="nil"/>
              <w:left w:val="nil"/>
              <w:bottom w:val="nil"/>
              <w:right w:val="nil"/>
            </w:tcBorders>
            <w:shd w:val="clear" w:color="000000" w:fill="FFFFFF"/>
            <w:noWrap/>
            <w:vAlign w:val="center"/>
            <w:hideMark/>
          </w:tcPr>
          <w:p w14:paraId="06E83C45"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18</w:t>
            </w:r>
          </w:p>
        </w:tc>
        <w:tc>
          <w:tcPr>
            <w:tcW w:w="968" w:type="dxa"/>
            <w:tcBorders>
              <w:top w:val="nil"/>
              <w:left w:val="nil"/>
              <w:bottom w:val="nil"/>
              <w:right w:val="single" w:sz="8" w:space="0" w:color="auto"/>
            </w:tcBorders>
            <w:shd w:val="clear" w:color="000000" w:fill="FFFFFF"/>
            <w:noWrap/>
            <w:vAlign w:val="center"/>
            <w:hideMark/>
          </w:tcPr>
          <w:p w14:paraId="165CE2E8"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72A6167B"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4B34DEF8"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465AB5C5"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20FC3311"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single" w:sz="8" w:space="0" w:color="auto"/>
              <w:left w:val="nil"/>
              <w:bottom w:val="nil"/>
              <w:right w:val="nil"/>
            </w:tcBorders>
            <w:shd w:val="clear" w:color="000000" w:fill="FFFFFF"/>
            <w:noWrap/>
            <w:vAlign w:val="center"/>
            <w:hideMark/>
          </w:tcPr>
          <w:p w14:paraId="063FC741"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8</w:t>
            </w:r>
          </w:p>
        </w:tc>
        <w:tc>
          <w:tcPr>
            <w:tcW w:w="976" w:type="dxa"/>
            <w:tcBorders>
              <w:top w:val="single" w:sz="8" w:space="0" w:color="auto"/>
              <w:left w:val="nil"/>
              <w:bottom w:val="nil"/>
              <w:right w:val="nil"/>
            </w:tcBorders>
            <w:shd w:val="clear" w:color="000000" w:fill="FFFFFF"/>
            <w:noWrap/>
            <w:vAlign w:val="center"/>
            <w:hideMark/>
          </w:tcPr>
          <w:p w14:paraId="57CBC54E"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18</w:t>
            </w:r>
          </w:p>
        </w:tc>
        <w:tc>
          <w:tcPr>
            <w:tcW w:w="968" w:type="dxa"/>
            <w:tcBorders>
              <w:top w:val="nil"/>
              <w:left w:val="nil"/>
              <w:bottom w:val="nil"/>
              <w:right w:val="single" w:sz="8" w:space="0" w:color="auto"/>
            </w:tcBorders>
            <w:shd w:val="clear" w:color="000000" w:fill="FFFFFF"/>
            <w:noWrap/>
            <w:vAlign w:val="center"/>
            <w:hideMark/>
          </w:tcPr>
          <w:p w14:paraId="3F5D201F"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4C85554A" w14:textId="77777777" w:rsidTr="000119E5">
        <w:trPr>
          <w:trHeight w:val="300"/>
        </w:trPr>
        <w:tc>
          <w:tcPr>
            <w:tcW w:w="1008" w:type="dxa"/>
            <w:tcBorders>
              <w:top w:val="nil"/>
              <w:left w:val="single" w:sz="8" w:space="0" w:color="auto"/>
              <w:bottom w:val="nil"/>
              <w:right w:val="nil"/>
            </w:tcBorders>
            <w:shd w:val="clear" w:color="000000" w:fill="FFFFFF"/>
            <w:noWrap/>
            <w:vAlign w:val="center"/>
            <w:hideMark/>
          </w:tcPr>
          <w:p w14:paraId="68B968FD"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2BFD98F0"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3AE0FFA9"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nil"/>
              <w:left w:val="nil"/>
              <w:bottom w:val="nil"/>
              <w:right w:val="nil"/>
            </w:tcBorders>
            <w:shd w:val="clear" w:color="000000" w:fill="FFFFFF"/>
            <w:noWrap/>
            <w:vAlign w:val="center"/>
            <w:hideMark/>
          </w:tcPr>
          <w:p w14:paraId="64BCD361"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nil"/>
              <w:left w:val="nil"/>
              <w:bottom w:val="nil"/>
              <w:right w:val="nil"/>
            </w:tcBorders>
            <w:shd w:val="clear" w:color="000000" w:fill="FFFFFF"/>
            <w:noWrap/>
            <w:vAlign w:val="center"/>
            <w:hideMark/>
          </w:tcPr>
          <w:p w14:paraId="3B061A0A"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68" w:type="dxa"/>
            <w:tcBorders>
              <w:top w:val="nil"/>
              <w:left w:val="nil"/>
              <w:bottom w:val="nil"/>
              <w:right w:val="single" w:sz="8" w:space="0" w:color="auto"/>
            </w:tcBorders>
            <w:shd w:val="clear" w:color="000000" w:fill="FFFFFF"/>
            <w:noWrap/>
            <w:vAlign w:val="center"/>
            <w:hideMark/>
          </w:tcPr>
          <w:p w14:paraId="7421B763"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56ACFD97" w14:textId="77777777" w:rsidTr="000119E5">
        <w:trPr>
          <w:trHeight w:val="300"/>
        </w:trPr>
        <w:tc>
          <w:tcPr>
            <w:tcW w:w="1008" w:type="dxa"/>
            <w:tcBorders>
              <w:top w:val="nil"/>
              <w:left w:val="single" w:sz="8" w:space="0" w:color="auto"/>
              <w:bottom w:val="nil"/>
              <w:right w:val="nil"/>
            </w:tcBorders>
            <w:shd w:val="clear" w:color="000000" w:fill="FFFFFF"/>
            <w:noWrap/>
            <w:vAlign w:val="center"/>
            <w:hideMark/>
          </w:tcPr>
          <w:p w14:paraId="3225C955"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4972" w:type="dxa"/>
            <w:gridSpan w:val="2"/>
            <w:tcBorders>
              <w:top w:val="nil"/>
              <w:left w:val="nil"/>
              <w:bottom w:val="nil"/>
              <w:right w:val="nil"/>
            </w:tcBorders>
            <w:shd w:val="clear" w:color="000000" w:fill="FFFFFF"/>
            <w:noWrap/>
            <w:vAlign w:val="center"/>
            <w:hideMark/>
          </w:tcPr>
          <w:p w14:paraId="6EA9865C"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Total Capital Expenditure to be Financed</w:t>
            </w:r>
          </w:p>
        </w:tc>
        <w:tc>
          <w:tcPr>
            <w:tcW w:w="976" w:type="dxa"/>
            <w:tcBorders>
              <w:top w:val="single" w:sz="8" w:space="0" w:color="auto"/>
              <w:left w:val="nil"/>
              <w:bottom w:val="double" w:sz="6" w:space="0" w:color="auto"/>
              <w:right w:val="nil"/>
            </w:tcBorders>
            <w:shd w:val="clear" w:color="000000" w:fill="FFFFFF"/>
            <w:noWrap/>
            <w:vAlign w:val="center"/>
            <w:hideMark/>
          </w:tcPr>
          <w:p w14:paraId="7894785F" w14:textId="77777777" w:rsidR="000119E5" w:rsidRPr="000119E5" w:rsidRDefault="000119E5" w:rsidP="000119E5">
            <w:pPr>
              <w:jc w:val="right"/>
              <w:rPr>
                <w:rFonts w:cs="Arial"/>
                <w:b/>
                <w:bCs/>
                <w:color w:val="000000"/>
                <w:sz w:val="20"/>
                <w:szCs w:val="20"/>
                <w:lang w:eastAsia="en-GB"/>
              </w:rPr>
            </w:pPr>
            <w:r w:rsidRPr="000119E5">
              <w:rPr>
                <w:rFonts w:cs="Arial"/>
                <w:b/>
                <w:bCs/>
                <w:color w:val="000000"/>
                <w:sz w:val="20"/>
                <w:szCs w:val="20"/>
                <w:lang w:eastAsia="en-GB"/>
              </w:rPr>
              <w:t>1,076</w:t>
            </w:r>
          </w:p>
        </w:tc>
        <w:tc>
          <w:tcPr>
            <w:tcW w:w="976" w:type="dxa"/>
            <w:tcBorders>
              <w:top w:val="single" w:sz="8" w:space="0" w:color="auto"/>
              <w:left w:val="nil"/>
              <w:bottom w:val="double" w:sz="6" w:space="0" w:color="auto"/>
              <w:right w:val="nil"/>
            </w:tcBorders>
            <w:shd w:val="clear" w:color="000000" w:fill="FFFFFF"/>
            <w:noWrap/>
            <w:vAlign w:val="center"/>
            <w:hideMark/>
          </w:tcPr>
          <w:p w14:paraId="72DAC593" w14:textId="77777777" w:rsidR="000119E5" w:rsidRPr="000119E5" w:rsidRDefault="000119E5" w:rsidP="000119E5">
            <w:pPr>
              <w:jc w:val="right"/>
              <w:rPr>
                <w:rFonts w:cs="Arial"/>
                <w:b/>
                <w:bCs/>
                <w:color w:val="000000"/>
                <w:sz w:val="20"/>
                <w:szCs w:val="20"/>
                <w:lang w:eastAsia="en-GB"/>
              </w:rPr>
            </w:pPr>
            <w:r w:rsidRPr="000119E5">
              <w:rPr>
                <w:rFonts w:cs="Arial"/>
                <w:b/>
                <w:bCs/>
                <w:color w:val="000000"/>
                <w:sz w:val="20"/>
                <w:szCs w:val="20"/>
                <w:lang w:eastAsia="en-GB"/>
              </w:rPr>
              <w:t>1,899</w:t>
            </w:r>
          </w:p>
        </w:tc>
        <w:tc>
          <w:tcPr>
            <w:tcW w:w="968" w:type="dxa"/>
            <w:tcBorders>
              <w:top w:val="nil"/>
              <w:left w:val="nil"/>
              <w:bottom w:val="nil"/>
              <w:right w:val="single" w:sz="8" w:space="0" w:color="auto"/>
            </w:tcBorders>
            <w:shd w:val="clear" w:color="000000" w:fill="FFFFFF"/>
            <w:noWrap/>
            <w:vAlign w:val="center"/>
            <w:hideMark/>
          </w:tcPr>
          <w:p w14:paraId="4DDA9C5A"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355F14B9" w14:textId="77777777" w:rsidTr="000119E5">
        <w:trPr>
          <w:trHeight w:val="300"/>
        </w:trPr>
        <w:tc>
          <w:tcPr>
            <w:tcW w:w="1008" w:type="dxa"/>
            <w:tcBorders>
              <w:top w:val="nil"/>
              <w:left w:val="single" w:sz="8" w:space="0" w:color="auto"/>
              <w:bottom w:val="nil"/>
              <w:right w:val="nil"/>
            </w:tcBorders>
            <w:shd w:val="clear" w:color="000000" w:fill="FFFFFF"/>
            <w:noWrap/>
            <w:vAlign w:val="center"/>
            <w:hideMark/>
          </w:tcPr>
          <w:p w14:paraId="45895BFA"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419A62A8"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5AC7A2E4"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nil"/>
              <w:left w:val="nil"/>
              <w:bottom w:val="nil"/>
              <w:right w:val="nil"/>
            </w:tcBorders>
            <w:shd w:val="clear" w:color="000000" w:fill="FFFFFF"/>
            <w:noWrap/>
            <w:vAlign w:val="center"/>
            <w:hideMark/>
          </w:tcPr>
          <w:p w14:paraId="37C0F931" w14:textId="77777777" w:rsidR="000119E5" w:rsidRPr="000119E5" w:rsidRDefault="000119E5" w:rsidP="000119E5">
            <w:pPr>
              <w:rPr>
                <w:rFonts w:cs="Arial"/>
                <w:b/>
                <w:bCs/>
                <w:color w:val="000000"/>
                <w:sz w:val="20"/>
                <w:szCs w:val="20"/>
                <w:lang w:eastAsia="en-GB"/>
              </w:rPr>
            </w:pPr>
            <w:r w:rsidRPr="000119E5">
              <w:rPr>
                <w:rFonts w:cs="Arial"/>
                <w:b/>
                <w:bCs/>
                <w:color w:val="000000"/>
                <w:sz w:val="20"/>
                <w:szCs w:val="20"/>
                <w:lang w:eastAsia="en-GB"/>
              </w:rPr>
              <w:t> </w:t>
            </w:r>
          </w:p>
        </w:tc>
        <w:tc>
          <w:tcPr>
            <w:tcW w:w="976" w:type="dxa"/>
            <w:tcBorders>
              <w:top w:val="nil"/>
              <w:left w:val="nil"/>
              <w:bottom w:val="nil"/>
              <w:right w:val="nil"/>
            </w:tcBorders>
            <w:shd w:val="clear" w:color="000000" w:fill="FFFFFF"/>
            <w:noWrap/>
            <w:vAlign w:val="center"/>
            <w:hideMark/>
          </w:tcPr>
          <w:p w14:paraId="0124AA04" w14:textId="77777777" w:rsidR="000119E5" w:rsidRPr="000119E5" w:rsidRDefault="000119E5" w:rsidP="000119E5">
            <w:pPr>
              <w:rPr>
                <w:rFonts w:cs="Arial"/>
                <w:b/>
                <w:bCs/>
                <w:color w:val="000000"/>
                <w:sz w:val="20"/>
                <w:szCs w:val="20"/>
                <w:lang w:eastAsia="en-GB"/>
              </w:rPr>
            </w:pPr>
            <w:r w:rsidRPr="000119E5">
              <w:rPr>
                <w:rFonts w:cs="Arial"/>
                <w:b/>
                <w:bCs/>
                <w:color w:val="000000"/>
                <w:sz w:val="20"/>
                <w:szCs w:val="20"/>
                <w:lang w:eastAsia="en-GB"/>
              </w:rPr>
              <w:t> </w:t>
            </w:r>
          </w:p>
        </w:tc>
        <w:tc>
          <w:tcPr>
            <w:tcW w:w="968" w:type="dxa"/>
            <w:tcBorders>
              <w:top w:val="nil"/>
              <w:left w:val="nil"/>
              <w:bottom w:val="nil"/>
              <w:right w:val="single" w:sz="8" w:space="0" w:color="auto"/>
            </w:tcBorders>
            <w:shd w:val="clear" w:color="000000" w:fill="FFFFFF"/>
            <w:noWrap/>
            <w:vAlign w:val="center"/>
            <w:hideMark/>
          </w:tcPr>
          <w:p w14:paraId="769B0D6D"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35466246"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1BAAC178"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4972" w:type="dxa"/>
            <w:gridSpan w:val="2"/>
            <w:tcBorders>
              <w:top w:val="nil"/>
              <w:left w:val="nil"/>
              <w:bottom w:val="nil"/>
              <w:right w:val="nil"/>
            </w:tcBorders>
            <w:shd w:val="clear" w:color="000000" w:fill="FFFFFF"/>
            <w:noWrap/>
            <w:vAlign w:val="center"/>
            <w:hideMark/>
          </w:tcPr>
          <w:p w14:paraId="00CCDE48"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Financing used</w:t>
            </w:r>
          </w:p>
        </w:tc>
        <w:tc>
          <w:tcPr>
            <w:tcW w:w="976" w:type="dxa"/>
            <w:tcBorders>
              <w:top w:val="nil"/>
              <w:left w:val="nil"/>
              <w:bottom w:val="nil"/>
              <w:right w:val="nil"/>
            </w:tcBorders>
            <w:shd w:val="clear" w:color="000000" w:fill="FFFFFF"/>
            <w:noWrap/>
            <w:vAlign w:val="center"/>
            <w:hideMark/>
          </w:tcPr>
          <w:p w14:paraId="4E7820C9"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nil"/>
              <w:left w:val="nil"/>
              <w:bottom w:val="nil"/>
              <w:right w:val="nil"/>
            </w:tcBorders>
            <w:shd w:val="clear" w:color="000000" w:fill="FFFFFF"/>
            <w:noWrap/>
            <w:vAlign w:val="center"/>
            <w:hideMark/>
          </w:tcPr>
          <w:p w14:paraId="718E9470"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68" w:type="dxa"/>
            <w:tcBorders>
              <w:top w:val="nil"/>
              <w:left w:val="nil"/>
              <w:bottom w:val="nil"/>
              <w:right w:val="single" w:sz="8" w:space="0" w:color="auto"/>
            </w:tcBorders>
            <w:shd w:val="clear" w:color="000000" w:fill="FFFFFF"/>
            <w:noWrap/>
            <w:vAlign w:val="center"/>
            <w:hideMark/>
          </w:tcPr>
          <w:p w14:paraId="05E174B1"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49D2CF1E"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6834E534"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5049EA8F"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3EB854A7"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Useable Capital Receipts</w:t>
            </w:r>
          </w:p>
        </w:tc>
        <w:tc>
          <w:tcPr>
            <w:tcW w:w="976" w:type="dxa"/>
            <w:tcBorders>
              <w:top w:val="nil"/>
              <w:left w:val="nil"/>
              <w:bottom w:val="nil"/>
              <w:right w:val="nil"/>
            </w:tcBorders>
            <w:shd w:val="clear" w:color="000000" w:fill="FFFFFF"/>
            <w:noWrap/>
            <w:vAlign w:val="center"/>
            <w:hideMark/>
          </w:tcPr>
          <w:p w14:paraId="4094694D"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298</w:t>
            </w:r>
          </w:p>
        </w:tc>
        <w:tc>
          <w:tcPr>
            <w:tcW w:w="976" w:type="dxa"/>
            <w:tcBorders>
              <w:top w:val="nil"/>
              <w:left w:val="nil"/>
              <w:bottom w:val="nil"/>
              <w:right w:val="nil"/>
            </w:tcBorders>
            <w:shd w:val="clear" w:color="000000" w:fill="FFFFFF"/>
            <w:noWrap/>
            <w:vAlign w:val="center"/>
            <w:hideMark/>
          </w:tcPr>
          <w:p w14:paraId="189898A0"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201</w:t>
            </w:r>
          </w:p>
        </w:tc>
        <w:tc>
          <w:tcPr>
            <w:tcW w:w="968" w:type="dxa"/>
            <w:tcBorders>
              <w:top w:val="nil"/>
              <w:left w:val="nil"/>
              <w:bottom w:val="nil"/>
              <w:right w:val="single" w:sz="8" w:space="0" w:color="auto"/>
            </w:tcBorders>
            <w:shd w:val="clear" w:color="000000" w:fill="FFFFFF"/>
            <w:noWrap/>
            <w:vAlign w:val="center"/>
            <w:hideMark/>
          </w:tcPr>
          <w:p w14:paraId="3123E9F3"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1CEE2A8D"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37608272"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0C79335F"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20B482D4"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Capital Grants &amp; Contributions</w:t>
            </w:r>
          </w:p>
        </w:tc>
        <w:tc>
          <w:tcPr>
            <w:tcW w:w="976" w:type="dxa"/>
            <w:tcBorders>
              <w:top w:val="nil"/>
              <w:left w:val="nil"/>
              <w:bottom w:val="nil"/>
              <w:right w:val="nil"/>
            </w:tcBorders>
            <w:shd w:val="clear" w:color="000000" w:fill="FFFFFF"/>
            <w:noWrap/>
            <w:vAlign w:val="center"/>
            <w:hideMark/>
          </w:tcPr>
          <w:p w14:paraId="480BC526"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323</w:t>
            </w:r>
          </w:p>
        </w:tc>
        <w:tc>
          <w:tcPr>
            <w:tcW w:w="976" w:type="dxa"/>
            <w:tcBorders>
              <w:top w:val="nil"/>
              <w:left w:val="nil"/>
              <w:bottom w:val="nil"/>
              <w:right w:val="nil"/>
            </w:tcBorders>
            <w:shd w:val="clear" w:color="000000" w:fill="FFFFFF"/>
            <w:noWrap/>
            <w:vAlign w:val="center"/>
            <w:hideMark/>
          </w:tcPr>
          <w:p w14:paraId="06971D3F"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1,363</w:t>
            </w:r>
          </w:p>
        </w:tc>
        <w:tc>
          <w:tcPr>
            <w:tcW w:w="968" w:type="dxa"/>
            <w:tcBorders>
              <w:top w:val="nil"/>
              <w:left w:val="nil"/>
              <w:bottom w:val="nil"/>
              <w:right w:val="single" w:sz="8" w:space="0" w:color="auto"/>
            </w:tcBorders>
            <w:shd w:val="clear" w:color="000000" w:fill="FFFFFF"/>
            <w:noWrap/>
            <w:vAlign w:val="center"/>
            <w:hideMark/>
          </w:tcPr>
          <w:p w14:paraId="6E49B693"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094040FC" w14:textId="77777777" w:rsidTr="000119E5">
        <w:trPr>
          <w:trHeight w:val="290"/>
        </w:trPr>
        <w:tc>
          <w:tcPr>
            <w:tcW w:w="1008" w:type="dxa"/>
            <w:tcBorders>
              <w:top w:val="nil"/>
              <w:left w:val="single" w:sz="8" w:space="0" w:color="auto"/>
              <w:bottom w:val="nil"/>
              <w:right w:val="nil"/>
            </w:tcBorders>
            <w:shd w:val="clear" w:color="000000" w:fill="FFFFFF"/>
            <w:noWrap/>
            <w:vAlign w:val="center"/>
            <w:hideMark/>
          </w:tcPr>
          <w:p w14:paraId="77E33484"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6262AF3A"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7EE926E6"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Direct Revenue Financing</w:t>
            </w:r>
          </w:p>
        </w:tc>
        <w:tc>
          <w:tcPr>
            <w:tcW w:w="976" w:type="dxa"/>
            <w:tcBorders>
              <w:top w:val="nil"/>
              <w:left w:val="nil"/>
              <w:bottom w:val="nil"/>
              <w:right w:val="nil"/>
            </w:tcBorders>
            <w:shd w:val="clear" w:color="000000" w:fill="FFFFFF"/>
            <w:noWrap/>
            <w:vAlign w:val="center"/>
            <w:hideMark/>
          </w:tcPr>
          <w:p w14:paraId="518635CC"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455</w:t>
            </w:r>
          </w:p>
        </w:tc>
        <w:tc>
          <w:tcPr>
            <w:tcW w:w="976" w:type="dxa"/>
            <w:tcBorders>
              <w:top w:val="nil"/>
              <w:left w:val="nil"/>
              <w:bottom w:val="nil"/>
              <w:right w:val="nil"/>
            </w:tcBorders>
            <w:shd w:val="clear" w:color="000000" w:fill="FFFFFF"/>
            <w:noWrap/>
            <w:vAlign w:val="center"/>
            <w:hideMark/>
          </w:tcPr>
          <w:p w14:paraId="24CAB0D9" w14:textId="77777777" w:rsidR="000119E5" w:rsidRPr="000119E5" w:rsidRDefault="000119E5" w:rsidP="000119E5">
            <w:pPr>
              <w:jc w:val="right"/>
              <w:rPr>
                <w:rFonts w:cs="Arial"/>
                <w:color w:val="000000"/>
                <w:sz w:val="22"/>
                <w:szCs w:val="22"/>
                <w:lang w:eastAsia="en-GB"/>
              </w:rPr>
            </w:pPr>
            <w:r w:rsidRPr="000119E5">
              <w:rPr>
                <w:rFonts w:cs="Arial"/>
                <w:color w:val="000000"/>
                <w:sz w:val="22"/>
                <w:szCs w:val="22"/>
                <w:lang w:eastAsia="en-GB"/>
              </w:rPr>
              <w:t>335</w:t>
            </w:r>
          </w:p>
        </w:tc>
        <w:tc>
          <w:tcPr>
            <w:tcW w:w="968" w:type="dxa"/>
            <w:tcBorders>
              <w:top w:val="nil"/>
              <w:left w:val="nil"/>
              <w:bottom w:val="nil"/>
              <w:right w:val="single" w:sz="8" w:space="0" w:color="auto"/>
            </w:tcBorders>
            <w:shd w:val="clear" w:color="000000" w:fill="FFFFFF"/>
            <w:noWrap/>
            <w:vAlign w:val="center"/>
            <w:hideMark/>
          </w:tcPr>
          <w:p w14:paraId="0EEF313A"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00099705" w14:textId="77777777" w:rsidTr="000119E5">
        <w:trPr>
          <w:trHeight w:val="300"/>
        </w:trPr>
        <w:tc>
          <w:tcPr>
            <w:tcW w:w="1008" w:type="dxa"/>
            <w:tcBorders>
              <w:top w:val="nil"/>
              <w:left w:val="single" w:sz="8" w:space="0" w:color="auto"/>
              <w:bottom w:val="nil"/>
              <w:right w:val="nil"/>
            </w:tcBorders>
            <w:shd w:val="clear" w:color="000000" w:fill="FFFFFF"/>
            <w:noWrap/>
            <w:vAlign w:val="center"/>
            <w:hideMark/>
          </w:tcPr>
          <w:p w14:paraId="0109BEE5"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6DED0545"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38F01D1B"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nil"/>
              <w:left w:val="nil"/>
              <w:bottom w:val="nil"/>
              <w:right w:val="nil"/>
            </w:tcBorders>
            <w:shd w:val="clear" w:color="000000" w:fill="FFFFFF"/>
            <w:noWrap/>
            <w:vAlign w:val="center"/>
            <w:hideMark/>
          </w:tcPr>
          <w:p w14:paraId="6E996F8B"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nil"/>
              <w:left w:val="nil"/>
              <w:bottom w:val="nil"/>
              <w:right w:val="nil"/>
            </w:tcBorders>
            <w:shd w:val="clear" w:color="000000" w:fill="FFFFFF"/>
            <w:noWrap/>
            <w:vAlign w:val="center"/>
            <w:hideMark/>
          </w:tcPr>
          <w:p w14:paraId="0F59266E"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68" w:type="dxa"/>
            <w:tcBorders>
              <w:top w:val="nil"/>
              <w:left w:val="nil"/>
              <w:bottom w:val="nil"/>
              <w:right w:val="single" w:sz="8" w:space="0" w:color="auto"/>
            </w:tcBorders>
            <w:shd w:val="clear" w:color="000000" w:fill="FFFFFF"/>
            <w:noWrap/>
            <w:vAlign w:val="center"/>
            <w:hideMark/>
          </w:tcPr>
          <w:p w14:paraId="6A23F20C"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1E4D59C4" w14:textId="77777777" w:rsidTr="000119E5">
        <w:trPr>
          <w:trHeight w:val="300"/>
        </w:trPr>
        <w:tc>
          <w:tcPr>
            <w:tcW w:w="1008" w:type="dxa"/>
            <w:tcBorders>
              <w:top w:val="nil"/>
              <w:left w:val="single" w:sz="8" w:space="0" w:color="auto"/>
              <w:bottom w:val="nil"/>
              <w:right w:val="nil"/>
            </w:tcBorders>
            <w:shd w:val="clear" w:color="000000" w:fill="FFFFFF"/>
            <w:noWrap/>
            <w:vAlign w:val="center"/>
            <w:hideMark/>
          </w:tcPr>
          <w:p w14:paraId="0AF35A6F"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4972" w:type="dxa"/>
            <w:gridSpan w:val="2"/>
            <w:tcBorders>
              <w:top w:val="nil"/>
              <w:left w:val="nil"/>
              <w:bottom w:val="nil"/>
              <w:right w:val="nil"/>
            </w:tcBorders>
            <w:shd w:val="clear" w:color="000000" w:fill="FFFFFF"/>
            <w:noWrap/>
            <w:vAlign w:val="center"/>
            <w:hideMark/>
          </w:tcPr>
          <w:p w14:paraId="34E10FF8"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Total Financing</w:t>
            </w:r>
          </w:p>
        </w:tc>
        <w:tc>
          <w:tcPr>
            <w:tcW w:w="976" w:type="dxa"/>
            <w:tcBorders>
              <w:top w:val="single" w:sz="8" w:space="0" w:color="auto"/>
              <w:left w:val="nil"/>
              <w:bottom w:val="double" w:sz="6" w:space="0" w:color="auto"/>
              <w:right w:val="nil"/>
            </w:tcBorders>
            <w:shd w:val="clear" w:color="000000" w:fill="FFFFFF"/>
            <w:noWrap/>
            <w:vAlign w:val="center"/>
            <w:hideMark/>
          </w:tcPr>
          <w:p w14:paraId="392E74B4" w14:textId="77777777" w:rsidR="000119E5" w:rsidRPr="000119E5" w:rsidRDefault="000119E5" w:rsidP="000119E5">
            <w:pPr>
              <w:jc w:val="right"/>
              <w:rPr>
                <w:rFonts w:cs="Arial"/>
                <w:b/>
                <w:bCs/>
                <w:color w:val="000000"/>
                <w:sz w:val="20"/>
                <w:szCs w:val="20"/>
                <w:lang w:eastAsia="en-GB"/>
              </w:rPr>
            </w:pPr>
            <w:r w:rsidRPr="000119E5">
              <w:rPr>
                <w:rFonts w:cs="Arial"/>
                <w:b/>
                <w:bCs/>
                <w:color w:val="000000"/>
                <w:sz w:val="20"/>
                <w:szCs w:val="20"/>
                <w:lang w:eastAsia="en-GB"/>
              </w:rPr>
              <w:t>1,076</w:t>
            </w:r>
          </w:p>
        </w:tc>
        <w:tc>
          <w:tcPr>
            <w:tcW w:w="976" w:type="dxa"/>
            <w:tcBorders>
              <w:top w:val="single" w:sz="8" w:space="0" w:color="auto"/>
              <w:left w:val="nil"/>
              <w:bottom w:val="double" w:sz="6" w:space="0" w:color="auto"/>
              <w:right w:val="nil"/>
            </w:tcBorders>
            <w:shd w:val="clear" w:color="000000" w:fill="FFFFFF"/>
            <w:noWrap/>
            <w:vAlign w:val="center"/>
            <w:hideMark/>
          </w:tcPr>
          <w:p w14:paraId="463FFC53" w14:textId="77777777" w:rsidR="000119E5" w:rsidRPr="000119E5" w:rsidRDefault="000119E5" w:rsidP="000119E5">
            <w:pPr>
              <w:jc w:val="right"/>
              <w:rPr>
                <w:rFonts w:cs="Arial"/>
                <w:b/>
                <w:bCs/>
                <w:color w:val="000000"/>
                <w:sz w:val="20"/>
                <w:szCs w:val="20"/>
                <w:lang w:eastAsia="en-GB"/>
              </w:rPr>
            </w:pPr>
            <w:r w:rsidRPr="000119E5">
              <w:rPr>
                <w:rFonts w:cs="Arial"/>
                <w:b/>
                <w:bCs/>
                <w:color w:val="000000"/>
                <w:sz w:val="20"/>
                <w:szCs w:val="20"/>
                <w:lang w:eastAsia="en-GB"/>
              </w:rPr>
              <w:t>1,899</w:t>
            </w:r>
          </w:p>
        </w:tc>
        <w:tc>
          <w:tcPr>
            <w:tcW w:w="968" w:type="dxa"/>
            <w:tcBorders>
              <w:top w:val="nil"/>
              <w:left w:val="nil"/>
              <w:bottom w:val="nil"/>
              <w:right w:val="single" w:sz="8" w:space="0" w:color="auto"/>
            </w:tcBorders>
            <w:shd w:val="clear" w:color="000000" w:fill="FFFFFF"/>
            <w:noWrap/>
            <w:vAlign w:val="center"/>
            <w:hideMark/>
          </w:tcPr>
          <w:p w14:paraId="1FBFDB50"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2B5064D0" w14:textId="77777777" w:rsidTr="000119E5">
        <w:trPr>
          <w:trHeight w:val="310"/>
        </w:trPr>
        <w:tc>
          <w:tcPr>
            <w:tcW w:w="1008" w:type="dxa"/>
            <w:tcBorders>
              <w:top w:val="nil"/>
              <w:left w:val="single" w:sz="8" w:space="0" w:color="auto"/>
              <w:bottom w:val="nil"/>
              <w:right w:val="nil"/>
            </w:tcBorders>
            <w:shd w:val="clear" w:color="000000" w:fill="FFFFFF"/>
            <w:noWrap/>
            <w:vAlign w:val="center"/>
            <w:hideMark/>
          </w:tcPr>
          <w:p w14:paraId="1879758B"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nil"/>
              <w:right w:val="nil"/>
            </w:tcBorders>
            <w:shd w:val="clear" w:color="000000" w:fill="FFFFFF"/>
            <w:noWrap/>
            <w:vAlign w:val="center"/>
            <w:hideMark/>
          </w:tcPr>
          <w:p w14:paraId="069F17F6" w14:textId="77777777" w:rsidR="000119E5" w:rsidRPr="000119E5" w:rsidRDefault="000119E5" w:rsidP="000119E5">
            <w:pPr>
              <w:rPr>
                <w:rFonts w:cs="Arial"/>
                <w:b/>
                <w:bCs/>
                <w:color w:val="000000"/>
                <w:sz w:val="22"/>
                <w:szCs w:val="22"/>
                <w:lang w:eastAsia="en-GB"/>
              </w:rPr>
            </w:pPr>
            <w:r w:rsidRPr="000119E5">
              <w:rPr>
                <w:rFonts w:cs="Arial"/>
                <w:b/>
                <w:bCs/>
                <w:color w:val="000000"/>
                <w:sz w:val="22"/>
                <w:szCs w:val="22"/>
                <w:lang w:eastAsia="en-GB"/>
              </w:rPr>
              <w:t> </w:t>
            </w:r>
          </w:p>
        </w:tc>
        <w:tc>
          <w:tcPr>
            <w:tcW w:w="3776" w:type="dxa"/>
            <w:tcBorders>
              <w:top w:val="nil"/>
              <w:left w:val="nil"/>
              <w:bottom w:val="nil"/>
              <w:right w:val="nil"/>
            </w:tcBorders>
            <w:shd w:val="clear" w:color="000000" w:fill="FFFFFF"/>
            <w:noWrap/>
            <w:vAlign w:val="center"/>
            <w:hideMark/>
          </w:tcPr>
          <w:p w14:paraId="2066F044"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nil"/>
              <w:left w:val="nil"/>
              <w:bottom w:val="nil"/>
              <w:right w:val="nil"/>
            </w:tcBorders>
            <w:shd w:val="clear" w:color="000000" w:fill="FFFFFF"/>
            <w:noWrap/>
            <w:vAlign w:val="center"/>
            <w:hideMark/>
          </w:tcPr>
          <w:p w14:paraId="281C2783" w14:textId="77777777" w:rsidR="000119E5" w:rsidRPr="000119E5" w:rsidRDefault="000119E5" w:rsidP="000119E5">
            <w:pPr>
              <w:rPr>
                <w:rFonts w:cs="Arial"/>
                <w:b/>
                <w:bCs/>
                <w:color w:val="000000"/>
                <w:sz w:val="20"/>
                <w:szCs w:val="20"/>
                <w:lang w:eastAsia="en-GB"/>
              </w:rPr>
            </w:pPr>
            <w:r w:rsidRPr="000119E5">
              <w:rPr>
                <w:rFonts w:cs="Arial"/>
                <w:b/>
                <w:bCs/>
                <w:color w:val="000000"/>
                <w:sz w:val="20"/>
                <w:szCs w:val="20"/>
                <w:lang w:eastAsia="en-GB"/>
              </w:rPr>
              <w:t> </w:t>
            </w:r>
          </w:p>
        </w:tc>
        <w:tc>
          <w:tcPr>
            <w:tcW w:w="976" w:type="dxa"/>
            <w:tcBorders>
              <w:top w:val="nil"/>
              <w:left w:val="nil"/>
              <w:bottom w:val="nil"/>
              <w:right w:val="nil"/>
            </w:tcBorders>
            <w:shd w:val="clear" w:color="000000" w:fill="FFFFFF"/>
            <w:noWrap/>
            <w:vAlign w:val="center"/>
            <w:hideMark/>
          </w:tcPr>
          <w:p w14:paraId="5B249904" w14:textId="77777777" w:rsidR="000119E5" w:rsidRPr="000119E5" w:rsidRDefault="000119E5" w:rsidP="000119E5">
            <w:pPr>
              <w:rPr>
                <w:rFonts w:cs="Arial"/>
                <w:b/>
                <w:bCs/>
                <w:color w:val="000000"/>
                <w:sz w:val="20"/>
                <w:szCs w:val="20"/>
                <w:lang w:eastAsia="en-GB"/>
              </w:rPr>
            </w:pPr>
            <w:r w:rsidRPr="000119E5">
              <w:rPr>
                <w:rFonts w:cs="Arial"/>
                <w:b/>
                <w:bCs/>
                <w:color w:val="000000"/>
                <w:sz w:val="20"/>
                <w:szCs w:val="20"/>
                <w:lang w:eastAsia="en-GB"/>
              </w:rPr>
              <w:t> </w:t>
            </w:r>
          </w:p>
        </w:tc>
        <w:tc>
          <w:tcPr>
            <w:tcW w:w="968" w:type="dxa"/>
            <w:tcBorders>
              <w:top w:val="nil"/>
              <w:left w:val="nil"/>
              <w:bottom w:val="nil"/>
              <w:right w:val="single" w:sz="8" w:space="0" w:color="auto"/>
            </w:tcBorders>
            <w:shd w:val="clear" w:color="000000" w:fill="FFFFFF"/>
            <w:noWrap/>
            <w:vAlign w:val="center"/>
            <w:hideMark/>
          </w:tcPr>
          <w:p w14:paraId="260F12C9"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4013FBAF" w14:textId="77777777" w:rsidTr="000119E5">
        <w:trPr>
          <w:trHeight w:val="300"/>
        </w:trPr>
        <w:tc>
          <w:tcPr>
            <w:tcW w:w="1008" w:type="dxa"/>
            <w:tcBorders>
              <w:top w:val="nil"/>
              <w:left w:val="single" w:sz="8" w:space="0" w:color="auto"/>
              <w:bottom w:val="nil"/>
              <w:right w:val="nil"/>
            </w:tcBorders>
            <w:shd w:val="clear" w:color="000000" w:fill="FFFFFF"/>
            <w:noWrap/>
            <w:vAlign w:val="center"/>
            <w:hideMark/>
          </w:tcPr>
          <w:p w14:paraId="46385774"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4972" w:type="dxa"/>
            <w:gridSpan w:val="2"/>
            <w:tcBorders>
              <w:top w:val="nil"/>
              <w:left w:val="nil"/>
              <w:bottom w:val="nil"/>
              <w:right w:val="nil"/>
            </w:tcBorders>
            <w:shd w:val="clear" w:color="000000" w:fill="FFFFFF"/>
            <w:noWrap/>
            <w:vAlign w:val="center"/>
            <w:hideMark/>
          </w:tcPr>
          <w:p w14:paraId="7A7FD973" w14:textId="7118EFEA" w:rsidR="000119E5" w:rsidRPr="000119E5" w:rsidRDefault="002116F2" w:rsidP="000119E5">
            <w:pPr>
              <w:rPr>
                <w:rFonts w:cs="Arial"/>
                <w:b/>
                <w:bCs/>
                <w:color w:val="000000"/>
                <w:sz w:val="22"/>
                <w:szCs w:val="22"/>
                <w:lang w:eastAsia="en-GB"/>
              </w:rPr>
            </w:pPr>
            <w:r>
              <w:rPr>
                <w:rFonts w:cs="Arial"/>
                <w:b/>
                <w:bCs/>
                <w:color w:val="000000"/>
                <w:sz w:val="22"/>
                <w:szCs w:val="22"/>
                <w:lang w:eastAsia="en-GB"/>
              </w:rPr>
              <w:t>Impact on</w:t>
            </w:r>
            <w:r w:rsidR="000119E5" w:rsidRPr="000119E5">
              <w:rPr>
                <w:rFonts w:cs="Arial"/>
                <w:b/>
                <w:bCs/>
                <w:color w:val="000000"/>
                <w:sz w:val="22"/>
                <w:szCs w:val="22"/>
                <w:lang w:eastAsia="en-GB"/>
              </w:rPr>
              <w:t xml:space="preserve"> Capital Financing Requirement</w:t>
            </w:r>
          </w:p>
        </w:tc>
        <w:tc>
          <w:tcPr>
            <w:tcW w:w="976" w:type="dxa"/>
            <w:tcBorders>
              <w:top w:val="single" w:sz="8" w:space="0" w:color="auto"/>
              <w:left w:val="nil"/>
              <w:bottom w:val="double" w:sz="6" w:space="0" w:color="auto"/>
              <w:right w:val="nil"/>
            </w:tcBorders>
            <w:shd w:val="clear" w:color="000000" w:fill="FFFFFF"/>
            <w:noWrap/>
            <w:vAlign w:val="center"/>
            <w:hideMark/>
          </w:tcPr>
          <w:p w14:paraId="15C60897" w14:textId="77777777" w:rsidR="000119E5" w:rsidRPr="000119E5" w:rsidRDefault="000119E5" w:rsidP="000119E5">
            <w:pPr>
              <w:jc w:val="right"/>
              <w:rPr>
                <w:rFonts w:cs="Arial"/>
                <w:b/>
                <w:bCs/>
                <w:color w:val="000000"/>
                <w:sz w:val="20"/>
                <w:szCs w:val="20"/>
                <w:lang w:eastAsia="en-GB"/>
              </w:rPr>
            </w:pPr>
            <w:r w:rsidRPr="000119E5">
              <w:rPr>
                <w:rFonts w:cs="Arial"/>
                <w:b/>
                <w:bCs/>
                <w:color w:val="000000"/>
                <w:sz w:val="20"/>
                <w:szCs w:val="20"/>
                <w:lang w:eastAsia="en-GB"/>
              </w:rPr>
              <w:t>0</w:t>
            </w:r>
          </w:p>
        </w:tc>
        <w:tc>
          <w:tcPr>
            <w:tcW w:w="976" w:type="dxa"/>
            <w:tcBorders>
              <w:top w:val="single" w:sz="8" w:space="0" w:color="auto"/>
              <w:left w:val="nil"/>
              <w:bottom w:val="double" w:sz="6" w:space="0" w:color="auto"/>
              <w:right w:val="nil"/>
            </w:tcBorders>
            <w:shd w:val="clear" w:color="000000" w:fill="FFFFFF"/>
            <w:noWrap/>
            <w:vAlign w:val="center"/>
            <w:hideMark/>
          </w:tcPr>
          <w:p w14:paraId="69444D6A" w14:textId="77777777" w:rsidR="000119E5" w:rsidRPr="000119E5" w:rsidRDefault="000119E5" w:rsidP="000119E5">
            <w:pPr>
              <w:jc w:val="right"/>
              <w:rPr>
                <w:rFonts w:cs="Arial"/>
                <w:b/>
                <w:bCs/>
                <w:color w:val="000000"/>
                <w:sz w:val="20"/>
                <w:szCs w:val="20"/>
                <w:lang w:eastAsia="en-GB"/>
              </w:rPr>
            </w:pPr>
            <w:r w:rsidRPr="000119E5">
              <w:rPr>
                <w:rFonts w:cs="Arial"/>
                <w:b/>
                <w:bCs/>
                <w:color w:val="000000"/>
                <w:sz w:val="20"/>
                <w:szCs w:val="20"/>
                <w:lang w:eastAsia="en-GB"/>
              </w:rPr>
              <w:t>0</w:t>
            </w:r>
          </w:p>
        </w:tc>
        <w:tc>
          <w:tcPr>
            <w:tcW w:w="968" w:type="dxa"/>
            <w:tcBorders>
              <w:top w:val="nil"/>
              <w:left w:val="nil"/>
              <w:bottom w:val="nil"/>
              <w:right w:val="single" w:sz="8" w:space="0" w:color="auto"/>
            </w:tcBorders>
            <w:shd w:val="clear" w:color="000000" w:fill="FFFFFF"/>
            <w:noWrap/>
            <w:vAlign w:val="center"/>
            <w:hideMark/>
          </w:tcPr>
          <w:p w14:paraId="7C5ABD10"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r w:rsidR="000119E5" w:rsidRPr="000119E5" w14:paraId="240CF283" w14:textId="77777777" w:rsidTr="000119E5">
        <w:trPr>
          <w:trHeight w:val="310"/>
        </w:trPr>
        <w:tc>
          <w:tcPr>
            <w:tcW w:w="1008" w:type="dxa"/>
            <w:tcBorders>
              <w:top w:val="nil"/>
              <w:left w:val="single" w:sz="8" w:space="0" w:color="auto"/>
              <w:bottom w:val="single" w:sz="8" w:space="0" w:color="auto"/>
              <w:right w:val="nil"/>
            </w:tcBorders>
            <w:shd w:val="clear" w:color="000000" w:fill="FFFFFF"/>
            <w:noWrap/>
            <w:vAlign w:val="center"/>
            <w:hideMark/>
          </w:tcPr>
          <w:p w14:paraId="59AB3F91"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1196" w:type="dxa"/>
            <w:tcBorders>
              <w:top w:val="nil"/>
              <w:left w:val="nil"/>
              <w:bottom w:val="single" w:sz="8" w:space="0" w:color="auto"/>
              <w:right w:val="nil"/>
            </w:tcBorders>
            <w:shd w:val="clear" w:color="000000" w:fill="FFFFFF"/>
            <w:noWrap/>
            <w:vAlign w:val="center"/>
            <w:hideMark/>
          </w:tcPr>
          <w:p w14:paraId="19B27319"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3776" w:type="dxa"/>
            <w:tcBorders>
              <w:top w:val="nil"/>
              <w:left w:val="nil"/>
              <w:bottom w:val="single" w:sz="8" w:space="0" w:color="auto"/>
              <w:right w:val="nil"/>
            </w:tcBorders>
            <w:shd w:val="clear" w:color="000000" w:fill="FFFFFF"/>
            <w:noWrap/>
            <w:vAlign w:val="center"/>
            <w:hideMark/>
          </w:tcPr>
          <w:p w14:paraId="6DF63C41"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nil"/>
              <w:left w:val="nil"/>
              <w:bottom w:val="single" w:sz="8" w:space="0" w:color="auto"/>
              <w:right w:val="nil"/>
            </w:tcBorders>
            <w:shd w:val="clear" w:color="000000" w:fill="FFFFFF"/>
            <w:noWrap/>
            <w:vAlign w:val="center"/>
            <w:hideMark/>
          </w:tcPr>
          <w:p w14:paraId="1A726FF8"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76" w:type="dxa"/>
            <w:tcBorders>
              <w:top w:val="nil"/>
              <w:left w:val="nil"/>
              <w:bottom w:val="single" w:sz="8" w:space="0" w:color="auto"/>
              <w:right w:val="nil"/>
            </w:tcBorders>
            <w:shd w:val="clear" w:color="000000" w:fill="FFFFFF"/>
            <w:noWrap/>
            <w:vAlign w:val="center"/>
            <w:hideMark/>
          </w:tcPr>
          <w:p w14:paraId="333E355E"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c>
          <w:tcPr>
            <w:tcW w:w="968" w:type="dxa"/>
            <w:tcBorders>
              <w:top w:val="nil"/>
              <w:left w:val="nil"/>
              <w:bottom w:val="single" w:sz="8" w:space="0" w:color="auto"/>
              <w:right w:val="single" w:sz="8" w:space="0" w:color="auto"/>
            </w:tcBorders>
            <w:shd w:val="clear" w:color="000000" w:fill="FFFFFF"/>
            <w:noWrap/>
            <w:vAlign w:val="center"/>
            <w:hideMark/>
          </w:tcPr>
          <w:p w14:paraId="74921A6E" w14:textId="77777777" w:rsidR="000119E5" w:rsidRPr="000119E5" w:rsidRDefault="000119E5" w:rsidP="000119E5">
            <w:pPr>
              <w:rPr>
                <w:rFonts w:cs="Arial"/>
                <w:color w:val="000000"/>
                <w:sz w:val="22"/>
                <w:szCs w:val="22"/>
                <w:lang w:eastAsia="en-GB"/>
              </w:rPr>
            </w:pPr>
            <w:r w:rsidRPr="000119E5">
              <w:rPr>
                <w:rFonts w:cs="Arial"/>
                <w:color w:val="000000"/>
                <w:sz w:val="22"/>
                <w:szCs w:val="22"/>
                <w:lang w:eastAsia="en-GB"/>
              </w:rPr>
              <w:t> </w:t>
            </w:r>
          </w:p>
        </w:tc>
      </w:tr>
    </w:tbl>
    <w:p w14:paraId="0928387D" w14:textId="77777777" w:rsidR="000119E5" w:rsidRDefault="000119E5" w:rsidP="000119E5">
      <w:pPr>
        <w:rPr>
          <w:highlight w:val="yellow"/>
          <w:lang w:eastAsia="en-GB"/>
        </w:rPr>
      </w:pPr>
    </w:p>
    <w:p w14:paraId="4897D29F" w14:textId="77777777" w:rsidR="000119E5" w:rsidRDefault="000119E5" w:rsidP="000119E5">
      <w:pPr>
        <w:rPr>
          <w:highlight w:val="yellow"/>
          <w:lang w:eastAsia="en-GB"/>
        </w:rPr>
      </w:pPr>
    </w:p>
    <w:p w14:paraId="2C7F5F53" w14:textId="77777777" w:rsidR="000119E5" w:rsidRDefault="000119E5" w:rsidP="000119E5">
      <w:pPr>
        <w:rPr>
          <w:highlight w:val="yellow"/>
          <w:lang w:eastAsia="en-GB"/>
        </w:rPr>
      </w:pPr>
    </w:p>
    <w:p w14:paraId="485A481E" w14:textId="0292274D" w:rsidR="005A4342" w:rsidRPr="00925AD5" w:rsidRDefault="00CF67A1" w:rsidP="005A4342">
      <w:pPr>
        <w:pStyle w:val="Subtitle"/>
        <w:numPr>
          <w:ilvl w:val="0"/>
          <w:numId w:val="0"/>
        </w:numPr>
        <w:tabs>
          <w:tab w:val="left" w:pos="-709"/>
          <w:tab w:val="left" w:pos="-284"/>
          <w:tab w:val="left" w:pos="-142"/>
          <w:tab w:val="left" w:pos="567"/>
        </w:tabs>
        <w:spacing w:line="240" w:lineRule="atLeast"/>
        <w:ind w:left="567" w:right="680" w:hanging="567"/>
        <w:rPr>
          <w:rFonts w:ascii="Arial" w:hAnsi="Arial" w:cs="Arial"/>
          <w:b/>
          <w:i w:val="0"/>
          <w:sz w:val="23"/>
          <w:szCs w:val="23"/>
          <w:u w:val="none"/>
        </w:rPr>
      </w:pPr>
      <w:r w:rsidRPr="00925AD5">
        <w:rPr>
          <w:rFonts w:ascii="Arial" w:hAnsi="Arial" w:cs="Arial"/>
          <w:b/>
          <w:i w:val="0"/>
          <w:sz w:val="23"/>
          <w:szCs w:val="23"/>
          <w:u w:val="none"/>
        </w:rPr>
        <w:lastRenderedPageBreak/>
        <w:t>21.</w:t>
      </w:r>
      <w:r w:rsidRPr="00925AD5">
        <w:rPr>
          <w:rFonts w:ascii="Arial" w:hAnsi="Arial" w:cs="Arial"/>
          <w:b/>
          <w:i w:val="0"/>
          <w:sz w:val="23"/>
          <w:szCs w:val="23"/>
          <w:u w:val="none"/>
        </w:rPr>
        <w:tab/>
        <w:t xml:space="preserve">Investment Property </w:t>
      </w:r>
    </w:p>
    <w:p w14:paraId="45A0D10F" w14:textId="77777777" w:rsidR="00115D9E" w:rsidRPr="00925AD5" w:rsidRDefault="00115D9E" w:rsidP="00115D9E">
      <w:pPr>
        <w:rPr>
          <w:lang w:eastAsia="en-GB"/>
        </w:rPr>
      </w:pPr>
    </w:p>
    <w:p w14:paraId="485A481F" w14:textId="4ACB51F0" w:rsidR="005A4342" w:rsidRPr="00925AD5" w:rsidRDefault="00925AD5" w:rsidP="00D73A39">
      <w:pPr>
        <w:jc w:val="center"/>
      </w:pPr>
      <w:r w:rsidRPr="00925AD5">
        <w:rPr>
          <w:noProof/>
        </w:rPr>
        <w:drawing>
          <wp:inline distT="0" distB="0" distL="0" distR="0" wp14:anchorId="1C2FBD7E" wp14:editId="591AA0E6">
            <wp:extent cx="6106795" cy="1548765"/>
            <wp:effectExtent l="0" t="0" r="8255" b="0"/>
            <wp:docPr id="18802277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06795" cy="1548765"/>
                    </a:xfrm>
                    <a:prstGeom prst="rect">
                      <a:avLst/>
                    </a:prstGeom>
                    <a:noFill/>
                    <a:ln>
                      <a:noFill/>
                    </a:ln>
                  </pic:spPr>
                </pic:pic>
              </a:graphicData>
            </a:graphic>
          </wp:inline>
        </w:drawing>
      </w:r>
    </w:p>
    <w:p w14:paraId="485A4820" w14:textId="4D7F4DA6" w:rsidR="00E00863" w:rsidRPr="00925AD5" w:rsidRDefault="00E00863" w:rsidP="00D73A39">
      <w:pPr>
        <w:jc w:val="center"/>
      </w:pPr>
    </w:p>
    <w:p w14:paraId="485A4821" w14:textId="77777777" w:rsidR="00E00863" w:rsidRPr="00925AD5" w:rsidRDefault="00E00863" w:rsidP="006D2EED">
      <w:pPr>
        <w:ind w:left="709"/>
        <w:rPr>
          <w:rFonts w:cs="Arial"/>
          <w:iCs/>
          <w:spacing w:val="15"/>
          <w:sz w:val="22"/>
          <w:szCs w:val="24"/>
        </w:rPr>
      </w:pPr>
    </w:p>
    <w:p w14:paraId="485A4822" w14:textId="47A5BDB7" w:rsidR="003B2779" w:rsidRPr="00925AD5" w:rsidRDefault="00307A1B" w:rsidP="00CF3182">
      <w:pPr>
        <w:ind w:left="567"/>
      </w:pPr>
      <w:r w:rsidRPr="00925AD5">
        <w:t xml:space="preserve">The Authority’s </w:t>
      </w:r>
      <w:r w:rsidR="004D66D8" w:rsidRPr="00925AD5">
        <w:t>investment property</w:t>
      </w:r>
      <w:r w:rsidRPr="00925AD5">
        <w:t xml:space="preserve"> assets w</w:t>
      </w:r>
      <w:r w:rsidR="00472262" w:rsidRPr="00925AD5">
        <w:t>ere revalued as at 31 March 20</w:t>
      </w:r>
      <w:r w:rsidR="00994056" w:rsidRPr="00925AD5">
        <w:t>2</w:t>
      </w:r>
      <w:r w:rsidR="007245DE" w:rsidRPr="00925AD5">
        <w:t>3</w:t>
      </w:r>
      <w:r w:rsidRPr="00925AD5">
        <w:t xml:space="preserve"> as detailed</w:t>
      </w:r>
      <w:r w:rsidR="006E0D07" w:rsidRPr="00925AD5">
        <w:t xml:space="preserve"> in note </w:t>
      </w:r>
      <w:r w:rsidR="00944896" w:rsidRPr="00925AD5">
        <w:t>19</w:t>
      </w:r>
      <w:r w:rsidR="00632772" w:rsidRPr="00925AD5">
        <w:t xml:space="preserve">. </w:t>
      </w:r>
    </w:p>
    <w:p w14:paraId="485A4823" w14:textId="77777777" w:rsidR="003B2779" w:rsidRPr="00925AD5" w:rsidRDefault="003B2779" w:rsidP="00CF3182">
      <w:pPr>
        <w:ind w:left="567"/>
      </w:pPr>
    </w:p>
    <w:p w14:paraId="485A4824" w14:textId="77777777" w:rsidR="003B2779" w:rsidRPr="00925AD5" w:rsidRDefault="003B2779" w:rsidP="00CF3182">
      <w:pPr>
        <w:ind w:left="567"/>
      </w:pPr>
      <w:r w:rsidRPr="00925AD5">
        <w:t>Information relating to the fair value hierarchy for the Authority’s investment properties is shown in the table below. Under IFRS 13, fair value is determined using a specific hierarchy as follows:</w:t>
      </w:r>
    </w:p>
    <w:p w14:paraId="485A4825" w14:textId="77777777" w:rsidR="003B2779" w:rsidRPr="00925AD5" w:rsidRDefault="003B2779" w:rsidP="006D2EED">
      <w:pPr>
        <w:ind w:left="720"/>
      </w:pPr>
    </w:p>
    <w:p w14:paraId="485A4826" w14:textId="77777777" w:rsidR="003B2779" w:rsidRPr="00925AD5" w:rsidRDefault="003B2779" w:rsidP="006D2EED">
      <w:pPr>
        <w:ind w:left="720"/>
      </w:pPr>
      <w:r w:rsidRPr="00925AD5">
        <w:tab/>
        <w:t>Level 1 – Quoted prices in an active market for identical assets</w:t>
      </w:r>
    </w:p>
    <w:p w14:paraId="485A4827" w14:textId="77777777" w:rsidR="003B2779" w:rsidRPr="00242676" w:rsidRDefault="003B2779" w:rsidP="006D2EED">
      <w:pPr>
        <w:ind w:left="720"/>
      </w:pPr>
      <w:r w:rsidRPr="00925AD5">
        <w:tab/>
      </w:r>
      <w:r w:rsidRPr="00242676">
        <w:t>Level 2 – Other significant observable inputs</w:t>
      </w:r>
    </w:p>
    <w:p w14:paraId="485A4828" w14:textId="77777777" w:rsidR="003B2779" w:rsidRPr="00242676" w:rsidRDefault="003B2779" w:rsidP="006D2EED">
      <w:pPr>
        <w:ind w:left="720"/>
      </w:pPr>
      <w:r w:rsidRPr="00242676">
        <w:tab/>
        <w:t>Level 3 – Significant unobservable inputs</w:t>
      </w:r>
    </w:p>
    <w:p w14:paraId="485A4829" w14:textId="77777777" w:rsidR="00CB0E9D" w:rsidRPr="00242676" w:rsidRDefault="00CB0E9D" w:rsidP="006D2EED">
      <w:pPr>
        <w:ind w:left="720"/>
      </w:pPr>
    </w:p>
    <w:p w14:paraId="485A482A" w14:textId="43394BE8" w:rsidR="00CB0E9D" w:rsidRPr="00242676" w:rsidRDefault="00CB0E9D" w:rsidP="00CF3182">
      <w:pPr>
        <w:ind w:left="567"/>
      </w:pPr>
      <w:r w:rsidRPr="00242676">
        <w:t>Th</w:t>
      </w:r>
      <w:r w:rsidR="00115D9E" w:rsidRPr="00242676">
        <w:t>e</w:t>
      </w:r>
      <w:r w:rsidRPr="00242676">
        <w:t xml:space="preserve"> Authority has no investment properties that fall into Level 1 of the hierarchy.</w:t>
      </w:r>
    </w:p>
    <w:p w14:paraId="485A482B" w14:textId="77777777" w:rsidR="003B2779" w:rsidRPr="00242676" w:rsidRDefault="003B2779" w:rsidP="006D2EED">
      <w:pPr>
        <w:ind w:left="720"/>
        <w:rPr>
          <w:sz w:val="22"/>
          <w:szCs w:val="22"/>
        </w:rPr>
      </w:pPr>
    </w:p>
    <w:p w14:paraId="485A482C" w14:textId="0C26580E" w:rsidR="00E00863" w:rsidRPr="00242676" w:rsidRDefault="00242676" w:rsidP="00D73A39">
      <w:pPr>
        <w:jc w:val="center"/>
        <w:rPr>
          <w:sz w:val="22"/>
          <w:szCs w:val="22"/>
        </w:rPr>
      </w:pPr>
      <w:r w:rsidRPr="00242676">
        <w:rPr>
          <w:noProof/>
        </w:rPr>
        <w:drawing>
          <wp:inline distT="0" distB="0" distL="0" distR="0" wp14:anchorId="212A2BCE" wp14:editId="476D0352">
            <wp:extent cx="6106795" cy="1845945"/>
            <wp:effectExtent l="0" t="0" r="8255" b="1905"/>
            <wp:docPr id="33515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06795" cy="1845945"/>
                    </a:xfrm>
                    <a:prstGeom prst="rect">
                      <a:avLst/>
                    </a:prstGeom>
                    <a:noFill/>
                    <a:ln>
                      <a:noFill/>
                    </a:ln>
                  </pic:spPr>
                </pic:pic>
              </a:graphicData>
            </a:graphic>
          </wp:inline>
        </w:drawing>
      </w:r>
    </w:p>
    <w:p w14:paraId="485A482D" w14:textId="77777777" w:rsidR="00307A1B" w:rsidRPr="00242676" w:rsidRDefault="00307A1B" w:rsidP="006D2EED">
      <w:pPr>
        <w:pStyle w:val="Subtitle"/>
        <w:tabs>
          <w:tab w:val="left" w:pos="709"/>
        </w:tabs>
        <w:ind w:left="709"/>
        <w:rPr>
          <w:rFonts w:ascii="Arial" w:hAnsi="Arial"/>
          <w:i w:val="0"/>
          <w:iCs w:val="0"/>
          <w:spacing w:val="0"/>
          <w:sz w:val="22"/>
          <w:szCs w:val="20"/>
          <w:u w:val="none"/>
        </w:rPr>
      </w:pPr>
    </w:p>
    <w:p w14:paraId="485A482E" w14:textId="77777777" w:rsidR="00C67BA7" w:rsidRPr="00242676" w:rsidRDefault="00910CBD" w:rsidP="00CF3182">
      <w:pPr>
        <w:ind w:left="567"/>
        <w:rPr>
          <w:lang w:eastAsia="en-GB"/>
        </w:rPr>
      </w:pPr>
      <w:r w:rsidRPr="00242676">
        <w:rPr>
          <w:lang w:eastAsia="en-GB"/>
        </w:rPr>
        <w:t>The following valuation techniques have been used to determine the level 2 and level 3 fair values:</w:t>
      </w:r>
    </w:p>
    <w:p w14:paraId="485A482F" w14:textId="77777777" w:rsidR="00910CBD" w:rsidRPr="00242676" w:rsidRDefault="00910CBD" w:rsidP="00CF3182">
      <w:pPr>
        <w:ind w:left="567"/>
        <w:rPr>
          <w:lang w:eastAsia="en-GB"/>
        </w:rPr>
      </w:pPr>
    </w:p>
    <w:p w14:paraId="485A4830" w14:textId="77777777" w:rsidR="00910CBD" w:rsidRPr="00242676" w:rsidRDefault="00910CBD" w:rsidP="00CF3182">
      <w:pPr>
        <w:ind w:left="567"/>
        <w:rPr>
          <w:b/>
          <w:lang w:eastAsia="en-GB"/>
        </w:rPr>
      </w:pPr>
      <w:r w:rsidRPr="00242676">
        <w:rPr>
          <w:b/>
          <w:lang w:eastAsia="en-GB"/>
        </w:rPr>
        <w:t>Significant observable inputs – Level 2</w:t>
      </w:r>
    </w:p>
    <w:p w14:paraId="485A4831" w14:textId="77777777" w:rsidR="00910CBD" w:rsidRPr="00242676" w:rsidRDefault="00910CBD" w:rsidP="00CF3182">
      <w:pPr>
        <w:ind w:left="567"/>
        <w:rPr>
          <w:b/>
          <w:lang w:eastAsia="en-GB"/>
        </w:rPr>
      </w:pPr>
    </w:p>
    <w:p w14:paraId="485A4832" w14:textId="77777777" w:rsidR="00910CBD" w:rsidRPr="00242676" w:rsidRDefault="00910CBD" w:rsidP="00CF3182">
      <w:pPr>
        <w:ind w:left="567"/>
        <w:rPr>
          <w:lang w:eastAsia="en-GB"/>
        </w:rPr>
      </w:pPr>
      <w:r w:rsidRPr="00242676">
        <w:rPr>
          <w:lang w:eastAsia="en-GB"/>
        </w:rPr>
        <w:t>The fair value has been based on the market approach using current market conditions and recent sales prices and other relevant information for similar assets in the local area. Market conditions are such that similar properties are actively purchased and sold</w:t>
      </w:r>
      <w:r w:rsidR="008720CA" w:rsidRPr="00242676">
        <w:rPr>
          <w:lang w:eastAsia="en-GB"/>
        </w:rPr>
        <w:t>. The fair value has been assessed using adjustments consistent with established practices.</w:t>
      </w:r>
    </w:p>
    <w:p w14:paraId="485A4833" w14:textId="77777777" w:rsidR="008720CA" w:rsidRPr="00242676" w:rsidRDefault="008720CA" w:rsidP="00CF3182">
      <w:pPr>
        <w:ind w:left="567"/>
        <w:rPr>
          <w:lang w:eastAsia="en-GB"/>
        </w:rPr>
      </w:pPr>
    </w:p>
    <w:p w14:paraId="485A4834" w14:textId="77777777" w:rsidR="008720CA" w:rsidRPr="00242676" w:rsidRDefault="008720CA" w:rsidP="00CF3182">
      <w:pPr>
        <w:ind w:left="567"/>
        <w:rPr>
          <w:b/>
          <w:lang w:eastAsia="en-GB"/>
        </w:rPr>
      </w:pPr>
      <w:r w:rsidRPr="00242676">
        <w:rPr>
          <w:b/>
          <w:lang w:eastAsia="en-GB"/>
        </w:rPr>
        <w:t>Significant unobservable input – Level 3</w:t>
      </w:r>
    </w:p>
    <w:p w14:paraId="485A4835" w14:textId="77777777" w:rsidR="008720CA" w:rsidRPr="00242676" w:rsidRDefault="008720CA" w:rsidP="00CF3182">
      <w:pPr>
        <w:ind w:left="567"/>
        <w:rPr>
          <w:b/>
          <w:lang w:eastAsia="en-GB"/>
        </w:rPr>
      </w:pPr>
    </w:p>
    <w:p w14:paraId="485A4836" w14:textId="77777777" w:rsidR="00A176F3" w:rsidRPr="00242676" w:rsidRDefault="008720CA" w:rsidP="00CF3182">
      <w:pPr>
        <w:ind w:left="567"/>
        <w:rPr>
          <w:lang w:eastAsia="en-GB"/>
        </w:rPr>
      </w:pPr>
      <w:r w:rsidRPr="00242676">
        <w:rPr>
          <w:lang w:eastAsia="en-GB"/>
        </w:rPr>
        <w:t xml:space="preserve">The fair value for our </w:t>
      </w:r>
      <w:r w:rsidR="000B198C" w:rsidRPr="00242676">
        <w:rPr>
          <w:lang w:eastAsia="en-GB"/>
        </w:rPr>
        <w:t>remaining hostel type asset</w:t>
      </w:r>
      <w:r w:rsidRPr="00242676">
        <w:rPr>
          <w:lang w:eastAsia="en-GB"/>
        </w:rPr>
        <w:t xml:space="preserve"> has also been based on the market approach using current market conditions. </w:t>
      </w:r>
      <w:r w:rsidR="000B198C" w:rsidRPr="00242676">
        <w:rPr>
          <w:lang w:eastAsia="en-GB"/>
        </w:rPr>
        <w:t>However, as detailed below,</w:t>
      </w:r>
      <w:r w:rsidRPr="00242676">
        <w:rPr>
          <w:lang w:eastAsia="en-GB"/>
        </w:rPr>
        <w:t xml:space="preserve"> </w:t>
      </w:r>
      <w:r w:rsidR="00A176F3" w:rsidRPr="00242676">
        <w:rPr>
          <w:lang w:eastAsia="en-GB"/>
        </w:rPr>
        <w:t>the fair value has been assessed using adjustments based on the valuer’s judgement alone and which are outside established practices.</w:t>
      </w:r>
    </w:p>
    <w:p w14:paraId="485A4837" w14:textId="77777777" w:rsidR="00A176F3" w:rsidRPr="00242676" w:rsidRDefault="00A176F3" w:rsidP="008720CA">
      <w:pPr>
        <w:ind w:left="720"/>
        <w:rPr>
          <w:lang w:eastAsia="en-GB"/>
        </w:rPr>
      </w:pPr>
    </w:p>
    <w:p w14:paraId="485A4838" w14:textId="77777777" w:rsidR="00A176F3" w:rsidRPr="00242676" w:rsidRDefault="00A176F3" w:rsidP="00CF3182">
      <w:pPr>
        <w:ind w:left="567"/>
        <w:rPr>
          <w:lang w:eastAsia="en-GB"/>
        </w:rPr>
      </w:pPr>
      <w:r w:rsidRPr="00242676">
        <w:rPr>
          <w:lang w:eastAsia="en-GB"/>
        </w:rPr>
        <w:lastRenderedPageBreak/>
        <w:t>In estimating the fair value of the Authority’s investment properties, the highest and best use of the properties is their current use.</w:t>
      </w:r>
    </w:p>
    <w:p w14:paraId="485A4839" w14:textId="77777777" w:rsidR="00A176F3" w:rsidRPr="00242676" w:rsidRDefault="00A176F3" w:rsidP="00CF3182">
      <w:pPr>
        <w:ind w:left="567"/>
        <w:rPr>
          <w:lang w:eastAsia="en-GB"/>
        </w:rPr>
      </w:pPr>
    </w:p>
    <w:p w14:paraId="485A483A" w14:textId="4EAA2B72" w:rsidR="00C60D2B" w:rsidRPr="00242676" w:rsidRDefault="004D6435" w:rsidP="002116F2">
      <w:pPr>
        <w:ind w:left="567"/>
        <w:rPr>
          <w:lang w:eastAsia="en-GB"/>
        </w:rPr>
      </w:pPr>
      <w:r w:rsidRPr="00242676">
        <w:rPr>
          <w:lang w:eastAsia="en-GB"/>
        </w:rPr>
        <w:t>There w</w:t>
      </w:r>
      <w:r w:rsidR="001126A7">
        <w:rPr>
          <w:lang w:eastAsia="en-GB"/>
        </w:rPr>
        <w:t xml:space="preserve">ere no gains or losses resulting from changes </w:t>
      </w:r>
      <w:r w:rsidRPr="00242676">
        <w:rPr>
          <w:lang w:eastAsia="en-GB"/>
        </w:rPr>
        <w:t xml:space="preserve">in </w:t>
      </w:r>
      <w:r w:rsidR="00A176F3" w:rsidRPr="00242676">
        <w:rPr>
          <w:lang w:eastAsia="en-GB"/>
        </w:rPr>
        <w:t>the fair value of assets categorised as level 3</w:t>
      </w:r>
      <w:r w:rsidR="00341565" w:rsidRPr="00242676">
        <w:rPr>
          <w:lang w:eastAsia="en-GB"/>
        </w:rPr>
        <w:t xml:space="preserve"> in the </w:t>
      </w:r>
      <w:r w:rsidR="008728A1" w:rsidRPr="00242676">
        <w:rPr>
          <w:lang w:eastAsia="en-GB"/>
        </w:rPr>
        <w:t xml:space="preserve">above </w:t>
      </w:r>
      <w:r w:rsidR="00341565" w:rsidRPr="00242676">
        <w:rPr>
          <w:lang w:eastAsia="en-GB"/>
        </w:rPr>
        <w:t>table</w:t>
      </w:r>
      <w:r w:rsidR="00BD20C9" w:rsidRPr="00242676">
        <w:rPr>
          <w:lang w:eastAsia="en-GB"/>
        </w:rPr>
        <w:t xml:space="preserve"> in 20</w:t>
      </w:r>
      <w:r w:rsidR="00A66674" w:rsidRPr="00242676">
        <w:rPr>
          <w:lang w:eastAsia="en-GB"/>
        </w:rPr>
        <w:t>2</w:t>
      </w:r>
      <w:r w:rsidR="00242676" w:rsidRPr="00242676">
        <w:rPr>
          <w:lang w:eastAsia="en-GB"/>
        </w:rPr>
        <w:t>2</w:t>
      </w:r>
      <w:r w:rsidR="005F6390" w:rsidRPr="00242676">
        <w:rPr>
          <w:lang w:eastAsia="en-GB"/>
        </w:rPr>
        <w:t>/</w:t>
      </w:r>
      <w:r w:rsidR="002C6D08" w:rsidRPr="00242676">
        <w:rPr>
          <w:lang w:eastAsia="en-GB"/>
        </w:rPr>
        <w:t>2</w:t>
      </w:r>
      <w:r w:rsidR="00242676" w:rsidRPr="00242676">
        <w:rPr>
          <w:lang w:eastAsia="en-GB"/>
        </w:rPr>
        <w:t>3</w:t>
      </w:r>
      <w:r w:rsidR="002116F2">
        <w:rPr>
          <w:lang w:eastAsia="en-GB"/>
        </w:rPr>
        <w:t xml:space="preserve">. </w:t>
      </w:r>
      <w:r w:rsidR="00C60D2B" w:rsidRPr="00242676">
        <w:rPr>
          <w:lang w:eastAsia="en-GB"/>
        </w:rPr>
        <w:t>A reconciliation of fair value measurements using significant unobservable inputs categorised within level 3 of the fair value hierarchy is shown in the table below:</w:t>
      </w:r>
    </w:p>
    <w:p w14:paraId="485A483B" w14:textId="77777777" w:rsidR="00C60D2B" w:rsidRPr="00242676" w:rsidRDefault="00C60D2B" w:rsidP="008720CA">
      <w:pPr>
        <w:ind w:left="720"/>
        <w:rPr>
          <w:lang w:eastAsia="en-GB"/>
        </w:rPr>
      </w:pPr>
    </w:p>
    <w:p w14:paraId="485A483C" w14:textId="3F38AF0C" w:rsidR="008720CA" w:rsidRPr="00242676" w:rsidRDefault="00242676" w:rsidP="00AC3B17">
      <w:pPr>
        <w:ind w:left="720"/>
        <w:jc w:val="center"/>
        <w:rPr>
          <w:lang w:eastAsia="en-GB"/>
        </w:rPr>
      </w:pPr>
      <w:r w:rsidRPr="00242676">
        <w:rPr>
          <w:noProof/>
        </w:rPr>
        <w:drawing>
          <wp:inline distT="0" distB="0" distL="0" distR="0" wp14:anchorId="68AF92A9" wp14:editId="2AF75BC3">
            <wp:extent cx="4333875" cy="1885950"/>
            <wp:effectExtent l="0" t="0" r="9525" b="0"/>
            <wp:docPr id="254385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33875" cy="1885950"/>
                    </a:xfrm>
                    <a:prstGeom prst="rect">
                      <a:avLst/>
                    </a:prstGeom>
                    <a:noFill/>
                    <a:ln>
                      <a:noFill/>
                    </a:ln>
                  </pic:spPr>
                </pic:pic>
              </a:graphicData>
            </a:graphic>
          </wp:inline>
        </w:drawing>
      </w:r>
    </w:p>
    <w:p w14:paraId="485A483D" w14:textId="77777777" w:rsidR="00C67BA7" w:rsidRPr="00242676" w:rsidRDefault="00C67BA7" w:rsidP="00C67BA7">
      <w:pPr>
        <w:rPr>
          <w:lang w:eastAsia="en-GB"/>
        </w:rPr>
      </w:pPr>
    </w:p>
    <w:p w14:paraId="485A483E" w14:textId="77777777" w:rsidR="00C67BA7" w:rsidRPr="00447725" w:rsidRDefault="003558ED" w:rsidP="00CF3182">
      <w:pPr>
        <w:ind w:left="567"/>
        <w:rPr>
          <w:lang w:eastAsia="en-GB"/>
        </w:rPr>
      </w:pPr>
      <w:r w:rsidRPr="00242676">
        <w:rPr>
          <w:lang w:eastAsia="en-GB"/>
        </w:rPr>
        <w:t xml:space="preserve">As </w:t>
      </w:r>
      <w:r w:rsidR="00621A29" w:rsidRPr="00242676">
        <w:rPr>
          <w:lang w:eastAsia="en-GB"/>
        </w:rPr>
        <w:t>the valuation technique used</w:t>
      </w:r>
      <w:r w:rsidRPr="00242676">
        <w:rPr>
          <w:lang w:eastAsia="en-GB"/>
        </w:rPr>
        <w:t xml:space="preserve"> to measure the fair value of </w:t>
      </w:r>
      <w:r w:rsidR="005F6390" w:rsidRPr="00242676">
        <w:rPr>
          <w:lang w:eastAsia="en-GB"/>
        </w:rPr>
        <w:t>the assets categorised as level </w:t>
      </w:r>
      <w:r w:rsidRPr="00242676">
        <w:rPr>
          <w:lang w:eastAsia="en-GB"/>
        </w:rPr>
        <w:t xml:space="preserve">3 is based on current market conditions, significant </w:t>
      </w:r>
      <w:r w:rsidR="001748B0" w:rsidRPr="00242676">
        <w:rPr>
          <w:lang w:eastAsia="en-GB"/>
        </w:rPr>
        <w:t xml:space="preserve">changes to the market would </w:t>
      </w:r>
      <w:r w:rsidR="001748B0" w:rsidRPr="00447725">
        <w:rPr>
          <w:lang w:eastAsia="en-GB"/>
        </w:rPr>
        <w:t>result in significantly lower or higher values.</w:t>
      </w:r>
      <w:r w:rsidR="00341565" w:rsidRPr="00447725">
        <w:rPr>
          <w:lang w:eastAsia="en-GB"/>
        </w:rPr>
        <w:t xml:space="preserve"> </w:t>
      </w:r>
    </w:p>
    <w:p w14:paraId="485A483F" w14:textId="77777777" w:rsidR="00C67BA7" w:rsidRPr="00447725" w:rsidRDefault="00C67BA7" w:rsidP="00CF3182">
      <w:pPr>
        <w:ind w:left="567"/>
        <w:rPr>
          <w:lang w:eastAsia="en-GB"/>
        </w:rPr>
      </w:pPr>
    </w:p>
    <w:p w14:paraId="485A4840" w14:textId="77777777" w:rsidR="00E00863" w:rsidRPr="00447725" w:rsidRDefault="003558ED" w:rsidP="00CF3182">
      <w:pPr>
        <w:pStyle w:val="Subtitle"/>
        <w:tabs>
          <w:tab w:val="left" w:pos="709"/>
        </w:tabs>
        <w:ind w:left="567"/>
        <w:rPr>
          <w:rFonts w:ascii="Arial" w:hAnsi="Arial"/>
          <w:i w:val="0"/>
          <w:iCs w:val="0"/>
          <w:spacing w:val="0"/>
          <w:sz w:val="23"/>
          <w:szCs w:val="23"/>
          <w:u w:val="none"/>
        </w:rPr>
      </w:pPr>
      <w:r w:rsidRPr="00447725">
        <w:rPr>
          <w:rFonts w:ascii="Arial" w:hAnsi="Arial"/>
          <w:i w:val="0"/>
          <w:iCs w:val="0"/>
          <w:spacing w:val="0"/>
          <w:sz w:val="23"/>
          <w:szCs w:val="23"/>
          <w:u w:val="none"/>
        </w:rPr>
        <w:t>Other a</w:t>
      </w:r>
      <w:r w:rsidR="00E00863" w:rsidRPr="00447725">
        <w:rPr>
          <w:rFonts w:ascii="Arial" w:hAnsi="Arial"/>
          <w:i w:val="0"/>
          <w:iCs w:val="0"/>
          <w:spacing w:val="0"/>
          <w:sz w:val="23"/>
          <w:szCs w:val="23"/>
          <w:u w:val="none"/>
        </w:rPr>
        <w:t>mounts that have been recognised in the Comprehensive Income and Expenditure Statement relating to investment property are:</w:t>
      </w:r>
    </w:p>
    <w:p w14:paraId="485A4841" w14:textId="77777777" w:rsidR="00E00863" w:rsidRPr="00447725" w:rsidRDefault="00E00863" w:rsidP="006D2EED"/>
    <w:p w14:paraId="485A4842" w14:textId="7A133517" w:rsidR="00E00863" w:rsidRPr="00447725" w:rsidRDefault="00447725" w:rsidP="005C4E2E">
      <w:pPr>
        <w:jc w:val="center"/>
      </w:pPr>
      <w:bookmarkStart w:id="129" w:name="_MON_1363760949"/>
      <w:bookmarkStart w:id="130" w:name="_MON_1368422711"/>
      <w:bookmarkStart w:id="131" w:name="_MON_1368422895"/>
      <w:bookmarkStart w:id="132" w:name="_MON_1369741949"/>
      <w:bookmarkStart w:id="133" w:name="_MON_1370175839"/>
      <w:bookmarkStart w:id="134" w:name="_MON_1370695032"/>
      <w:bookmarkStart w:id="135" w:name="_MON_1372667147"/>
      <w:bookmarkStart w:id="136" w:name="_MON_1395563706"/>
      <w:bookmarkStart w:id="137" w:name="_MON_1401093036"/>
      <w:bookmarkStart w:id="138" w:name="_MON_1401539212"/>
      <w:bookmarkStart w:id="139" w:name="_MON_1401543241"/>
      <w:bookmarkStart w:id="140" w:name="_MON_1402138245"/>
      <w:bookmarkStart w:id="141" w:name="_MON_1402295691"/>
      <w:bookmarkStart w:id="142" w:name="_MON_1361882538"/>
      <w:bookmarkStart w:id="143" w:name="_MON_1361882557"/>
      <w:bookmarkStart w:id="144" w:name="_MON_1361882571"/>
      <w:bookmarkStart w:id="145" w:name="_MON_1362488689"/>
      <w:bookmarkStart w:id="146" w:name="_MON_1362488706"/>
      <w:bookmarkStart w:id="147" w:name="_MON_1362488747"/>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447725">
        <w:rPr>
          <w:noProof/>
        </w:rPr>
        <w:drawing>
          <wp:inline distT="0" distB="0" distL="0" distR="0" wp14:anchorId="1EB541FC" wp14:editId="31F44701">
            <wp:extent cx="5931535" cy="1891652"/>
            <wp:effectExtent l="0" t="0" r="0" b="0"/>
            <wp:docPr id="1567670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37366" cy="1893512"/>
                    </a:xfrm>
                    <a:prstGeom prst="rect">
                      <a:avLst/>
                    </a:prstGeom>
                    <a:noFill/>
                    <a:ln>
                      <a:noFill/>
                    </a:ln>
                  </pic:spPr>
                </pic:pic>
              </a:graphicData>
            </a:graphic>
          </wp:inline>
        </w:drawing>
      </w:r>
    </w:p>
    <w:p w14:paraId="485A4843" w14:textId="77777777" w:rsidR="00E00863" w:rsidRPr="004D5CA8" w:rsidRDefault="00E00863" w:rsidP="006D2EED">
      <w:pPr>
        <w:pStyle w:val="Subtitle"/>
        <w:numPr>
          <w:ilvl w:val="0"/>
          <w:numId w:val="0"/>
        </w:numPr>
        <w:tabs>
          <w:tab w:val="left" w:pos="-709"/>
          <w:tab w:val="left" w:pos="-284"/>
          <w:tab w:val="left" w:pos="-142"/>
          <w:tab w:val="left" w:pos="0"/>
          <w:tab w:val="left" w:pos="1276"/>
        </w:tabs>
        <w:spacing w:line="240" w:lineRule="atLeast"/>
        <w:ind w:right="680"/>
        <w:rPr>
          <w:rFonts w:ascii="Arial" w:eastAsia="Times New Roman" w:hAnsi="Arial"/>
          <w:i w:val="0"/>
          <w:iCs w:val="0"/>
          <w:spacing w:val="0"/>
          <w:sz w:val="23"/>
          <w:szCs w:val="23"/>
          <w:highlight w:val="yellow"/>
          <w:u w:val="none"/>
          <w:lang w:eastAsia="en-US"/>
        </w:rPr>
      </w:pPr>
    </w:p>
    <w:p w14:paraId="485A4844" w14:textId="77777777" w:rsidR="00E00863" w:rsidRPr="005A5C2C" w:rsidRDefault="00E00863" w:rsidP="00CF3182">
      <w:pPr>
        <w:ind w:left="567"/>
      </w:pPr>
      <w:bookmarkStart w:id="148" w:name="_Hlk135407193"/>
      <w:r w:rsidRPr="00C9637C">
        <w:t>The Authority has contractual responsibility for landlord</w:t>
      </w:r>
      <w:r w:rsidR="00681A42" w:rsidRPr="00C9637C">
        <w:t>’</w:t>
      </w:r>
      <w:r w:rsidRPr="00C9637C">
        <w:t xml:space="preserve">s repairs and maintenance expenditure on </w:t>
      </w:r>
      <w:r w:rsidR="005709CC" w:rsidRPr="00C9637C">
        <w:t>five</w:t>
      </w:r>
      <w:r w:rsidRPr="00C9637C">
        <w:t xml:space="preserve"> of its investment properties. It also has responsibility for tree safety works within its woodlands. </w:t>
      </w:r>
      <w:r w:rsidR="002E17CB" w:rsidRPr="00C9637C">
        <w:t>The Authority may not be able to realise the full valu</w:t>
      </w:r>
      <w:r w:rsidR="00672D08" w:rsidRPr="00C9637C">
        <w:t xml:space="preserve">e of one property, </w:t>
      </w:r>
      <w:r w:rsidR="002E17CB" w:rsidRPr="00C9637C">
        <w:t>because external monies were received toward its purchase</w:t>
      </w:r>
      <w:r w:rsidR="00C004F2" w:rsidRPr="00C9637C">
        <w:t xml:space="preserve">. There are no restrictions on the Authority’s ability to realise the value inherent in its other investment properties or on the Authority’s right to the remittance of income and the proceeds of disposal. </w:t>
      </w:r>
      <w:r w:rsidR="004C3960" w:rsidRPr="00C9637C">
        <w:t>Non</w:t>
      </w:r>
      <w:r w:rsidR="006574CB" w:rsidRPr="00C9637C">
        <w:t>e of these properties are held under finance or operating leases</w:t>
      </w:r>
      <w:r w:rsidR="004C3960" w:rsidRPr="00C9637C">
        <w:t>.</w:t>
      </w:r>
    </w:p>
    <w:bookmarkEnd w:id="148"/>
    <w:p w14:paraId="485A4845" w14:textId="77777777" w:rsidR="00FE5E19" w:rsidRPr="004D5CA8" w:rsidRDefault="00FE5E19" w:rsidP="006D2EED">
      <w:pPr>
        <w:rPr>
          <w:rFonts w:cs="Arial"/>
          <w:b/>
          <w:i/>
          <w:highlight w:val="yellow"/>
        </w:rPr>
      </w:pPr>
    </w:p>
    <w:p w14:paraId="485A4846" w14:textId="77777777" w:rsidR="001F153B" w:rsidRPr="004D5CA8" w:rsidRDefault="001F153B" w:rsidP="006D2EED">
      <w:pPr>
        <w:rPr>
          <w:highlight w:val="yellow"/>
        </w:rPr>
      </w:pPr>
    </w:p>
    <w:p w14:paraId="485A4847" w14:textId="1A3FAB47" w:rsidR="00E00863" w:rsidRPr="005A5C2C" w:rsidRDefault="004B1BA7" w:rsidP="006D2EED">
      <w:pPr>
        <w:pStyle w:val="Subtitle"/>
        <w:numPr>
          <w:ilvl w:val="0"/>
          <w:numId w:val="0"/>
        </w:numPr>
        <w:tabs>
          <w:tab w:val="left" w:pos="-709"/>
          <w:tab w:val="left" w:pos="-284"/>
          <w:tab w:val="left" w:pos="-142"/>
          <w:tab w:val="left" w:pos="0"/>
          <w:tab w:val="left" w:pos="720"/>
        </w:tabs>
        <w:spacing w:line="240" w:lineRule="atLeast"/>
        <w:ind w:right="680"/>
        <w:rPr>
          <w:rFonts w:ascii="Arial" w:hAnsi="Arial" w:cs="Arial"/>
          <w:b/>
          <w:i w:val="0"/>
          <w:sz w:val="23"/>
          <w:szCs w:val="23"/>
          <w:u w:val="none"/>
        </w:rPr>
      </w:pPr>
      <w:r w:rsidRPr="005A5C2C">
        <w:rPr>
          <w:rFonts w:ascii="Arial" w:hAnsi="Arial" w:cs="Arial"/>
          <w:b/>
          <w:i w:val="0"/>
          <w:sz w:val="23"/>
          <w:szCs w:val="23"/>
          <w:u w:val="none"/>
        </w:rPr>
        <w:t>2</w:t>
      </w:r>
      <w:r w:rsidR="00FB3A44" w:rsidRPr="005A5C2C">
        <w:rPr>
          <w:rFonts w:ascii="Arial" w:hAnsi="Arial" w:cs="Arial"/>
          <w:b/>
          <w:i w:val="0"/>
          <w:sz w:val="23"/>
          <w:szCs w:val="23"/>
          <w:u w:val="none"/>
        </w:rPr>
        <w:t>2</w:t>
      </w:r>
      <w:r w:rsidR="00B257D7" w:rsidRPr="005A5C2C">
        <w:rPr>
          <w:rFonts w:ascii="Arial" w:hAnsi="Arial" w:cs="Arial"/>
          <w:b/>
          <w:i w:val="0"/>
          <w:sz w:val="23"/>
          <w:szCs w:val="23"/>
          <w:u w:val="none"/>
        </w:rPr>
        <w:t>.</w:t>
      </w:r>
      <w:r w:rsidRPr="005A5C2C">
        <w:rPr>
          <w:rFonts w:ascii="Arial" w:hAnsi="Arial" w:cs="Arial"/>
          <w:b/>
          <w:i w:val="0"/>
          <w:sz w:val="23"/>
          <w:szCs w:val="23"/>
          <w:u w:val="none"/>
        </w:rPr>
        <w:tab/>
      </w:r>
      <w:r w:rsidR="00E00863" w:rsidRPr="005A5C2C">
        <w:rPr>
          <w:rFonts w:ascii="Arial" w:eastAsia="Times New Roman" w:hAnsi="Arial"/>
          <w:b/>
          <w:i w:val="0"/>
          <w:iCs w:val="0"/>
          <w:spacing w:val="0"/>
          <w:sz w:val="23"/>
          <w:szCs w:val="23"/>
          <w:u w:val="none"/>
          <w:lang w:eastAsia="en-US"/>
        </w:rPr>
        <w:t>Leases</w:t>
      </w:r>
      <w:r w:rsidR="005A5C2C">
        <w:rPr>
          <w:rFonts w:ascii="Arial" w:eastAsia="Times New Roman" w:hAnsi="Arial"/>
          <w:b/>
          <w:i w:val="0"/>
          <w:iCs w:val="0"/>
          <w:spacing w:val="0"/>
          <w:sz w:val="23"/>
          <w:szCs w:val="23"/>
          <w:u w:val="none"/>
          <w:lang w:eastAsia="en-US"/>
        </w:rPr>
        <w:t xml:space="preserve"> </w:t>
      </w:r>
    </w:p>
    <w:p w14:paraId="485A4848" w14:textId="77777777" w:rsidR="002872C5" w:rsidRPr="005A5C2C" w:rsidRDefault="002872C5" w:rsidP="006D2EED">
      <w:pPr>
        <w:rPr>
          <w:lang w:eastAsia="en-GB"/>
        </w:rPr>
      </w:pPr>
    </w:p>
    <w:p w14:paraId="485A4849" w14:textId="77777777" w:rsidR="002872C5" w:rsidRPr="004D5CA8" w:rsidRDefault="008849B5" w:rsidP="00040C1A">
      <w:pPr>
        <w:pStyle w:val="Heading6"/>
        <w:rPr>
          <w:highlight w:val="yellow"/>
          <w:lang w:eastAsia="en-GB"/>
        </w:rPr>
      </w:pPr>
      <w:r w:rsidRPr="005A5C2C">
        <w:rPr>
          <w:b w:val="0"/>
          <w:u w:val="none"/>
          <w:lang w:eastAsia="en-GB"/>
        </w:rPr>
        <w:t>Under t</w:t>
      </w:r>
      <w:r w:rsidR="0056264A" w:rsidRPr="005A5C2C">
        <w:rPr>
          <w:b w:val="0"/>
          <w:u w:val="none"/>
          <w:lang w:eastAsia="en-GB"/>
        </w:rPr>
        <w:t xml:space="preserve">he Code </w:t>
      </w:r>
      <w:r w:rsidRPr="005A5C2C">
        <w:rPr>
          <w:b w:val="0"/>
          <w:u w:val="none"/>
          <w:lang w:eastAsia="en-GB"/>
        </w:rPr>
        <w:t xml:space="preserve">leases are classified as either finance or operating leases based on the extent to which risks and rewards incidental to ownership of a leased asset lie with the lessor or the lessee. The Code also </w:t>
      </w:r>
      <w:r w:rsidR="0056264A" w:rsidRPr="005A5C2C">
        <w:rPr>
          <w:b w:val="0"/>
          <w:u w:val="none"/>
          <w:lang w:eastAsia="en-GB"/>
        </w:rPr>
        <w:t>requires the land and buildings elements of a lease of land and buildings to be classified and accounted for separately.</w:t>
      </w:r>
    </w:p>
    <w:p w14:paraId="485A484A" w14:textId="77777777" w:rsidR="007F01E5" w:rsidRPr="004D5CA8" w:rsidRDefault="007F01E5" w:rsidP="006D2EED">
      <w:pPr>
        <w:ind w:left="720"/>
        <w:rPr>
          <w:highlight w:val="yellow"/>
          <w:lang w:eastAsia="en-GB"/>
        </w:rPr>
      </w:pPr>
    </w:p>
    <w:p w14:paraId="485A484D" w14:textId="77777777" w:rsidR="00E00863" w:rsidRPr="005A5C2C" w:rsidRDefault="00C17465" w:rsidP="006D2EED">
      <w:pPr>
        <w:pStyle w:val="Subtitle"/>
        <w:numPr>
          <w:ilvl w:val="0"/>
          <w:numId w:val="0"/>
        </w:numPr>
        <w:tabs>
          <w:tab w:val="left" w:pos="-709"/>
          <w:tab w:val="left" w:pos="-284"/>
          <w:tab w:val="left" w:pos="-142"/>
          <w:tab w:val="left" w:pos="0"/>
          <w:tab w:val="left" w:pos="709"/>
        </w:tabs>
        <w:spacing w:line="240" w:lineRule="atLeast"/>
        <w:ind w:right="680"/>
        <w:rPr>
          <w:rFonts w:ascii="Arial" w:hAnsi="Arial"/>
          <w:b/>
          <w:i w:val="0"/>
          <w:iCs w:val="0"/>
          <w:spacing w:val="0"/>
          <w:sz w:val="22"/>
          <w:szCs w:val="20"/>
          <w:u w:val="none"/>
        </w:rPr>
      </w:pPr>
      <w:r w:rsidRPr="005A5C2C">
        <w:rPr>
          <w:rFonts w:ascii="Arial" w:hAnsi="Arial"/>
          <w:b/>
          <w:i w:val="0"/>
          <w:iCs w:val="0"/>
          <w:spacing w:val="0"/>
          <w:sz w:val="22"/>
          <w:szCs w:val="20"/>
          <w:u w:val="none"/>
        </w:rPr>
        <w:lastRenderedPageBreak/>
        <w:t xml:space="preserve">Lessee </w:t>
      </w:r>
      <w:r w:rsidR="00E00863" w:rsidRPr="005A5C2C">
        <w:rPr>
          <w:rFonts w:ascii="Arial" w:hAnsi="Arial"/>
          <w:b/>
          <w:i w:val="0"/>
          <w:iCs w:val="0"/>
          <w:spacing w:val="0"/>
          <w:sz w:val="22"/>
          <w:szCs w:val="20"/>
          <w:u w:val="none"/>
        </w:rPr>
        <w:t>Operating Leases</w:t>
      </w:r>
    </w:p>
    <w:p w14:paraId="485A484E" w14:textId="77777777" w:rsidR="00E00863" w:rsidRPr="005A5C2C" w:rsidRDefault="00E00863" w:rsidP="006D2EED">
      <w:pPr>
        <w:pStyle w:val="Subtitle"/>
        <w:tabs>
          <w:tab w:val="left" w:pos="709"/>
        </w:tabs>
        <w:ind w:left="720"/>
        <w:rPr>
          <w:rFonts w:ascii="Arial" w:hAnsi="Arial" w:cs="Arial"/>
          <w:i w:val="0"/>
          <w:sz w:val="22"/>
          <w:u w:val="none"/>
        </w:rPr>
      </w:pPr>
    </w:p>
    <w:p w14:paraId="485A484F" w14:textId="7DF71D0A" w:rsidR="00E00863" w:rsidRPr="005A5C2C" w:rsidRDefault="00E00863" w:rsidP="006D2EED">
      <w:pPr>
        <w:pStyle w:val="HEADING"/>
        <w:ind w:left="720"/>
        <w:rPr>
          <w:b w:val="0"/>
          <w:bCs/>
          <w:sz w:val="23"/>
        </w:rPr>
      </w:pPr>
      <w:r w:rsidRPr="005A5C2C">
        <w:rPr>
          <w:b w:val="0"/>
          <w:bCs/>
          <w:sz w:val="23"/>
        </w:rPr>
        <w:t>The Aut</w:t>
      </w:r>
      <w:r w:rsidR="00C77505" w:rsidRPr="005A5C2C">
        <w:rPr>
          <w:b w:val="0"/>
          <w:bCs/>
          <w:sz w:val="23"/>
        </w:rPr>
        <w:t xml:space="preserve">hority uses vehicles, </w:t>
      </w:r>
      <w:r w:rsidRPr="005A5C2C">
        <w:rPr>
          <w:b w:val="0"/>
          <w:bCs/>
          <w:sz w:val="23"/>
        </w:rPr>
        <w:t>and other equipment financed under the terms of operating leases.</w:t>
      </w:r>
      <w:r w:rsidR="00D95903" w:rsidRPr="005A5C2C">
        <w:rPr>
          <w:b w:val="0"/>
          <w:bCs/>
          <w:sz w:val="23"/>
        </w:rPr>
        <w:t xml:space="preserve"> </w:t>
      </w:r>
      <w:r w:rsidRPr="005A5C2C">
        <w:rPr>
          <w:b w:val="0"/>
          <w:bCs/>
          <w:sz w:val="23"/>
        </w:rPr>
        <w:t>The amount paid under these arrangements in 20</w:t>
      </w:r>
      <w:r w:rsidR="009E0470" w:rsidRPr="005A5C2C">
        <w:rPr>
          <w:b w:val="0"/>
          <w:bCs/>
          <w:sz w:val="23"/>
        </w:rPr>
        <w:t>2</w:t>
      </w:r>
      <w:r w:rsidR="005A5C2C" w:rsidRPr="005A5C2C">
        <w:rPr>
          <w:b w:val="0"/>
          <w:bCs/>
          <w:sz w:val="23"/>
        </w:rPr>
        <w:t>2</w:t>
      </w:r>
      <w:r w:rsidR="005F6390" w:rsidRPr="005A5C2C">
        <w:rPr>
          <w:b w:val="0"/>
          <w:bCs/>
          <w:sz w:val="23"/>
        </w:rPr>
        <w:t>/</w:t>
      </w:r>
      <w:r w:rsidR="002C6D08" w:rsidRPr="005A5C2C">
        <w:rPr>
          <w:b w:val="0"/>
          <w:bCs/>
          <w:sz w:val="23"/>
        </w:rPr>
        <w:t>2</w:t>
      </w:r>
      <w:r w:rsidR="005A5C2C" w:rsidRPr="005A5C2C">
        <w:rPr>
          <w:b w:val="0"/>
          <w:bCs/>
          <w:sz w:val="23"/>
        </w:rPr>
        <w:t>3</w:t>
      </w:r>
      <w:r w:rsidRPr="005A5C2C">
        <w:rPr>
          <w:b w:val="0"/>
          <w:bCs/>
          <w:sz w:val="23"/>
        </w:rPr>
        <w:t xml:space="preserve"> was £</w:t>
      </w:r>
      <w:r w:rsidR="005A5C2C" w:rsidRPr="005A5C2C">
        <w:rPr>
          <w:b w:val="0"/>
          <w:bCs/>
          <w:sz w:val="23"/>
        </w:rPr>
        <w:t>63k</w:t>
      </w:r>
      <w:r w:rsidRPr="005A5C2C">
        <w:rPr>
          <w:b w:val="0"/>
          <w:bCs/>
          <w:sz w:val="23"/>
        </w:rPr>
        <w:t xml:space="preserve"> (20</w:t>
      </w:r>
      <w:r w:rsidR="00F07203" w:rsidRPr="005A5C2C">
        <w:rPr>
          <w:b w:val="0"/>
          <w:bCs/>
          <w:sz w:val="23"/>
        </w:rPr>
        <w:t>2</w:t>
      </w:r>
      <w:r w:rsidR="005A5C2C" w:rsidRPr="005A5C2C">
        <w:rPr>
          <w:b w:val="0"/>
          <w:bCs/>
          <w:sz w:val="23"/>
        </w:rPr>
        <w:t>1</w:t>
      </w:r>
      <w:r w:rsidR="005F6390" w:rsidRPr="005A5C2C">
        <w:rPr>
          <w:b w:val="0"/>
          <w:bCs/>
          <w:sz w:val="23"/>
        </w:rPr>
        <w:t>/</w:t>
      </w:r>
      <w:r w:rsidR="002350E0" w:rsidRPr="005A5C2C">
        <w:rPr>
          <w:b w:val="0"/>
          <w:bCs/>
          <w:sz w:val="23"/>
        </w:rPr>
        <w:t>2</w:t>
      </w:r>
      <w:r w:rsidR="005A5C2C" w:rsidRPr="005A5C2C">
        <w:rPr>
          <w:b w:val="0"/>
          <w:bCs/>
          <w:sz w:val="23"/>
        </w:rPr>
        <w:t>2</w:t>
      </w:r>
      <w:r w:rsidRPr="005A5C2C">
        <w:rPr>
          <w:b w:val="0"/>
          <w:bCs/>
          <w:sz w:val="23"/>
        </w:rPr>
        <w:t xml:space="preserve"> £</w:t>
      </w:r>
      <w:r w:rsidR="005A5C2C" w:rsidRPr="005A5C2C">
        <w:rPr>
          <w:b w:val="0"/>
          <w:bCs/>
          <w:sz w:val="23"/>
        </w:rPr>
        <w:t>42k</w:t>
      </w:r>
      <w:r w:rsidRPr="005A5C2C">
        <w:rPr>
          <w:b w:val="0"/>
          <w:bCs/>
          <w:sz w:val="23"/>
        </w:rPr>
        <w:t>).</w:t>
      </w:r>
      <w:r w:rsidR="00D95903" w:rsidRPr="005A5C2C">
        <w:rPr>
          <w:b w:val="0"/>
          <w:bCs/>
          <w:sz w:val="23"/>
        </w:rPr>
        <w:t xml:space="preserve"> </w:t>
      </w:r>
      <w:r w:rsidRPr="005A5C2C">
        <w:rPr>
          <w:b w:val="0"/>
          <w:bCs/>
          <w:sz w:val="23"/>
        </w:rPr>
        <w:t>It also uses land and buildings financed under the terms of operating leases.</w:t>
      </w:r>
      <w:r w:rsidR="00D95903" w:rsidRPr="005A5C2C">
        <w:rPr>
          <w:b w:val="0"/>
          <w:bCs/>
          <w:sz w:val="23"/>
        </w:rPr>
        <w:t xml:space="preserve"> </w:t>
      </w:r>
      <w:r w:rsidRPr="005A5C2C">
        <w:rPr>
          <w:b w:val="0"/>
          <w:bCs/>
          <w:sz w:val="23"/>
        </w:rPr>
        <w:t>The amount paid under these arrangements in 20</w:t>
      </w:r>
      <w:r w:rsidR="007877EC" w:rsidRPr="005A5C2C">
        <w:rPr>
          <w:b w:val="0"/>
          <w:bCs/>
          <w:sz w:val="23"/>
        </w:rPr>
        <w:t>2</w:t>
      </w:r>
      <w:r w:rsidR="005A5C2C" w:rsidRPr="005A5C2C">
        <w:rPr>
          <w:b w:val="0"/>
          <w:bCs/>
          <w:sz w:val="23"/>
        </w:rPr>
        <w:t>2</w:t>
      </w:r>
      <w:r w:rsidR="005F6390" w:rsidRPr="005A5C2C">
        <w:rPr>
          <w:b w:val="0"/>
          <w:bCs/>
          <w:sz w:val="23"/>
        </w:rPr>
        <w:t>/</w:t>
      </w:r>
      <w:r w:rsidR="002C6D08" w:rsidRPr="005A5C2C">
        <w:rPr>
          <w:b w:val="0"/>
          <w:bCs/>
          <w:sz w:val="23"/>
        </w:rPr>
        <w:t>2</w:t>
      </w:r>
      <w:r w:rsidR="005A5C2C" w:rsidRPr="005A5C2C">
        <w:rPr>
          <w:b w:val="0"/>
          <w:bCs/>
          <w:sz w:val="23"/>
        </w:rPr>
        <w:t>3</w:t>
      </w:r>
      <w:r w:rsidRPr="005A5C2C">
        <w:rPr>
          <w:b w:val="0"/>
          <w:bCs/>
          <w:sz w:val="23"/>
        </w:rPr>
        <w:t xml:space="preserve"> was £</w:t>
      </w:r>
      <w:r w:rsidR="005A5C2C" w:rsidRPr="005A5C2C">
        <w:rPr>
          <w:b w:val="0"/>
          <w:bCs/>
          <w:sz w:val="23"/>
        </w:rPr>
        <w:t>297k</w:t>
      </w:r>
      <w:r w:rsidRPr="005A5C2C">
        <w:rPr>
          <w:b w:val="0"/>
          <w:bCs/>
          <w:sz w:val="23"/>
        </w:rPr>
        <w:t xml:space="preserve"> (20</w:t>
      </w:r>
      <w:r w:rsidR="00F07203" w:rsidRPr="005A5C2C">
        <w:rPr>
          <w:b w:val="0"/>
          <w:bCs/>
          <w:sz w:val="23"/>
        </w:rPr>
        <w:t>2</w:t>
      </w:r>
      <w:r w:rsidR="005A5C2C" w:rsidRPr="005A5C2C">
        <w:rPr>
          <w:b w:val="0"/>
          <w:bCs/>
          <w:sz w:val="23"/>
        </w:rPr>
        <w:t>1</w:t>
      </w:r>
      <w:r w:rsidR="005F6390" w:rsidRPr="005A5C2C">
        <w:rPr>
          <w:b w:val="0"/>
          <w:bCs/>
          <w:sz w:val="23"/>
        </w:rPr>
        <w:t>/</w:t>
      </w:r>
      <w:r w:rsidR="007877EC" w:rsidRPr="005A5C2C">
        <w:rPr>
          <w:b w:val="0"/>
          <w:bCs/>
          <w:sz w:val="23"/>
        </w:rPr>
        <w:t>2</w:t>
      </w:r>
      <w:r w:rsidR="005A5C2C" w:rsidRPr="005A5C2C">
        <w:rPr>
          <w:b w:val="0"/>
          <w:bCs/>
          <w:sz w:val="23"/>
        </w:rPr>
        <w:t>2</w:t>
      </w:r>
      <w:r w:rsidRPr="005A5C2C">
        <w:rPr>
          <w:b w:val="0"/>
          <w:bCs/>
          <w:sz w:val="23"/>
        </w:rPr>
        <w:t xml:space="preserve"> £</w:t>
      </w:r>
      <w:r w:rsidR="005A5C2C" w:rsidRPr="005A5C2C">
        <w:rPr>
          <w:b w:val="0"/>
          <w:bCs/>
          <w:sz w:val="23"/>
        </w:rPr>
        <w:t>216k</w:t>
      </w:r>
      <w:r w:rsidRPr="005A5C2C">
        <w:rPr>
          <w:b w:val="0"/>
          <w:bCs/>
          <w:sz w:val="23"/>
        </w:rPr>
        <w:t>).</w:t>
      </w:r>
      <w:r w:rsidR="00D95903" w:rsidRPr="005A5C2C">
        <w:rPr>
          <w:b w:val="0"/>
          <w:bCs/>
          <w:sz w:val="23"/>
        </w:rPr>
        <w:t xml:space="preserve"> </w:t>
      </w:r>
      <w:r w:rsidR="00537E9D" w:rsidRPr="005A5C2C">
        <w:rPr>
          <w:b w:val="0"/>
          <w:bCs/>
          <w:sz w:val="23"/>
        </w:rPr>
        <w:t>O</w:t>
      </w:r>
      <w:r w:rsidRPr="005A5C2C">
        <w:rPr>
          <w:b w:val="0"/>
          <w:bCs/>
          <w:sz w:val="23"/>
        </w:rPr>
        <w:t xml:space="preserve">f this expenditure </w:t>
      </w:r>
      <w:r w:rsidR="001123C0" w:rsidRPr="005A5C2C">
        <w:rPr>
          <w:b w:val="0"/>
          <w:bCs/>
          <w:sz w:val="23"/>
        </w:rPr>
        <w:t>£</w:t>
      </w:r>
      <w:r w:rsidR="00F07203" w:rsidRPr="005A5C2C">
        <w:rPr>
          <w:b w:val="0"/>
          <w:bCs/>
          <w:sz w:val="23"/>
        </w:rPr>
        <w:t>1</w:t>
      </w:r>
      <w:r w:rsidR="005A5C2C" w:rsidRPr="005A5C2C">
        <w:rPr>
          <w:b w:val="0"/>
          <w:bCs/>
          <w:sz w:val="23"/>
        </w:rPr>
        <w:t>82k</w:t>
      </w:r>
      <w:r w:rsidR="00537E9D" w:rsidRPr="005A5C2C">
        <w:rPr>
          <w:b w:val="0"/>
          <w:bCs/>
          <w:sz w:val="23"/>
        </w:rPr>
        <w:t xml:space="preserve"> </w:t>
      </w:r>
      <w:r w:rsidRPr="005A5C2C">
        <w:rPr>
          <w:b w:val="0"/>
          <w:bCs/>
          <w:sz w:val="23"/>
        </w:rPr>
        <w:t>related to contingent rents.</w:t>
      </w:r>
    </w:p>
    <w:p w14:paraId="485A4850" w14:textId="77777777" w:rsidR="00E00863" w:rsidRPr="004D5CA8" w:rsidRDefault="00E00863" w:rsidP="006D2EED">
      <w:pPr>
        <w:pStyle w:val="HEADING"/>
        <w:ind w:left="720"/>
        <w:rPr>
          <w:b w:val="0"/>
          <w:bCs/>
          <w:sz w:val="23"/>
          <w:highlight w:val="yellow"/>
        </w:rPr>
      </w:pPr>
    </w:p>
    <w:p w14:paraId="485A4851" w14:textId="77777777" w:rsidR="00E00863" w:rsidRPr="005A5C2C" w:rsidRDefault="00E00863" w:rsidP="006D2EED">
      <w:pPr>
        <w:pStyle w:val="HEADING"/>
        <w:ind w:left="720"/>
        <w:rPr>
          <w:b w:val="0"/>
          <w:bCs/>
        </w:rPr>
      </w:pPr>
      <w:r w:rsidRPr="005A5C2C">
        <w:rPr>
          <w:b w:val="0"/>
          <w:bCs/>
          <w:sz w:val="23"/>
        </w:rPr>
        <w:t xml:space="preserve">The future minimum lease payments due under non-cancellable leases </w:t>
      </w:r>
      <w:r w:rsidR="00E77587" w:rsidRPr="005A5C2C">
        <w:rPr>
          <w:b w:val="0"/>
          <w:bCs/>
          <w:sz w:val="23"/>
        </w:rPr>
        <w:t>in future years will be paid</w:t>
      </w:r>
      <w:r w:rsidRPr="005A5C2C">
        <w:rPr>
          <w:b w:val="0"/>
          <w:bCs/>
          <w:sz w:val="23"/>
        </w:rPr>
        <w:t xml:space="preserve"> over the following periods:</w:t>
      </w:r>
    </w:p>
    <w:p w14:paraId="485A4852" w14:textId="77777777" w:rsidR="00E00863" w:rsidRPr="004D5CA8" w:rsidRDefault="00E00863" w:rsidP="006D2EED">
      <w:pPr>
        <w:pStyle w:val="Subtitle"/>
        <w:tabs>
          <w:tab w:val="left" w:pos="709"/>
        </w:tabs>
        <w:ind w:left="720" w:right="-1"/>
        <w:rPr>
          <w:b/>
          <w:sz w:val="22"/>
          <w:highlight w:val="yellow"/>
        </w:rPr>
      </w:pPr>
    </w:p>
    <w:tbl>
      <w:tblPr>
        <w:tblW w:w="6799" w:type="dxa"/>
        <w:jc w:val="center"/>
        <w:tblLook w:val="04A0" w:firstRow="1" w:lastRow="0" w:firstColumn="1" w:lastColumn="0" w:noHBand="0" w:noVBand="1"/>
      </w:tblPr>
      <w:tblGrid>
        <w:gridCol w:w="4248"/>
        <w:gridCol w:w="1401"/>
        <w:gridCol w:w="1150"/>
      </w:tblGrid>
      <w:tr w:rsidR="00B72CF2" w:rsidRPr="00066E64" w14:paraId="2EFA31C9" w14:textId="77777777" w:rsidTr="00066E64">
        <w:trPr>
          <w:trHeight w:val="290"/>
          <w:jc w:val="center"/>
        </w:trPr>
        <w:tc>
          <w:tcPr>
            <w:tcW w:w="4248" w:type="dxa"/>
            <w:tcBorders>
              <w:top w:val="single" w:sz="4" w:space="0" w:color="auto"/>
              <w:left w:val="single" w:sz="4" w:space="0" w:color="auto"/>
              <w:bottom w:val="nil"/>
              <w:right w:val="nil"/>
            </w:tcBorders>
            <w:shd w:val="clear" w:color="000000" w:fill="000000"/>
            <w:noWrap/>
            <w:vAlign w:val="bottom"/>
            <w:hideMark/>
          </w:tcPr>
          <w:p w14:paraId="2A09AF8B" w14:textId="77777777" w:rsidR="00B72CF2" w:rsidRPr="00066E64" w:rsidRDefault="00B72CF2" w:rsidP="00B72CF2">
            <w:pPr>
              <w:rPr>
                <w:rFonts w:ascii="Calibri" w:hAnsi="Calibri" w:cs="Calibri"/>
                <w:color w:val="FFFFFF"/>
                <w:sz w:val="22"/>
                <w:szCs w:val="22"/>
                <w:lang w:eastAsia="en-GB"/>
              </w:rPr>
            </w:pPr>
            <w:bookmarkStart w:id="149" w:name="_MON_1395564041"/>
            <w:bookmarkStart w:id="150" w:name="_MON_1401093693"/>
            <w:bookmarkStart w:id="151" w:name="_MON_1401539243"/>
            <w:bookmarkStart w:id="152" w:name="_MON_1402138298"/>
            <w:bookmarkStart w:id="153" w:name="_MON_1402138312"/>
            <w:bookmarkStart w:id="154" w:name="_MON_1363691492"/>
            <w:bookmarkStart w:id="155" w:name="_MON_1363691565"/>
            <w:bookmarkStart w:id="156" w:name="_MON_1363691585"/>
            <w:bookmarkStart w:id="157" w:name="_MON_1363691669"/>
            <w:bookmarkStart w:id="158" w:name="_MON_1363691984"/>
            <w:bookmarkStart w:id="159" w:name="_MON_1363693536"/>
            <w:bookmarkStart w:id="160" w:name="_MON_1363760916"/>
            <w:bookmarkStart w:id="161" w:name="_MON_1364128331"/>
            <w:bookmarkStart w:id="162" w:name="_MON_1364128453"/>
            <w:bookmarkStart w:id="163" w:name="_MON_1368596160"/>
            <w:bookmarkStart w:id="164" w:name="_MON_1368600156"/>
            <w:bookmarkStart w:id="165" w:name="_MON_1368607630"/>
            <w:bookmarkStart w:id="166" w:name="_MON_1370192614"/>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066E64">
              <w:rPr>
                <w:rFonts w:ascii="Calibri" w:hAnsi="Calibri" w:cs="Calibri"/>
                <w:color w:val="FFFFFF"/>
                <w:sz w:val="22"/>
                <w:szCs w:val="22"/>
                <w:lang w:eastAsia="en-GB"/>
              </w:rPr>
              <w:t> </w:t>
            </w:r>
          </w:p>
        </w:tc>
        <w:tc>
          <w:tcPr>
            <w:tcW w:w="2551" w:type="dxa"/>
            <w:gridSpan w:val="2"/>
            <w:tcBorders>
              <w:top w:val="single" w:sz="4" w:space="0" w:color="auto"/>
              <w:left w:val="nil"/>
              <w:bottom w:val="nil"/>
              <w:right w:val="single" w:sz="4" w:space="0" w:color="000000"/>
            </w:tcBorders>
            <w:shd w:val="clear" w:color="000000" w:fill="000000"/>
            <w:noWrap/>
            <w:vAlign w:val="bottom"/>
            <w:hideMark/>
          </w:tcPr>
          <w:p w14:paraId="50A04169" w14:textId="34022867" w:rsidR="00B72CF2" w:rsidRPr="00066E64" w:rsidRDefault="002922E7" w:rsidP="002922E7">
            <w:pPr>
              <w:rPr>
                <w:rFonts w:cs="Arial"/>
                <w:b/>
                <w:bCs/>
                <w:color w:val="FFFFFF"/>
                <w:sz w:val="20"/>
                <w:szCs w:val="20"/>
                <w:lang w:eastAsia="en-GB"/>
              </w:rPr>
            </w:pPr>
            <w:r>
              <w:rPr>
                <w:rFonts w:cs="Arial"/>
                <w:b/>
                <w:bCs/>
                <w:color w:val="FFFFFF"/>
                <w:sz w:val="20"/>
                <w:szCs w:val="20"/>
                <w:lang w:eastAsia="en-GB"/>
              </w:rPr>
              <w:t xml:space="preserve">        Re-stated</w:t>
            </w:r>
          </w:p>
        </w:tc>
      </w:tr>
      <w:tr w:rsidR="00066E64" w:rsidRPr="00066E64" w14:paraId="388DDC88" w14:textId="77777777" w:rsidTr="00066E64">
        <w:trPr>
          <w:trHeight w:val="290"/>
          <w:jc w:val="center"/>
        </w:trPr>
        <w:tc>
          <w:tcPr>
            <w:tcW w:w="4248" w:type="dxa"/>
            <w:tcBorders>
              <w:top w:val="nil"/>
              <w:left w:val="single" w:sz="4" w:space="0" w:color="auto"/>
              <w:bottom w:val="nil"/>
              <w:right w:val="nil"/>
            </w:tcBorders>
            <w:shd w:val="clear" w:color="000000" w:fill="000000"/>
            <w:noWrap/>
            <w:vAlign w:val="bottom"/>
            <w:hideMark/>
          </w:tcPr>
          <w:p w14:paraId="4F54C14A" w14:textId="77777777" w:rsidR="00066E64" w:rsidRPr="00066E64" w:rsidRDefault="00066E64" w:rsidP="00066E64">
            <w:pPr>
              <w:rPr>
                <w:rFonts w:ascii="Calibri" w:hAnsi="Calibri" w:cs="Calibri"/>
                <w:color w:val="FFFFFF"/>
                <w:sz w:val="22"/>
                <w:szCs w:val="22"/>
                <w:lang w:eastAsia="en-GB"/>
              </w:rPr>
            </w:pPr>
            <w:r w:rsidRPr="00066E64">
              <w:rPr>
                <w:rFonts w:ascii="Calibri" w:hAnsi="Calibri" w:cs="Calibri"/>
                <w:color w:val="FFFFFF"/>
                <w:sz w:val="22"/>
                <w:szCs w:val="22"/>
                <w:lang w:eastAsia="en-GB"/>
              </w:rPr>
              <w:t> </w:t>
            </w:r>
          </w:p>
        </w:tc>
        <w:tc>
          <w:tcPr>
            <w:tcW w:w="1401" w:type="dxa"/>
            <w:tcBorders>
              <w:top w:val="nil"/>
              <w:left w:val="nil"/>
              <w:bottom w:val="nil"/>
              <w:right w:val="nil"/>
            </w:tcBorders>
            <w:shd w:val="clear" w:color="000000" w:fill="000000"/>
            <w:noWrap/>
            <w:vAlign w:val="bottom"/>
            <w:hideMark/>
          </w:tcPr>
          <w:p w14:paraId="75158B6F" w14:textId="77777777" w:rsidR="00066E64" w:rsidRDefault="00066E64" w:rsidP="00066E64">
            <w:pPr>
              <w:jc w:val="right"/>
              <w:rPr>
                <w:rFonts w:cs="Arial"/>
                <w:b/>
                <w:bCs/>
                <w:color w:val="FFFFFF"/>
                <w:sz w:val="20"/>
                <w:szCs w:val="20"/>
                <w:lang w:eastAsia="en-GB"/>
              </w:rPr>
            </w:pPr>
            <w:r w:rsidRPr="00066E64">
              <w:rPr>
                <w:rFonts w:cs="Arial"/>
                <w:b/>
                <w:bCs/>
                <w:color w:val="FFFFFF"/>
                <w:sz w:val="20"/>
                <w:szCs w:val="20"/>
                <w:lang w:eastAsia="en-GB"/>
              </w:rPr>
              <w:t>2022</w:t>
            </w:r>
          </w:p>
          <w:p w14:paraId="0188027D" w14:textId="2FCD05AC" w:rsidR="00066E64" w:rsidRPr="00066E64" w:rsidRDefault="00066E64" w:rsidP="00066E64">
            <w:pPr>
              <w:jc w:val="right"/>
              <w:rPr>
                <w:rFonts w:cs="Arial"/>
                <w:b/>
                <w:bCs/>
                <w:color w:val="FFFFFF"/>
                <w:sz w:val="20"/>
                <w:szCs w:val="20"/>
                <w:lang w:eastAsia="en-GB"/>
              </w:rPr>
            </w:pPr>
            <w:r>
              <w:rPr>
                <w:rFonts w:cs="Arial"/>
                <w:b/>
                <w:bCs/>
                <w:color w:val="FFFFFF"/>
                <w:sz w:val="20"/>
                <w:szCs w:val="20"/>
                <w:lang w:eastAsia="en-GB"/>
              </w:rPr>
              <w:t>£000</w:t>
            </w:r>
          </w:p>
        </w:tc>
        <w:tc>
          <w:tcPr>
            <w:tcW w:w="1150" w:type="dxa"/>
            <w:tcBorders>
              <w:top w:val="nil"/>
              <w:left w:val="nil"/>
              <w:bottom w:val="nil"/>
              <w:right w:val="single" w:sz="4" w:space="0" w:color="auto"/>
            </w:tcBorders>
            <w:shd w:val="clear" w:color="000000" w:fill="000000"/>
            <w:noWrap/>
            <w:vAlign w:val="bottom"/>
          </w:tcPr>
          <w:p w14:paraId="7826C1CE" w14:textId="77777777" w:rsidR="00066E64" w:rsidRDefault="00066E64" w:rsidP="00066E64">
            <w:pPr>
              <w:jc w:val="right"/>
              <w:rPr>
                <w:rFonts w:cs="Arial"/>
                <w:b/>
                <w:bCs/>
                <w:color w:val="FFFFFF"/>
                <w:sz w:val="20"/>
                <w:szCs w:val="20"/>
                <w:lang w:eastAsia="en-GB"/>
              </w:rPr>
            </w:pPr>
            <w:r>
              <w:rPr>
                <w:rFonts w:cs="Arial"/>
                <w:b/>
                <w:bCs/>
                <w:color w:val="FFFFFF"/>
                <w:sz w:val="20"/>
                <w:szCs w:val="20"/>
                <w:lang w:eastAsia="en-GB"/>
              </w:rPr>
              <w:t>2023</w:t>
            </w:r>
          </w:p>
          <w:p w14:paraId="59D41747" w14:textId="56AFA5EB" w:rsidR="00066E64" w:rsidRPr="00066E64" w:rsidRDefault="00066E64" w:rsidP="00066E64">
            <w:pPr>
              <w:jc w:val="right"/>
              <w:rPr>
                <w:rFonts w:cs="Arial"/>
                <w:b/>
                <w:bCs/>
                <w:color w:val="FFFFFF"/>
                <w:sz w:val="20"/>
                <w:szCs w:val="20"/>
                <w:lang w:eastAsia="en-GB"/>
              </w:rPr>
            </w:pPr>
            <w:r>
              <w:rPr>
                <w:rFonts w:cs="Arial"/>
                <w:b/>
                <w:bCs/>
                <w:color w:val="FFFFFF"/>
                <w:sz w:val="20"/>
                <w:szCs w:val="20"/>
                <w:lang w:eastAsia="en-GB"/>
              </w:rPr>
              <w:t>£000</w:t>
            </w:r>
          </w:p>
        </w:tc>
      </w:tr>
      <w:tr w:rsidR="00066E64" w:rsidRPr="00066E64" w14:paraId="44D3072B" w14:textId="77777777" w:rsidTr="00066E64">
        <w:trPr>
          <w:trHeight w:val="310"/>
          <w:jc w:val="center"/>
        </w:trPr>
        <w:tc>
          <w:tcPr>
            <w:tcW w:w="4248" w:type="dxa"/>
            <w:tcBorders>
              <w:top w:val="nil"/>
              <w:left w:val="single" w:sz="4" w:space="0" w:color="auto"/>
              <w:bottom w:val="nil"/>
              <w:right w:val="nil"/>
            </w:tcBorders>
            <w:shd w:val="clear" w:color="auto" w:fill="auto"/>
            <w:noWrap/>
            <w:vAlign w:val="bottom"/>
            <w:hideMark/>
          </w:tcPr>
          <w:p w14:paraId="35521543" w14:textId="77777777" w:rsidR="00066E64" w:rsidRPr="00066E64" w:rsidRDefault="00066E64" w:rsidP="00066E64">
            <w:pPr>
              <w:rPr>
                <w:rFonts w:cs="Arial"/>
                <w:sz w:val="20"/>
                <w:szCs w:val="20"/>
                <w:lang w:eastAsia="en-GB"/>
              </w:rPr>
            </w:pPr>
            <w:r w:rsidRPr="00066E64">
              <w:rPr>
                <w:rFonts w:cs="Arial"/>
                <w:sz w:val="20"/>
                <w:szCs w:val="20"/>
                <w:lang w:eastAsia="en-GB"/>
              </w:rPr>
              <w:t>Not later than 1 year</w:t>
            </w:r>
          </w:p>
        </w:tc>
        <w:tc>
          <w:tcPr>
            <w:tcW w:w="1401" w:type="dxa"/>
            <w:tcBorders>
              <w:top w:val="nil"/>
              <w:left w:val="nil"/>
              <w:bottom w:val="nil"/>
              <w:right w:val="nil"/>
            </w:tcBorders>
            <w:shd w:val="clear" w:color="auto" w:fill="auto"/>
            <w:noWrap/>
            <w:vAlign w:val="bottom"/>
            <w:hideMark/>
          </w:tcPr>
          <w:p w14:paraId="29068C99" w14:textId="4EDFDA8E" w:rsidR="00066E64" w:rsidRPr="00066E64" w:rsidRDefault="00066E64" w:rsidP="00066E64">
            <w:pPr>
              <w:rPr>
                <w:rFonts w:cs="Arial"/>
                <w:sz w:val="20"/>
                <w:szCs w:val="20"/>
                <w:lang w:eastAsia="en-GB"/>
              </w:rPr>
            </w:pPr>
            <w:r w:rsidRPr="00066E64">
              <w:rPr>
                <w:rFonts w:cs="Arial"/>
                <w:sz w:val="20"/>
                <w:szCs w:val="20"/>
                <w:lang w:eastAsia="en-GB"/>
              </w:rPr>
              <w:t xml:space="preserve">               1</w:t>
            </w:r>
            <w:r w:rsidR="00135F0A">
              <w:rPr>
                <w:rFonts w:cs="Arial"/>
                <w:sz w:val="20"/>
                <w:szCs w:val="20"/>
                <w:lang w:eastAsia="en-GB"/>
              </w:rPr>
              <w:t>17</w:t>
            </w:r>
            <w:r w:rsidRPr="00066E64">
              <w:rPr>
                <w:rFonts w:cs="Arial"/>
                <w:sz w:val="20"/>
                <w:szCs w:val="20"/>
                <w:lang w:eastAsia="en-GB"/>
              </w:rPr>
              <w:t xml:space="preserve"> </w:t>
            </w:r>
          </w:p>
        </w:tc>
        <w:tc>
          <w:tcPr>
            <w:tcW w:w="1150" w:type="dxa"/>
            <w:tcBorders>
              <w:top w:val="nil"/>
              <w:left w:val="nil"/>
              <w:bottom w:val="nil"/>
              <w:right w:val="single" w:sz="4" w:space="0" w:color="auto"/>
            </w:tcBorders>
            <w:shd w:val="clear" w:color="auto" w:fill="auto"/>
            <w:noWrap/>
            <w:vAlign w:val="bottom"/>
          </w:tcPr>
          <w:p w14:paraId="7B4C9A94" w14:textId="1B815912" w:rsidR="00066E64" w:rsidRPr="00066E64" w:rsidRDefault="00066E64" w:rsidP="00066E64">
            <w:pPr>
              <w:jc w:val="right"/>
              <w:rPr>
                <w:rFonts w:cs="Arial"/>
                <w:sz w:val="20"/>
                <w:szCs w:val="20"/>
                <w:lang w:eastAsia="en-GB"/>
              </w:rPr>
            </w:pPr>
            <w:r>
              <w:rPr>
                <w:rFonts w:cs="Arial"/>
                <w:sz w:val="20"/>
                <w:szCs w:val="20"/>
                <w:lang w:eastAsia="en-GB"/>
              </w:rPr>
              <w:t>1</w:t>
            </w:r>
            <w:r w:rsidR="002922E7">
              <w:rPr>
                <w:rFonts w:cs="Arial"/>
                <w:sz w:val="20"/>
                <w:szCs w:val="20"/>
                <w:lang w:eastAsia="en-GB"/>
              </w:rPr>
              <w:t>22</w:t>
            </w:r>
          </w:p>
        </w:tc>
      </w:tr>
      <w:tr w:rsidR="00066E64" w:rsidRPr="00066E64" w14:paraId="6B9D78C5" w14:textId="77777777" w:rsidTr="00066E64">
        <w:trPr>
          <w:trHeight w:val="310"/>
          <w:jc w:val="center"/>
        </w:trPr>
        <w:tc>
          <w:tcPr>
            <w:tcW w:w="4248" w:type="dxa"/>
            <w:tcBorders>
              <w:top w:val="nil"/>
              <w:left w:val="single" w:sz="4" w:space="0" w:color="auto"/>
              <w:bottom w:val="nil"/>
              <w:right w:val="nil"/>
            </w:tcBorders>
            <w:shd w:val="clear" w:color="auto" w:fill="auto"/>
            <w:noWrap/>
            <w:vAlign w:val="bottom"/>
            <w:hideMark/>
          </w:tcPr>
          <w:p w14:paraId="6EC6C992" w14:textId="77777777" w:rsidR="00066E64" w:rsidRPr="00066E64" w:rsidRDefault="00066E64" w:rsidP="00066E64">
            <w:pPr>
              <w:rPr>
                <w:rFonts w:cs="Arial"/>
                <w:sz w:val="20"/>
                <w:szCs w:val="20"/>
                <w:lang w:eastAsia="en-GB"/>
              </w:rPr>
            </w:pPr>
            <w:r w:rsidRPr="00066E64">
              <w:rPr>
                <w:rFonts w:cs="Arial"/>
                <w:sz w:val="20"/>
                <w:szCs w:val="20"/>
                <w:lang w:eastAsia="en-GB"/>
              </w:rPr>
              <w:t>Later than 1 year but not later than 5 years</w:t>
            </w:r>
          </w:p>
        </w:tc>
        <w:tc>
          <w:tcPr>
            <w:tcW w:w="1401" w:type="dxa"/>
            <w:tcBorders>
              <w:top w:val="nil"/>
              <w:left w:val="nil"/>
              <w:bottom w:val="nil"/>
              <w:right w:val="nil"/>
            </w:tcBorders>
            <w:shd w:val="clear" w:color="auto" w:fill="auto"/>
            <w:noWrap/>
            <w:vAlign w:val="bottom"/>
            <w:hideMark/>
          </w:tcPr>
          <w:p w14:paraId="5B2FD4C8" w14:textId="7873D3DD" w:rsidR="00066E64" w:rsidRPr="00066E64" w:rsidRDefault="00066E64" w:rsidP="00066E64">
            <w:pPr>
              <w:rPr>
                <w:rFonts w:cs="Arial"/>
                <w:sz w:val="20"/>
                <w:szCs w:val="20"/>
                <w:lang w:eastAsia="en-GB"/>
              </w:rPr>
            </w:pPr>
            <w:r w:rsidRPr="00066E64">
              <w:rPr>
                <w:rFonts w:cs="Arial"/>
                <w:sz w:val="20"/>
                <w:szCs w:val="20"/>
                <w:lang w:eastAsia="en-GB"/>
              </w:rPr>
              <w:t xml:space="preserve">               </w:t>
            </w:r>
            <w:r w:rsidR="00135F0A">
              <w:rPr>
                <w:rFonts w:cs="Arial"/>
                <w:sz w:val="20"/>
                <w:szCs w:val="20"/>
                <w:lang w:eastAsia="en-GB"/>
              </w:rPr>
              <w:t>184</w:t>
            </w:r>
            <w:r w:rsidRPr="00066E64">
              <w:rPr>
                <w:rFonts w:cs="Arial"/>
                <w:sz w:val="20"/>
                <w:szCs w:val="20"/>
                <w:lang w:eastAsia="en-GB"/>
              </w:rPr>
              <w:t xml:space="preserve"> </w:t>
            </w:r>
          </w:p>
        </w:tc>
        <w:tc>
          <w:tcPr>
            <w:tcW w:w="1150" w:type="dxa"/>
            <w:tcBorders>
              <w:top w:val="nil"/>
              <w:left w:val="nil"/>
              <w:bottom w:val="nil"/>
              <w:right w:val="single" w:sz="4" w:space="0" w:color="auto"/>
            </w:tcBorders>
            <w:shd w:val="clear" w:color="auto" w:fill="auto"/>
            <w:noWrap/>
            <w:vAlign w:val="bottom"/>
          </w:tcPr>
          <w:p w14:paraId="5502E87A" w14:textId="65E435BE" w:rsidR="00066E64" w:rsidRPr="00066E64" w:rsidRDefault="002922E7" w:rsidP="00066E64">
            <w:pPr>
              <w:jc w:val="right"/>
              <w:rPr>
                <w:rFonts w:cs="Arial"/>
                <w:sz w:val="20"/>
                <w:szCs w:val="20"/>
                <w:lang w:eastAsia="en-GB"/>
              </w:rPr>
            </w:pPr>
            <w:r>
              <w:rPr>
                <w:rFonts w:cs="Arial"/>
                <w:sz w:val="20"/>
                <w:szCs w:val="20"/>
                <w:lang w:eastAsia="en-GB"/>
              </w:rPr>
              <w:t>198</w:t>
            </w:r>
          </w:p>
        </w:tc>
      </w:tr>
      <w:tr w:rsidR="00066E64" w:rsidRPr="00066E64" w14:paraId="7DF8F003" w14:textId="77777777" w:rsidTr="00066E64">
        <w:trPr>
          <w:trHeight w:val="290"/>
          <w:jc w:val="center"/>
        </w:trPr>
        <w:tc>
          <w:tcPr>
            <w:tcW w:w="4248" w:type="dxa"/>
            <w:tcBorders>
              <w:top w:val="nil"/>
              <w:left w:val="single" w:sz="4" w:space="0" w:color="auto"/>
              <w:bottom w:val="nil"/>
              <w:right w:val="nil"/>
            </w:tcBorders>
            <w:shd w:val="clear" w:color="auto" w:fill="auto"/>
            <w:noWrap/>
            <w:vAlign w:val="bottom"/>
            <w:hideMark/>
          </w:tcPr>
          <w:p w14:paraId="132EFF5A" w14:textId="77777777" w:rsidR="00066E64" w:rsidRPr="00066E64" w:rsidRDefault="00066E64" w:rsidP="00066E64">
            <w:pPr>
              <w:rPr>
                <w:rFonts w:cs="Arial"/>
                <w:sz w:val="20"/>
                <w:szCs w:val="20"/>
                <w:lang w:eastAsia="en-GB"/>
              </w:rPr>
            </w:pPr>
            <w:r w:rsidRPr="00066E64">
              <w:rPr>
                <w:rFonts w:cs="Arial"/>
                <w:sz w:val="20"/>
                <w:szCs w:val="20"/>
                <w:lang w:eastAsia="en-GB"/>
              </w:rPr>
              <w:t>Later than 5 years</w:t>
            </w:r>
          </w:p>
        </w:tc>
        <w:tc>
          <w:tcPr>
            <w:tcW w:w="1401" w:type="dxa"/>
            <w:tcBorders>
              <w:top w:val="nil"/>
              <w:left w:val="nil"/>
              <w:bottom w:val="nil"/>
              <w:right w:val="nil"/>
            </w:tcBorders>
            <w:shd w:val="clear" w:color="auto" w:fill="auto"/>
            <w:noWrap/>
            <w:vAlign w:val="bottom"/>
            <w:hideMark/>
          </w:tcPr>
          <w:p w14:paraId="0D06D4D3" w14:textId="3F17A1FF" w:rsidR="00066E64" w:rsidRPr="00066E64" w:rsidRDefault="00066E64" w:rsidP="00066E64">
            <w:pPr>
              <w:rPr>
                <w:rFonts w:cs="Arial"/>
                <w:sz w:val="20"/>
                <w:szCs w:val="20"/>
                <w:lang w:eastAsia="en-GB"/>
              </w:rPr>
            </w:pPr>
            <w:r w:rsidRPr="00066E64">
              <w:rPr>
                <w:rFonts w:cs="Arial"/>
                <w:sz w:val="20"/>
                <w:szCs w:val="20"/>
                <w:lang w:eastAsia="en-GB"/>
              </w:rPr>
              <w:t xml:space="preserve">               </w:t>
            </w:r>
            <w:r w:rsidR="00135F0A">
              <w:rPr>
                <w:rFonts w:cs="Arial"/>
                <w:sz w:val="20"/>
                <w:szCs w:val="20"/>
                <w:lang w:eastAsia="en-GB"/>
              </w:rPr>
              <w:t>406</w:t>
            </w:r>
            <w:r w:rsidRPr="00066E64">
              <w:rPr>
                <w:rFonts w:cs="Arial"/>
                <w:sz w:val="20"/>
                <w:szCs w:val="20"/>
                <w:lang w:eastAsia="en-GB"/>
              </w:rPr>
              <w:t xml:space="preserve"> </w:t>
            </w:r>
          </w:p>
        </w:tc>
        <w:tc>
          <w:tcPr>
            <w:tcW w:w="1150" w:type="dxa"/>
            <w:tcBorders>
              <w:top w:val="nil"/>
              <w:left w:val="nil"/>
              <w:bottom w:val="nil"/>
              <w:right w:val="single" w:sz="4" w:space="0" w:color="auto"/>
            </w:tcBorders>
            <w:shd w:val="clear" w:color="auto" w:fill="auto"/>
            <w:noWrap/>
            <w:vAlign w:val="bottom"/>
          </w:tcPr>
          <w:p w14:paraId="5A1F4DCF" w14:textId="2BAB0A10" w:rsidR="00066E64" w:rsidRPr="00066E64" w:rsidRDefault="002922E7" w:rsidP="00066E64">
            <w:pPr>
              <w:jc w:val="right"/>
              <w:rPr>
                <w:rFonts w:cs="Arial"/>
                <w:sz w:val="20"/>
                <w:szCs w:val="20"/>
                <w:lang w:eastAsia="en-GB"/>
              </w:rPr>
            </w:pPr>
            <w:r>
              <w:rPr>
                <w:rFonts w:cs="Arial"/>
                <w:sz w:val="20"/>
                <w:szCs w:val="20"/>
                <w:lang w:eastAsia="en-GB"/>
              </w:rPr>
              <w:t>366</w:t>
            </w:r>
          </w:p>
        </w:tc>
      </w:tr>
      <w:tr w:rsidR="00066E64" w:rsidRPr="00066E64" w14:paraId="3342BEB9" w14:textId="77777777" w:rsidTr="00066E64">
        <w:trPr>
          <w:trHeight w:val="290"/>
          <w:jc w:val="center"/>
        </w:trPr>
        <w:tc>
          <w:tcPr>
            <w:tcW w:w="4248" w:type="dxa"/>
            <w:tcBorders>
              <w:top w:val="nil"/>
              <w:left w:val="single" w:sz="4" w:space="0" w:color="auto"/>
              <w:bottom w:val="single" w:sz="4" w:space="0" w:color="auto"/>
              <w:right w:val="nil"/>
            </w:tcBorders>
            <w:shd w:val="clear" w:color="auto" w:fill="auto"/>
            <w:noWrap/>
            <w:vAlign w:val="bottom"/>
            <w:hideMark/>
          </w:tcPr>
          <w:p w14:paraId="521C9FEB" w14:textId="77777777" w:rsidR="00066E64" w:rsidRPr="00066E64" w:rsidRDefault="00066E64" w:rsidP="00066E64">
            <w:pPr>
              <w:rPr>
                <w:rFonts w:ascii="Calibri" w:hAnsi="Calibri" w:cs="Calibri"/>
                <w:color w:val="000000"/>
                <w:sz w:val="22"/>
                <w:szCs w:val="22"/>
                <w:lang w:eastAsia="en-GB"/>
              </w:rPr>
            </w:pPr>
            <w:r w:rsidRPr="00066E64">
              <w:rPr>
                <w:rFonts w:ascii="Calibri" w:hAnsi="Calibri" w:cs="Calibri"/>
                <w:color w:val="000000"/>
                <w:sz w:val="22"/>
                <w:szCs w:val="22"/>
                <w:lang w:eastAsia="en-GB"/>
              </w:rPr>
              <w:t> </w:t>
            </w:r>
          </w:p>
        </w:tc>
        <w:tc>
          <w:tcPr>
            <w:tcW w:w="1401" w:type="dxa"/>
            <w:tcBorders>
              <w:top w:val="single" w:sz="4" w:space="0" w:color="auto"/>
              <w:left w:val="nil"/>
              <w:bottom w:val="single" w:sz="4" w:space="0" w:color="auto"/>
              <w:right w:val="nil"/>
            </w:tcBorders>
            <w:shd w:val="clear" w:color="auto" w:fill="auto"/>
            <w:noWrap/>
            <w:vAlign w:val="bottom"/>
            <w:hideMark/>
          </w:tcPr>
          <w:p w14:paraId="2F2FEBE4" w14:textId="2041FFA1" w:rsidR="00066E64" w:rsidRPr="00066E64" w:rsidRDefault="00066E64" w:rsidP="00066E64">
            <w:pPr>
              <w:rPr>
                <w:rFonts w:cs="Arial"/>
                <w:b/>
                <w:bCs/>
                <w:sz w:val="20"/>
                <w:szCs w:val="20"/>
                <w:lang w:eastAsia="en-GB"/>
              </w:rPr>
            </w:pPr>
            <w:r w:rsidRPr="00066E64">
              <w:rPr>
                <w:rFonts w:cs="Arial"/>
                <w:b/>
                <w:bCs/>
                <w:sz w:val="20"/>
                <w:szCs w:val="20"/>
                <w:lang w:eastAsia="en-GB"/>
              </w:rPr>
              <w:t xml:space="preserve">               707 </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5C79446C" w14:textId="4256DD9E" w:rsidR="00066E64" w:rsidRPr="00066E64" w:rsidRDefault="002922E7" w:rsidP="00066E64">
            <w:pPr>
              <w:jc w:val="right"/>
              <w:rPr>
                <w:rFonts w:cs="Arial"/>
                <w:b/>
                <w:bCs/>
                <w:sz w:val="20"/>
                <w:szCs w:val="20"/>
                <w:lang w:eastAsia="en-GB"/>
              </w:rPr>
            </w:pPr>
            <w:r>
              <w:rPr>
                <w:rFonts w:cs="Arial"/>
                <w:b/>
                <w:bCs/>
                <w:sz w:val="20"/>
                <w:szCs w:val="20"/>
                <w:lang w:eastAsia="en-GB"/>
              </w:rPr>
              <w:t>687</w:t>
            </w:r>
          </w:p>
        </w:tc>
      </w:tr>
    </w:tbl>
    <w:p w14:paraId="485A4853" w14:textId="752B5E84" w:rsidR="00E00863" w:rsidRDefault="00E00863" w:rsidP="005C4E2E">
      <w:pPr>
        <w:pStyle w:val="Subtitle"/>
        <w:tabs>
          <w:tab w:val="left" w:pos="0"/>
        </w:tabs>
        <w:ind w:right="-1"/>
        <w:jc w:val="center"/>
        <w:rPr>
          <w:rFonts w:ascii="Arial" w:hAnsi="Arial" w:cs="Arial"/>
          <w:b/>
          <w:i w:val="0"/>
          <w:sz w:val="22"/>
          <w:highlight w:val="yellow"/>
          <w:u w:val="none"/>
        </w:rPr>
      </w:pPr>
    </w:p>
    <w:p w14:paraId="2A374159" w14:textId="2106AA45" w:rsidR="00135F0A" w:rsidRPr="00135F0A" w:rsidRDefault="00135F0A" w:rsidP="00C9637C">
      <w:pPr>
        <w:ind w:left="720"/>
        <w:rPr>
          <w:lang w:eastAsia="en-GB"/>
        </w:rPr>
      </w:pPr>
      <w:r w:rsidRPr="00135F0A">
        <w:rPr>
          <w:lang w:eastAsia="en-GB"/>
        </w:rPr>
        <w:t>The comparator has been restated to correct the presentation of the Coniston Boating Centre lease which had been incorrectly split between year bandings, there was £0 net impact on the overall amounts disclosed.</w:t>
      </w:r>
    </w:p>
    <w:p w14:paraId="41A01AE8" w14:textId="77777777" w:rsidR="002F0A49" w:rsidRPr="004D5CA8" w:rsidRDefault="002F0A49" w:rsidP="006D2EED">
      <w:pPr>
        <w:ind w:left="720"/>
        <w:rPr>
          <w:b/>
          <w:iCs/>
          <w:sz w:val="22"/>
          <w:szCs w:val="22"/>
          <w:highlight w:val="yellow"/>
        </w:rPr>
      </w:pPr>
    </w:p>
    <w:p w14:paraId="485A4856" w14:textId="54B868FA" w:rsidR="00E00863" w:rsidRPr="00066E64" w:rsidRDefault="00295ADA" w:rsidP="00135F0A">
      <w:pPr>
        <w:rPr>
          <w:b/>
          <w:sz w:val="22"/>
          <w:szCs w:val="22"/>
        </w:rPr>
      </w:pPr>
      <w:r w:rsidRPr="00066E64">
        <w:rPr>
          <w:b/>
          <w:iCs/>
          <w:sz w:val="22"/>
          <w:szCs w:val="22"/>
        </w:rPr>
        <w:t>L</w:t>
      </w:r>
      <w:r w:rsidR="00C17465" w:rsidRPr="00066E64">
        <w:rPr>
          <w:b/>
          <w:iCs/>
          <w:sz w:val="22"/>
          <w:szCs w:val="22"/>
        </w:rPr>
        <w:t>essor</w:t>
      </w:r>
      <w:r w:rsidR="00C17465" w:rsidRPr="00066E64">
        <w:rPr>
          <w:b/>
          <w:sz w:val="22"/>
          <w:szCs w:val="22"/>
        </w:rPr>
        <w:t xml:space="preserve"> </w:t>
      </w:r>
      <w:r w:rsidR="00E00863" w:rsidRPr="00066E64">
        <w:rPr>
          <w:b/>
          <w:sz w:val="22"/>
          <w:szCs w:val="22"/>
        </w:rPr>
        <w:t>Operating Leases</w:t>
      </w:r>
    </w:p>
    <w:p w14:paraId="485A4857" w14:textId="77777777" w:rsidR="00E00863" w:rsidRPr="00066E64" w:rsidRDefault="00E00863" w:rsidP="006D2EED">
      <w:pPr>
        <w:ind w:left="720"/>
      </w:pPr>
    </w:p>
    <w:p w14:paraId="485A4858" w14:textId="27E96DAC" w:rsidR="00E00863" w:rsidRPr="00066E64" w:rsidRDefault="00E00863" w:rsidP="006D2EED">
      <w:pPr>
        <w:pStyle w:val="HEADING"/>
        <w:ind w:left="720"/>
        <w:rPr>
          <w:b w:val="0"/>
          <w:bCs/>
          <w:sz w:val="23"/>
        </w:rPr>
      </w:pPr>
      <w:r w:rsidRPr="00066E64">
        <w:rPr>
          <w:b w:val="0"/>
          <w:bCs/>
          <w:sz w:val="23"/>
        </w:rPr>
        <w:t>The Autho</w:t>
      </w:r>
      <w:r w:rsidR="00E44D0F" w:rsidRPr="00066E64">
        <w:rPr>
          <w:b w:val="0"/>
          <w:bCs/>
          <w:sz w:val="23"/>
        </w:rPr>
        <w:t xml:space="preserve">rity has granted use of a </w:t>
      </w:r>
      <w:r w:rsidRPr="00066E64">
        <w:rPr>
          <w:b w:val="0"/>
          <w:bCs/>
          <w:sz w:val="23"/>
        </w:rPr>
        <w:t>number of its properties under operating leases.</w:t>
      </w:r>
      <w:r w:rsidR="00D95903" w:rsidRPr="00066E64">
        <w:rPr>
          <w:b w:val="0"/>
          <w:bCs/>
          <w:sz w:val="23"/>
        </w:rPr>
        <w:t xml:space="preserve"> </w:t>
      </w:r>
      <w:r w:rsidRPr="00066E64">
        <w:rPr>
          <w:b w:val="0"/>
          <w:bCs/>
          <w:sz w:val="23"/>
        </w:rPr>
        <w:t>The income gained under these arrangements in 20</w:t>
      </w:r>
      <w:r w:rsidR="000E4FE9" w:rsidRPr="00066E64">
        <w:rPr>
          <w:b w:val="0"/>
          <w:bCs/>
          <w:sz w:val="23"/>
        </w:rPr>
        <w:t>2</w:t>
      </w:r>
      <w:r w:rsidR="00066E64" w:rsidRPr="00066E64">
        <w:rPr>
          <w:b w:val="0"/>
          <w:bCs/>
          <w:sz w:val="23"/>
        </w:rPr>
        <w:t>2</w:t>
      </w:r>
      <w:r w:rsidR="005F6390" w:rsidRPr="00066E64">
        <w:rPr>
          <w:b w:val="0"/>
          <w:bCs/>
          <w:sz w:val="23"/>
        </w:rPr>
        <w:t>/</w:t>
      </w:r>
      <w:r w:rsidR="002C6D08" w:rsidRPr="00066E64">
        <w:rPr>
          <w:b w:val="0"/>
          <w:bCs/>
          <w:sz w:val="23"/>
        </w:rPr>
        <w:t>2</w:t>
      </w:r>
      <w:r w:rsidR="00066E64" w:rsidRPr="00066E64">
        <w:rPr>
          <w:b w:val="0"/>
          <w:bCs/>
          <w:sz w:val="23"/>
        </w:rPr>
        <w:t>3</w:t>
      </w:r>
      <w:r w:rsidRPr="00066E64">
        <w:rPr>
          <w:b w:val="0"/>
          <w:bCs/>
          <w:sz w:val="23"/>
        </w:rPr>
        <w:t xml:space="preserve"> was £</w:t>
      </w:r>
      <w:r w:rsidR="00F07203" w:rsidRPr="00066E64">
        <w:rPr>
          <w:b w:val="0"/>
          <w:bCs/>
          <w:sz w:val="23"/>
        </w:rPr>
        <w:t>4</w:t>
      </w:r>
      <w:r w:rsidR="00066E64" w:rsidRPr="00066E64">
        <w:rPr>
          <w:b w:val="0"/>
          <w:bCs/>
          <w:sz w:val="23"/>
        </w:rPr>
        <w:t>65k</w:t>
      </w:r>
      <w:r w:rsidRPr="00066E64">
        <w:rPr>
          <w:b w:val="0"/>
          <w:bCs/>
          <w:sz w:val="23"/>
        </w:rPr>
        <w:t xml:space="preserve"> (20</w:t>
      </w:r>
      <w:r w:rsidR="00F07203" w:rsidRPr="00066E64">
        <w:rPr>
          <w:b w:val="0"/>
          <w:bCs/>
          <w:sz w:val="23"/>
        </w:rPr>
        <w:t>2</w:t>
      </w:r>
      <w:r w:rsidR="00066E64" w:rsidRPr="00066E64">
        <w:rPr>
          <w:b w:val="0"/>
          <w:bCs/>
          <w:sz w:val="23"/>
        </w:rPr>
        <w:t>1</w:t>
      </w:r>
      <w:r w:rsidR="005F6390" w:rsidRPr="00066E64">
        <w:rPr>
          <w:b w:val="0"/>
          <w:bCs/>
          <w:sz w:val="23"/>
        </w:rPr>
        <w:t>/</w:t>
      </w:r>
      <w:r w:rsidR="000E4FE9" w:rsidRPr="00066E64">
        <w:rPr>
          <w:b w:val="0"/>
          <w:bCs/>
          <w:sz w:val="23"/>
        </w:rPr>
        <w:t>2</w:t>
      </w:r>
      <w:r w:rsidR="00066E64" w:rsidRPr="00066E64">
        <w:rPr>
          <w:b w:val="0"/>
          <w:bCs/>
          <w:sz w:val="23"/>
        </w:rPr>
        <w:t>2</w:t>
      </w:r>
      <w:r w:rsidR="00BD20C9" w:rsidRPr="00066E64">
        <w:rPr>
          <w:b w:val="0"/>
          <w:bCs/>
          <w:sz w:val="23"/>
        </w:rPr>
        <w:t xml:space="preserve"> £</w:t>
      </w:r>
      <w:r w:rsidR="00066E64" w:rsidRPr="00066E64">
        <w:rPr>
          <w:b w:val="0"/>
          <w:bCs/>
          <w:sz w:val="23"/>
        </w:rPr>
        <w:t>419k</w:t>
      </w:r>
      <w:r w:rsidRPr="00066E64">
        <w:rPr>
          <w:b w:val="0"/>
          <w:bCs/>
          <w:sz w:val="23"/>
        </w:rPr>
        <w:t xml:space="preserve">). </w:t>
      </w:r>
      <w:r w:rsidR="0067539D" w:rsidRPr="00066E64">
        <w:rPr>
          <w:b w:val="0"/>
          <w:bCs/>
          <w:sz w:val="23"/>
        </w:rPr>
        <w:t xml:space="preserve">The </w:t>
      </w:r>
      <w:r w:rsidR="00923C34" w:rsidRPr="00066E64">
        <w:rPr>
          <w:b w:val="0"/>
          <w:bCs/>
          <w:sz w:val="23"/>
        </w:rPr>
        <w:t xml:space="preserve">total value of properties where part or all of the property is leased out </w:t>
      </w:r>
      <w:r w:rsidR="0067539D" w:rsidRPr="00066E64">
        <w:rPr>
          <w:b w:val="0"/>
          <w:bCs/>
          <w:sz w:val="23"/>
        </w:rPr>
        <w:t>under operating leases is as follows:</w:t>
      </w:r>
    </w:p>
    <w:p w14:paraId="097ABF6D" w14:textId="77777777" w:rsidR="00A71573" w:rsidRPr="004D5CA8" w:rsidRDefault="00A71573" w:rsidP="006D2EED">
      <w:pPr>
        <w:pStyle w:val="HEADING"/>
        <w:ind w:left="720"/>
        <w:rPr>
          <w:b w:val="0"/>
          <w:bCs/>
          <w:sz w:val="23"/>
          <w:highlight w:val="yellow"/>
        </w:rPr>
      </w:pPr>
    </w:p>
    <w:tbl>
      <w:tblPr>
        <w:tblW w:w="7077" w:type="dxa"/>
        <w:jc w:val="center"/>
        <w:tblLook w:val="04A0" w:firstRow="1" w:lastRow="0" w:firstColumn="1" w:lastColumn="0" w:noHBand="0" w:noVBand="1"/>
      </w:tblPr>
      <w:tblGrid>
        <w:gridCol w:w="4248"/>
        <w:gridCol w:w="1401"/>
        <w:gridCol w:w="1428"/>
      </w:tblGrid>
      <w:tr w:rsidR="00066E64" w:rsidRPr="00066E64" w14:paraId="3D4C7F84" w14:textId="77777777" w:rsidTr="00066E64">
        <w:trPr>
          <w:trHeight w:val="290"/>
          <w:jc w:val="center"/>
        </w:trPr>
        <w:tc>
          <w:tcPr>
            <w:tcW w:w="4248" w:type="dxa"/>
            <w:tcBorders>
              <w:top w:val="single" w:sz="4" w:space="0" w:color="auto"/>
              <w:left w:val="single" w:sz="4" w:space="0" w:color="auto"/>
              <w:bottom w:val="nil"/>
              <w:right w:val="nil"/>
            </w:tcBorders>
            <w:shd w:val="clear" w:color="000000" w:fill="000000"/>
            <w:noWrap/>
            <w:vAlign w:val="bottom"/>
            <w:hideMark/>
          </w:tcPr>
          <w:p w14:paraId="3868EB3B" w14:textId="77777777" w:rsidR="00066E64" w:rsidRPr="00066E64" w:rsidRDefault="00066E64" w:rsidP="00EE76E0">
            <w:pPr>
              <w:rPr>
                <w:rFonts w:ascii="Calibri" w:hAnsi="Calibri" w:cs="Calibri"/>
                <w:color w:val="FFFFFF"/>
                <w:sz w:val="22"/>
                <w:szCs w:val="22"/>
                <w:lang w:eastAsia="en-GB"/>
              </w:rPr>
            </w:pPr>
            <w:r w:rsidRPr="00066E64">
              <w:rPr>
                <w:rFonts w:ascii="Calibri" w:hAnsi="Calibri" w:cs="Calibri"/>
                <w:color w:val="FFFFFF"/>
                <w:sz w:val="22"/>
                <w:szCs w:val="22"/>
                <w:lang w:eastAsia="en-GB"/>
              </w:rPr>
              <w:t> </w:t>
            </w:r>
          </w:p>
        </w:tc>
        <w:tc>
          <w:tcPr>
            <w:tcW w:w="2829" w:type="dxa"/>
            <w:gridSpan w:val="2"/>
            <w:tcBorders>
              <w:top w:val="single" w:sz="4" w:space="0" w:color="auto"/>
              <w:left w:val="nil"/>
              <w:bottom w:val="nil"/>
              <w:right w:val="single" w:sz="4" w:space="0" w:color="000000"/>
            </w:tcBorders>
            <w:shd w:val="clear" w:color="000000" w:fill="000000"/>
            <w:noWrap/>
            <w:vAlign w:val="bottom"/>
            <w:hideMark/>
          </w:tcPr>
          <w:p w14:paraId="2C150423" w14:textId="77777777" w:rsidR="00066E64" w:rsidRPr="00066E64" w:rsidRDefault="00066E64" w:rsidP="00EE76E0">
            <w:pPr>
              <w:jc w:val="center"/>
              <w:rPr>
                <w:rFonts w:cs="Arial"/>
                <w:b/>
                <w:bCs/>
                <w:color w:val="FFFFFF"/>
                <w:sz w:val="20"/>
                <w:szCs w:val="20"/>
                <w:lang w:eastAsia="en-GB"/>
              </w:rPr>
            </w:pPr>
          </w:p>
        </w:tc>
      </w:tr>
      <w:tr w:rsidR="00066E64" w:rsidRPr="00066E64" w14:paraId="602B873C" w14:textId="77777777" w:rsidTr="00066E64">
        <w:trPr>
          <w:trHeight w:val="290"/>
          <w:jc w:val="center"/>
        </w:trPr>
        <w:tc>
          <w:tcPr>
            <w:tcW w:w="4248" w:type="dxa"/>
            <w:tcBorders>
              <w:top w:val="nil"/>
              <w:left w:val="single" w:sz="4" w:space="0" w:color="auto"/>
              <w:bottom w:val="nil"/>
              <w:right w:val="nil"/>
            </w:tcBorders>
            <w:shd w:val="clear" w:color="000000" w:fill="000000"/>
            <w:noWrap/>
            <w:vAlign w:val="bottom"/>
            <w:hideMark/>
          </w:tcPr>
          <w:p w14:paraId="3AC4CBC3" w14:textId="77777777" w:rsidR="00066E64" w:rsidRPr="00066E64" w:rsidRDefault="00066E64" w:rsidP="00EE76E0">
            <w:pPr>
              <w:rPr>
                <w:rFonts w:ascii="Calibri" w:hAnsi="Calibri" w:cs="Calibri"/>
                <w:color w:val="FFFFFF"/>
                <w:sz w:val="22"/>
                <w:szCs w:val="22"/>
                <w:lang w:eastAsia="en-GB"/>
              </w:rPr>
            </w:pPr>
            <w:r w:rsidRPr="00066E64">
              <w:rPr>
                <w:rFonts w:ascii="Calibri" w:hAnsi="Calibri" w:cs="Calibri"/>
                <w:color w:val="FFFFFF"/>
                <w:sz w:val="22"/>
                <w:szCs w:val="22"/>
                <w:lang w:eastAsia="en-GB"/>
              </w:rPr>
              <w:t> </w:t>
            </w:r>
          </w:p>
        </w:tc>
        <w:tc>
          <w:tcPr>
            <w:tcW w:w="1401" w:type="dxa"/>
            <w:tcBorders>
              <w:top w:val="nil"/>
              <w:left w:val="nil"/>
              <w:bottom w:val="nil"/>
              <w:right w:val="nil"/>
            </w:tcBorders>
            <w:shd w:val="clear" w:color="000000" w:fill="000000"/>
            <w:noWrap/>
            <w:vAlign w:val="bottom"/>
            <w:hideMark/>
          </w:tcPr>
          <w:p w14:paraId="2AC9C564" w14:textId="67EF49BA" w:rsidR="00066E64" w:rsidRDefault="00066E64" w:rsidP="00EE76E0">
            <w:pPr>
              <w:jc w:val="right"/>
              <w:rPr>
                <w:rFonts w:cs="Arial"/>
                <w:b/>
                <w:bCs/>
                <w:color w:val="FFFFFF"/>
                <w:sz w:val="20"/>
                <w:szCs w:val="20"/>
                <w:lang w:eastAsia="en-GB"/>
              </w:rPr>
            </w:pPr>
            <w:r>
              <w:rPr>
                <w:rFonts w:cs="Arial"/>
                <w:b/>
                <w:bCs/>
                <w:color w:val="FFFFFF"/>
                <w:sz w:val="20"/>
                <w:szCs w:val="20"/>
                <w:lang w:eastAsia="en-GB"/>
              </w:rPr>
              <w:t>Gross</w:t>
            </w:r>
          </w:p>
          <w:p w14:paraId="19A66718" w14:textId="77777777" w:rsidR="00066E64" w:rsidRPr="00066E64" w:rsidRDefault="00066E64" w:rsidP="00EE76E0">
            <w:pPr>
              <w:jc w:val="right"/>
              <w:rPr>
                <w:rFonts w:cs="Arial"/>
                <w:b/>
                <w:bCs/>
                <w:color w:val="FFFFFF"/>
                <w:sz w:val="20"/>
                <w:szCs w:val="20"/>
                <w:lang w:eastAsia="en-GB"/>
              </w:rPr>
            </w:pPr>
            <w:r>
              <w:rPr>
                <w:rFonts w:cs="Arial"/>
                <w:b/>
                <w:bCs/>
                <w:color w:val="FFFFFF"/>
                <w:sz w:val="20"/>
                <w:szCs w:val="20"/>
                <w:lang w:eastAsia="en-GB"/>
              </w:rPr>
              <w:t>£000</w:t>
            </w:r>
          </w:p>
        </w:tc>
        <w:tc>
          <w:tcPr>
            <w:tcW w:w="1428" w:type="dxa"/>
            <w:tcBorders>
              <w:top w:val="nil"/>
              <w:left w:val="nil"/>
              <w:bottom w:val="nil"/>
              <w:right w:val="single" w:sz="4" w:space="0" w:color="auto"/>
            </w:tcBorders>
            <w:shd w:val="clear" w:color="000000" w:fill="000000"/>
            <w:noWrap/>
            <w:vAlign w:val="bottom"/>
          </w:tcPr>
          <w:p w14:paraId="1FCDCE6D" w14:textId="529D6422" w:rsidR="00066E64" w:rsidRDefault="00066E64" w:rsidP="00EE76E0">
            <w:pPr>
              <w:jc w:val="right"/>
              <w:rPr>
                <w:rFonts w:cs="Arial"/>
                <w:b/>
                <w:bCs/>
                <w:color w:val="FFFFFF"/>
                <w:sz w:val="20"/>
                <w:szCs w:val="20"/>
                <w:lang w:eastAsia="en-GB"/>
              </w:rPr>
            </w:pPr>
            <w:r>
              <w:rPr>
                <w:rFonts w:cs="Arial"/>
                <w:b/>
                <w:bCs/>
                <w:color w:val="FFFFFF"/>
                <w:sz w:val="20"/>
                <w:szCs w:val="20"/>
                <w:lang w:eastAsia="en-GB"/>
              </w:rPr>
              <w:t>Depreciation</w:t>
            </w:r>
          </w:p>
          <w:p w14:paraId="3574E2BF" w14:textId="77777777" w:rsidR="00066E64" w:rsidRPr="00066E64" w:rsidRDefault="00066E64" w:rsidP="00EE76E0">
            <w:pPr>
              <w:jc w:val="right"/>
              <w:rPr>
                <w:rFonts w:cs="Arial"/>
                <w:b/>
                <w:bCs/>
                <w:color w:val="FFFFFF"/>
                <w:sz w:val="20"/>
                <w:szCs w:val="20"/>
                <w:lang w:eastAsia="en-GB"/>
              </w:rPr>
            </w:pPr>
            <w:r>
              <w:rPr>
                <w:rFonts w:cs="Arial"/>
                <w:b/>
                <w:bCs/>
                <w:color w:val="FFFFFF"/>
                <w:sz w:val="20"/>
                <w:szCs w:val="20"/>
                <w:lang w:eastAsia="en-GB"/>
              </w:rPr>
              <w:t>£000</w:t>
            </w:r>
          </w:p>
        </w:tc>
      </w:tr>
      <w:tr w:rsidR="00066E64" w:rsidRPr="00066E64" w14:paraId="7BDD4782" w14:textId="77777777" w:rsidTr="00066E64">
        <w:trPr>
          <w:trHeight w:val="310"/>
          <w:jc w:val="center"/>
        </w:trPr>
        <w:tc>
          <w:tcPr>
            <w:tcW w:w="4248" w:type="dxa"/>
            <w:tcBorders>
              <w:top w:val="nil"/>
              <w:left w:val="single" w:sz="4" w:space="0" w:color="auto"/>
              <w:bottom w:val="nil"/>
              <w:right w:val="nil"/>
            </w:tcBorders>
            <w:shd w:val="clear" w:color="auto" w:fill="auto"/>
            <w:noWrap/>
            <w:vAlign w:val="bottom"/>
            <w:hideMark/>
          </w:tcPr>
          <w:p w14:paraId="00EFFE70" w14:textId="46D61345" w:rsidR="00066E64" w:rsidRPr="00066E64" w:rsidRDefault="00066E64" w:rsidP="00EE76E0">
            <w:pPr>
              <w:rPr>
                <w:rFonts w:cs="Arial"/>
                <w:sz w:val="20"/>
                <w:szCs w:val="20"/>
                <w:lang w:eastAsia="en-GB"/>
              </w:rPr>
            </w:pPr>
            <w:r>
              <w:rPr>
                <w:rFonts w:cs="Arial"/>
                <w:sz w:val="20"/>
                <w:szCs w:val="20"/>
                <w:lang w:eastAsia="en-GB"/>
              </w:rPr>
              <w:t>Property, Plant and Equipment</w:t>
            </w:r>
          </w:p>
        </w:tc>
        <w:tc>
          <w:tcPr>
            <w:tcW w:w="1401" w:type="dxa"/>
            <w:tcBorders>
              <w:top w:val="nil"/>
              <w:left w:val="nil"/>
              <w:bottom w:val="nil"/>
              <w:right w:val="nil"/>
            </w:tcBorders>
            <w:shd w:val="clear" w:color="auto" w:fill="auto"/>
            <w:noWrap/>
            <w:vAlign w:val="bottom"/>
            <w:hideMark/>
          </w:tcPr>
          <w:p w14:paraId="1200C8E9" w14:textId="4E0F48F3" w:rsidR="00066E64" w:rsidRPr="00066E64" w:rsidRDefault="00066E64" w:rsidP="00066E64">
            <w:pPr>
              <w:jc w:val="right"/>
              <w:rPr>
                <w:rFonts w:cs="Arial"/>
                <w:sz w:val="20"/>
                <w:szCs w:val="20"/>
                <w:lang w:eastAsia="en-GB"/>
              </w:rPr>
            </w:pPr>
            <w:r w:rsidRPr="00066E64">
              <w:rPr>
                <w:rFonts w:cs="Arial"/>
                <w:sz w:val="20"/>
                <w:szCs w:val="20"/>
                <w:lang w:eastAsia="en-GB"/>
              </w:rPr>
              <w:t xml:space="preserve">               </w:t>
            </w:r>
            <w:r>
              <w:rPr>
                <w:rFonts w:cs="Arial"/>
                <w:sz w:val="20"/>
                <w:szCs w:val="20"/>
                <w:lang w:eastAsia="en-GB"/>
              </w:rPr>
              <w:t>8,541</w:t>
            </w:r>
            <w:r w:rsidRPr="00066E64">
              <w:rPr>
                <w:rFonts w:cs="Arial"/>
                <w:sz w:val="20"/>
                <w:szCs w:val="20"/>
                <w:lang w:eastAsia="en-GB"/>
              </w:rPr>
              <w:t xml:space="preserve"> </w:t>
            </w:r>
          </w:p>
        </w:tc>
        <w:tc>
          <w:tcPr>
            <w:tcW w:w="1428" w:type="dxa"/>
            <w:tcBorders>
              <w:top w:val="nil"/>
              <w:left w:val="nil"/>
              <w:bottom w:val="nil"/>
              <w:right w:val="single" w:sz="4" w:space="0" w:color="auto"/>
            </w:tcBorders>
            <w:shd w:val="clear" w:color="auto" w:fill="auto"/>
            <w:noWrap/>
            <w:vAlign w:val="bottom"/>
          </w:tcPr>
          <w:p w14:paraId="43284B4B" w14:textId="4446F615" w:rsidR="00066E64" w:rsidRPr="00066E64" w:rsidRDefault="00066E64" w:rsidP="00EE76E0">
            <w:pPr>
              <w:jc w:val="right"/>
              <w:rPr>
                <w:rFonts w:cs="Arial"/>
                <w:sz w:val="20"/>
                <w:szCs w:val="20"/>
                <w:lang w:eastAsia="en-GB"/>
              </w:rPr>
            </w:pPr>
            <w:r>
              <w:rPr>
                <w:rFonts w:cs="Arial"/>
                <w:sz w:val="20"/>
                <w:szCs w:val="20"/>
                <w:lang w:eastAsia="en-GB"/>
              </w:rPr>
              <w:t>(153)</w:t>
            </w:r>
          </w:p>
        </w:tc>
      </w:tr>
      <w:tr w:rsidR="00066E64" w:rsidRPr="00066E64" w14:paraId="406CAB25" w14:textId="77777777" w:rsidTr="00066E64">
        <w:trPr>
          <w:trHeight w:val="310"/>
          <w:jc w:val="center"/>
        </w:trPr>
        <w:tc>
          <w:tcPr>
            <w:tcW w:w="4248" w:type="dxa"/>
            <w:tcBorders>
              <w:top w:val="nil"/>
              <w:left w:val="single" w:sz="4" w:space="0" w:color="auto"/>
              <w:bottom w:val="nil"/>
              <w:right w:val="nil"/>
            </w:tcBorders>
            <w:shd w:val="clear" w:color="auto" w:fill="auto"/>
            <w:noWrap/>
            <w:vAlign w:val="bottom"/>
            <w:hideMark/>
          </w:tcPr>
          <w:p w14:paraId="730D44DA" w14:textId="27140A26" w:rsidR="00066E64" w:rsidRPr="00066E64" w:rsidRDefault="00066E64" w:rsidP="00EE76E0">
            <w:pPr>
              <w:rPr>
                <w:rFonts w:cs="Arial"/>
                <w:sz w:val="20"/>
                <w:szCs w:val="20"/>
                <w:lang w:eastAsia="en-GB"/>
              </w:rPr>
            </w:pPr>
            <w:r>
              <w:rPr>
                <w:rFonts w:cs="Arial"/>
                <w:sz w:val="20"/>
                <w:szCs w:val="20"/>
                <w:lang w:eastAsia="en-GB"/>
              </w:rPr>
              <w:t>Investment Property</w:t>
            </w:r>
          </w:p>
        </w:tc>
        <w:tc>
          <w:tcPr>
            <w:tcW w:w="1401" w:type="dxa"/>
            <w:tcBorders>
              <w:top w:val="nil"/>
              <w:left w:val="nil"/>
              <w:bottom w:val="nil"/>
              <w:right w:val="nil"/>
            </w:tcBorders>
            <w:shd w:val="clear" w:color="auto" w:fill="auto"/>
            <w:noWrap/>
            <w:vAlign w:val="bottom"/>
            <w:hideMark/>
          </w:tcPr>
          <w:p w14:paraId="5F175E7F" w14:textId="7EA725A1" w:rsidR="00066E64" w:rsidRPr="00066E64" w:rsidRDefault="00066E64" w:rsidP="00066E64">
            <w:pPr>
              <w:jc w:val="right"/>
              <w:rPr>
                <w:rFonts w:cs="Arial"/>
                <w:sz w:val="20"/>
                <w:szCs w:val="20"/>
                <w:lang w:eastAsia="en-GB"/>
              </w:rPr>
            </w:pPr>
            <w:r>
              <w:rPr>
                <w:rFonts w:cs="Arial"/>
                <w:sz w:val="20"/>
                <w:szCs w:val="20"/>
                <w:lang w:eastAsia="en-GB"/>
              </w:rPr>
              <w:t>963</w:t>
            </w:r>
            <w:r w:rsidRPr="00066E64">
              <w:rPr>
                <w:rFonts w:cs="Arial"/>
                <w:sz w:val="20"/>
                <w:szCs w:val="20"/>
                <w:lang w:eastAsia="en-GB"/>
              </w:rPr>
              <w:t xml:space="preserve"> </w:t>
            </w:r>
          </w:p>
        </w:tc>
        <w:tc>
          <w:tcPr>
            <w:tcW w:w="1428" w:type="dxa"/>
            <w:tcBorders>
              <w:top w:val="nil"/>
              <w:left w:val="nil"/>
              <w:bottom w:val="nil"/>
              <w:right w:val="single" w:sz="4" w:space="0" w:color="auto"/>
            </w:tcBorders>
            <w:shd w:val="clear" w:color="auto" w:fill="auto"/>
            <w:noWrap/>
            <w:vAlign w:val="bottom"/>
          </w:tcPr>
          <w:p w14:paraId="1E911F5B" w14:textId="66B69B65" w:rsidR="00066E64" w:rsidRPr="00066E64" w:rsidRDefault="00066E64" w:rsidP="00EE76E0">
            <w:pPr>
              <w:jc w:val="right"/>
              <w:rPr>
                <w:rFonts w:cs="Arial"/>
                <w:sz w:val="20"/>
                <w:szCs w:val="20"/>
                <w:lang w:eastAsia="en-GB"/>
              </w:rPr>
            </w:pPr>
          </w:p>
        </w:tc>
      </w:tr>
      <w:tr w:rsidR="00066E64" w:rsidRPr="00066E64" w14:paraId="6F637E7A" w14:textId="77777777" w:rsidTr="00066E64">
        <w:trPr>
          <w:trHeight w:val="290"/>
          <w:jc w:val="center"/>
        </w:trPr>
        <w:tc>
          <w:tcPr>
            <w:tcW w:w="4248" w:type="dxa"/>
            <w:tcBorders>
              <w:top w:val="nil"/>
              <w:left w:val="single" w:sz="4" w:space="0" w:color="auto"/>
              <w:bottom w:val="single" w:sz="4" w:space="0" w:color="auto"/>
              <w:right w:val="nil"/>
            </w:tcBorders>
            <w:shd w:val="clear" w:color="auto" w:fill="auto"/>
            <w:noWrap/>
            <w:vAlign w:val="bottom"/>
            <w:hideMark/>
          </w:tcPr>
          <w:p w14:paraId="5CA42000" w14:textId="77777777" w:rsidR="00066E64" w:rsidRPr="00066E64" w:rsidRDefault="00066E64" w:rsidP="00EE76E0">
            <w:pPr>
              <w:rPr>
                <w:rFonts w:ascii="Calibri" w:hAnsi="Calibri" w:cs="Calibri"/>
                <w:color w:val="000000"/>
                <w:sz w:val="22"/>
                <w:szCs w:val="22"/>
                <w:lang w:eastAsia="en-GB"/>
              </w:rPr>
            </w:pPr>
            <w:r w:rsidRPr="00066E64">
              <w:rPr>
                <w:rFonts w:ascii="Calibri" w:hAnsi="Calibri" w:cs="Calibri"/>
                <w:color w:val="000000"/>
                <w:sz w:val="22"/>
                <w:szCs w:val="22"/>
                <w:lang w:eastAsia="en-GB"/>
              </w:rPr>
              <w:t> </w:t>
            </w:r>
          </w:p>
        </w:tc>
        <w:tc>
          <w:tcPr>
            <w:tcW w:w="1401" w:type="dxa"/>
            <w:tcBorders>
              <w:top w:val="single" w:sz="4" w:space="0" w:color="auto"/>
              <w:left w:val="nil"/>
              <w:bottom w:val="single" w:sz="4" w:space="0" w:color="auto"/>
              <w:right w:val="nil"/>
            </w:tcBorders>
            <w:shd w:val="clear" w:color="auto" w:fill="auto"/>
            <w:noWrap/>
            <w:vAlign w:val="bottom"/>
            <w:hideMark/>
          </w:tcPr>
          <w:p w14:paraId="1F6C7AAA" w14:textId="4358BC9A" w:rsidR="00066E64" w:rsidRPr="00066E64" w:rsidRDefault="00066E64" w:rsidP="00066E64">
            <w:pPr>
              <w:jc w:val="right"/>
              <w:rPr>
                <w:rFonts w:cs="Arial"/>
                <w:b/>
                <w:bCs/>
                <w:sz w:val="20"/>
                <w:szCs w:val="20"/>
                <w:lang w:eastAsia="en-GB"/>
              </w:rPr>
            </w:pPr>
            <w:r>
              <w:rPr>
                <w:rFonts w:cs="Arial"/>
                <w:b/>
                <w:bCs/>
                <w:sz w:val="20"/>
                <w:szCs w:val="20"/>
                <w:lang w:eastAsia="en-GB"/>
              </w:rPr>
              <w:t>9,504</w:t>
            </w:r>
          </w:p>
        </w:tc>
        <w:tc>
          <w:tcPr>
            <w:tcW w:w="1428" w:type="dxa"/>
            <w:tcBorders>
              <w:top w:val="single" w:sz="4" w:space="0" w:color="auto"/>
              <w:left w:val="nil"/>
              <w:bottom w:val="single" w:sz="4" w:space="0" w:color="auto"/>
              <w:right w:val="single" w:sz="4" w:space="0" w:color="auto"/>
            </w:tcBorders>
            <w:shd w:val="clear" w:color="auto" w:fill="auto"/>
            <w:noWrap/>
            <w:vAlign w:val="bottom"/>
          </w:tcPr>
          <w:p w14:paraId="1FAA9D5B" w14:textId="498C01D6" w:rsidR="00066E64" w:rsidRPr="00066E64" w:rsidRDefault="00066E64" w:rsidP="00EE76E0">
            <w:pPr>
              <w:jc w:val="right"/>
              <w:rPr>
                <w:rFonts w:cs="Arial"/>
                <w:b/>
                <w:bCs/>
                <w:sz w:val="20"/>
                <w:szCs w:val="20"/>
                <w:lang w:eastAsia="en-GB"/>
              </w:rPr>
            </w:pPr>
            <w:r>
              <w:rPr>
                <w:rFonts w:cs="Arial"/>
                <w:b/>
                <w:bCs/>
                <w:sz w:val="20"/>
                <w:szCs w:val="20"/>
                <w:lang w:eastAsia="en-GB"/>
              </w:rPr>
              <w:t>(153)</w:t>
            </w:r>
          </w:p>
        </w:tc>
      </w:tr>
    </w:tbl>
    <w:p w14:paraId="485A4859" w14:textId="412130C8" w:rsidR="0067539D" w:rsidRPr="004D5CA8" w:rsidRDefault="0067539D" w:rsidP="00E85229">
      <w:pPr>
        <w:pStyle w:val="HEADING"/>
        <w:ind w:left="2127"/>
        <w:rPr>
          <w:highlight w:val="yellow"/>
        </w:rPr>
      </w:pPr>
    </w:p>
    <w:p w14:paraId="485A485A" w14:textId="333B02E9" w:rsidR="0067539D" w:rsidRPr="004D5CA8" w:rsidRDefault="0067539D" w:rsidP="009D51F8">
      <w:pPr>
        <w:jc w:val="center"/>
        <w:rPr>
          <w:highlight w:val="yellow"/>
        </w:rPr>
      </w:pPr>
      <w:bookmarkStart w:id="167" w:name="_MON_1401519972"/>
      <w:bookmarkStart w:id="168" w:name="_MON_1401520230"/>
      <w:bookmarkStart w:id="169" w:name="_MON_1401539270"/>
      <w:bookmarkStart w:id="170" w:name="_MON_1401539310"/>
      <w:bookmarkStart w:id="171" w:name="_MON_1402138338"/>
      <w:bookmarkStart w:id="172" w:name="_MON_1402138359"/>
      <w:bookmarkEnd w:id="167"/>
      <w:bookmarkEnd w:id="168"/>
      <w:bookmarkEnd w:id="169"/>
      <w:bookmarkEnd w:id="170"/>
      <w:bookmarkEnd w:id="171"/>
      <w:bookmarkEnd w:id="172"/>
    </w:p>
    <w:p w14:paraId="485A485C" w14:textId="77777777" w:rsidR="00E36A28" w:rsidRPr="00066E64" w:rsidRDefault="00E36A28" w:rsidP="006D2EED">
      <w:pPr>
        <w:pStyle w:val="HEADING"/>
        <w:ind w:left="720"/>
        <w:rPr>
          <w:b w:val="0"/>
          <w:bCs/>
          <w:sz w:val="23"/>
        </w:rPr>
      </w:pPr>
      <w:r w:rsidRPr="00066E64">
        <w:rPr>
          <w:b w:val="0"/>
          <w:bCs/>
          <w:sz w:val="23"/>
        </w:rPr>
        <w:t>The comparative value of properties where part or all of the property is leased out under operating leases is as follows:</w:t>
      </w:r>
    </w:p>
    <w:p w14:paraId="6F19B746" w14:textId="77777777" w:rsidR="00644B4D" w:rsidRPr="004D5CA8" w:rsidRDefault="00644B4D" w:rsidP="006D2EED">
      <w:pPr>
        <w:pStyle w:val="HEADING"/>
        <w:ind w:left="720"/>
        <w:rPr>
          <w:b w:val="0"/>
          <w:bCs/>
          <w:sz w:val="23"/>
          <w:highlight w:val="yellow"/>
        </w:rPr>
      </w:pPr>
    </w:p>
    <w:tbl>
      <w:tblPr>
        <w:tblW w:w="7077" w:type="dxa"/>
        <w:jc w:val="center"/>
        <w:tblLook w:val="04A0" w:firstRow="1" w:lastRow="0" w:firstColumn="1" w:lastColumn="0" w:noHBand="0" w:noVBand="1"/>
      </w:tblPr>
      <w:tblGrid>
        <w:gridCol w:w="4248"/>
        <w:gridCol w:w="1401"/>
        <w:gridCol w:w="1428"/>
      </w:tblGrid>
      <w:tr w:rsidR="00066E64" w:rsidRPr="00066E64" w14:paraId="025ACB64" w14:textId="77777777" w:rsidTr="00EE76E0">
        <w:trPr>
          <w:trHeight w:val="290"/>
          <w:jc w:val="center"/>
        </w:trPr>
        <w:tc>
          <w:tcPr>
            <w:tcW w:w="4248" w:type="dxa"/>
            <w:tcBorders>
              <w:top w:val="single" w:sz="4" w:space="0" w:color="auto"/>
              <w:left w:val="single" w:sz="4" w:space="0" w:color="auto"/>
              <w:bottom w:val="nil"/>
              <w:right w:val="nil"/>
            </w:tcBorders>
            <w:shd w:val="clear" w:color="000000" w:fill="000000"/>
            <w:noWrap/>
            <w:vAlign w:val="bottom"/>
            <w:hideMark/>
          </w:tcPr>
          <w:p w14:paraId="254628A8" w14:textId="77777777" w:rsidR="00066E64" w:rsidRPr="00066E64" w:rsidRDefault="00066E64" w:rsidP="00EE76E0">
            <w:pPr>
              <w:rPr>
                <w:rFonts w:ascii="Calibri" w:hAnsi="Calibri" w:cs="Calibri"/>
                <w:color w:val="FFFFFF"/>
                <w:sz w:val="22"/>
                <w:szCs w:val="22"/>
                <w:lang w:eastAsia="en-GB"/>
              </w:rPr>
            </w:pPr>
            <w:r w:rsidRPr="00066E64">
              <w:rPr>
                <w:rFonts w:ascii="Calibri" w:hAnsi="Calibri" w:cs="Calibri"/>
                <w:color w:val="FFFFFF"/>
                <w:sz w:val="22"/>
                <w:szCs w:val="22"/>
                <w:lang w:eastAsia="en-GB"/>
              </w:rPr>
              <w:t> </w:t>
            </w:r>
          </w:p>
        </w:tc>
        <w:tc>
          <w:tcPr>
            <w:tcW w:w="2829" w:type="dxa"/>
            <w:gridSpan w:val="2"/>
            <w:tcBorders>
              <w:top w:val="single" w:sz="4" w:space="0" w:color="auto"/>
              <w:left w:val="nil"/>
              <w:bottom w:val="nil"/>
              <w:right w:val="single" w:sz="4" w:space="0" w:color="000000"/>
            </w:tcBorders>
            <w:shd w:val="clear" w:color="000000" w:fill="000000"/>
            <w:noWrap/>
            <w:vAlign w:val="bottom"/>
            <w:hideMark/>
          </w:tcPr>
          <w:p w14:paraId="0F928090" w14:textId="77777777" w:rsidR="00066E64" w:rsidRPr="00066E64" w:rsidRDefault="00066E64" w:rsidP="00EE76E0">
            <w:pPr>
              <w:jc w:val="center"/>
              <w:rPr>
                <w:rFonts w:cs="Arial"/>
                <w:b/>
                <w:bCs/>
                <w:color w:val="FFFFFF"/>
                <w:sz w:val="20"/>
                <w:szCs w:val="20"/>
                <w:lang w:eastAsia="en-GB"/>
              </w:rPr>
            </w:pPr>
          </w:p>
        </w:tc>
      </w:tr>
      <w:tr w:rsidR="00066E64" w:rsidRPr="00066E64" w14:paraId="755EE0A2" w14:textId="77777777" w:rsidTr="00EE76E0">
        <w:trPr>
          <w:trHeight w:val="290"/>
          <w:jc w:val="center"/>
        </w:trPr>
        <w:tc>
          <w:tcPr>
            <w:tcW w:w="4248" w:type="dxa"/>
            <w:tcBorders>
              <w:top w:val="nil"/>
              <w:left w:val="single" w:sz="4" w:space="0" w:color="auto"/>
              <w:bottom w:val="nil"/>
              <w:right w:val="nil"/>
            </w:tcBorders>
            <w:shd w:val="clear" w:color="000000" w:fill="000000"/>
            <w:noWrap/>
            <w:vAlign w:val="bottom"/>
            <w:hideMark/>
          </w:tcPr>
          <w:p w14:paraId="70395BD8" w14:textId="77777777" w:rsidR="00066E64" w:rsidRPr="00066E64" w:rsidRDefault="00066E64" w:rsidP="00EE76E0">
            <w:pPr>
              <w:rPr>
                <w:rFonts w:ascii="Calibri" w:hAnsi="Calibri" w:cs="Calibri"/>
                <w:color w:val="FFFFFF"/>
                <w:sz w:val="22"/>
                <w:szCs w:val="22"/>
                <w:lang w:eastAsia="en-GB"/>
              </w:rPr>
            </w:pPr>
            <w:r w:rsidRPr="00066E64">
              <w:rPr>
                <w:rFonts w:ascii="Calibri" w:hAnsi="Calibri" w:cs="Calibri"/>
                <w:color w:val="FFFFFF"/>
                <w:sz w:val="22"/>
                <w:szCs w:val="22"/>
                <w:lang w:eastAsia="en-GB"/>
              </w:rPr>
              <w:t> </w:t>
            </w:r>
          </w:p>
        </w:tc>
        <w:tc>
          <w:tcPr>
            <w:tcW w:w="1401" w:type="dxa"/>
            <w:tcBorders>
              <w:top w:val="nil"/>
              <w:left w:val="nil"/>
              <w:bottom w:val="nil"/>
              <w:right w:val="nil"/>
            </w:tcBorders>
            <w:shd w:val="clear" w:color="000000" w:fill="000000"/>
            <w:noWrap/>
            <w:vAlign w:val="bottom"/>
            <w:hideMark/>
          </w:tcPr>
          <w:p w14:paraId="6385673A" w14:textId="77777777" w:rsidR="00066E64" w:rsidRDefault="00066E64" w:rsidP="00EE76E0">
            <w:pPr>
              <w:jc w:val="right"/>
              <w:rPr>
                <w:rFonts w:cs="Arial"/>
                <w:b/>
                <w:bCs/>
                <w:color w:val="FFFFFF"/>
                <w:sz w:val="20"/>
                <w:szCs w:val="20"/>
                <w:lang w:eastAsia="en-GB"/>
              </w:rPr>
            </w:pPr>
            <w:r>
              <w:rPr>
                <w:rFonts w:cs="Arial"/>
                <w:b/>
                <w:bCs/>
                <w:color w:val="FFFFFF"/>
                <w:sz w:val="20"/>
                <w:szCs w:val="20"/>
                <w:lang w:eastAsia="en-GB"/>
              </w:rPr>
              <w:t>Gross</w:t>
            </w:r>
          </w:p>
          <w:p w14:paraId="0FD61349" w14:textId="77777777" w:rsidR="00066E64" w:rsidRPr="00066E64" w:rsidRDefault="00066E64" w:rsidP="00EE76E0">
            <w:pPr>
              <w:jc w:val="right"/>
              <w:rPr>
                <w:rFonts w:cs="Arial"/>
                <w:b/>
                <w:bCs/>
                <w:color w:val="FFFFFF"/>
                <w:sz w:val="20"/>
                <w:szCs w:val="20"/>
                <w:lang w:eastAsia="en-GB"/>
              </w:rPr>
            </w:pPr>
            <w:r>
              <w:rPr>
                <w:rFonts w:cs="Arial"/>
                <w:b/>
                <w:bCs/>
                <w:color w:val="FFFFFF"/>
                <w:sz w:val="20"/>
                <w:szCs w:val="20"/>
                <w:lang w:eastAsia="en-GB"/>
              </w:rPr>
              <w:t>£000</w:t>
            </w:r>
          </w:p>
        </w:tc>
        <w:tc>
          <w:tcPr>
            <w:tcW w:w="1428" w:type="dxa"/>
            <w:tcBorders>
              <w:top w:val="nil"/>
              <w:left w:val="nil"/>
              <w:bottom w:val="nil"/>
              <w:right w:val="single" w:sz="4" w:space="0" w:color="auto"/>
            </w:tcBorders>
            <w:shd w:val="clear" w:color="000000" w:fill="000000"/>
            <w:noWrap/>
            <w:vAlign w:val="bottom"/>
          </w:tcPr>
          <w:p w14:paraId="22AE8A9F" w14:textId="77777777" w:rsidR="00066E64" w:rsidRDefault="00066E64" w:rsidP="00EE76E0">
            <w:pPr>
              <w:jc w:val="right"/>
              <w:rPr>
                <w:rFonts w:cs="Arial"/>
                <w:b/>
                <w:bCs/>
                <w:color w:val="FFFFFF"/>
                <w:sz w:val="20"/>
                <w:szCs w:val="20"/>
                <w:lang w:eastAsia="en-GB"/>
              </w:rPr>
            </w:pPr>
            <w:r>
              <w:rPr>
                <w:rFonts w:cs="Arial"/>
                <w:b/>
                <w:bCs/>
                <w:color w:val="FFFFFF"/>
                <w:sz w:val="20"/>
                <w:szCs w:val="20"/>
                <w:lang w:eastAsia="en-GB"/>
              </w:rPr>
              <w:t>Depreciation</w:t>
            </w:r>
          </w:p>
          <w:p w14:paraId="1D08CAF5" w14:textId="77777777" w:rsidR="00066E64" w:rsidRPr="00066E64" w:rsidRDefault="00066E64" w:rsidP="00EE76E0">
            <w:pPr>
              <w:jc w:val="right"/>
              <w:rPr>
                <w:rFonts w:cs="Arial"/>
                <w:b/>
                <w:bCs/>
                <w:color w:val="FFFFFF"/>
                <w:sz w:val="20"/>
                <w:szCs w:val="20"/>
                <w:lang w:eastAsia="en-GB"/>
              </w:rPr>
            </w:pPr>
            <w:r>
              <w:rPr>
                <w:rFonts w:cs="Arial"/>
                <w:b/>
                <w:bCs/>
                <w:color w:val="FFFFFF"/>
                <w:sz w:val="20"/>
                <w:szCs w:val="20"/>
                <w:lang w:eastAsia="en-GB"/>
              </w:rPr>
              <w:t>£000</w:t>
            </w:r>
          </w:p>
        </w:tc>
      </w:tr>
      <w:tr w:rsidR="00066E64" w:rsidRPr="00066E64" w14:paraId="51277444" w14:textId="77777777" w:rsidTr="00EE76E0">
        <w:trPr>
          <w:trHeight w:val="310"/>
          <w:jc w:val="center"/>
        </w:trPr>
        <w:tc>
          <w:tcPr>
            <w:tcW w:w="4248" w:type="dxa"/>
            <w:tcBorders>
              <w:top w:val="nil"/>
              <w:left w:val="single" w:sz="4" w:space="0" w:color="auto"/>
              <w:bottom w:val="nil"/>
              <w:right w:val="nil"/>
            </w:tcBorders>
            <w:shd w:val="clear" w:color="auto" w:fill="auto"/>
            <w:noWrap/>
            <w:vAlign w:val="bottom"/>
            <w:hideMark/>
          </w:tcPr>
          <w:p w14:paraId="53DC9991" w14:textId="77777777" w:rsidR="00066E64" w:rsidRPr="00066E64" w:rsidRDefault="00066E64" w:rsidP="00EE76E0">
            <w:pPr>
              <w:rPr>
                <w:rFonts w:cs="Arial"/>
                <w:sz w:val="20"/>
                <w:szCs w:val="20"/>
                <w:lang w:eastAsia="en-GB"/>
              </w:rPr>
            </w:pPr>
            <w:r>
              <w:rPr>
                <w:rFonts w:cs="Arial"/>
                <w:sz w:val="20"/>
                <w:szCs w:val="20"/>
                <w:lang w:eastAsia="en-GB"/>
              </w:rPr>
              <w:t>Property, Plant and Equipment</w:t>
            </w:r>
          </w:p>
        </w:tc>
        <w:tc>
          <w:tcPr>
            <w:tcW w:w="1401" w:type="dxa"/>
            <w:tcBorders>
              <w:top w:val="nil"/>
              <w:left w:val="nil"/>
              <w:bottom w:val="nil"/>
              <w:right w:val="nil"/>
            </w:tcBorders>
            <w:shd w:val="clear" w:color="auto" w:fill="auto"/>
            <w:noWrap/>
            <w:vAlign w:val="bottom"/>
            <w:hideMark/>
          </w:tcPr>
          <w:p w14:paraId="50FC2D1C" w14:textId="77777777" w:rsidR="00066E64" w:rsidRPr="00066E64" w:rsidRDefault="00066E64" w:rsidP="00EE76E0">
            <w:pPr>
              <w:jc w:val="right"/>
              <w:rPr>
                <w:rFonts w:cs="Arial"/>
                <w:sz w:val="20"/>
                <w:szCs w:val="20"/>
                <w:lang w:eastAsia="en-GB"/>
              </w:rPr>
            </w:pPr>
            <w:r w:rsidRPr="00066E64">
              <w:rPr>
                <w:rFonts w:cs="Arial"/>
                <w:sz w:val="20"/>
                <w:szCs w:val="20"/>
                <w:lang w:eastAsia="en-GB"/>
              </w:rPr>
              <w:t xml:space="preserve">               </w:t>
            </w:r>
            <w:r>
              <w:rPr>
                <w:rFonts w:cs="Arial"/>
                <w:sz w:val="20"/>
                <w:szCs w:val="20"/>
                <w:lang w:eastAsia="en-GB"/>
              </w:rPr>
              <w:t>9,059</w:t>
            </w:r>
            <w:r w:rsidRPr="00066E64">
              <w:rPr>
                <w:rFonts w:cs="Arial"/>
                <w:sz w:val="20"/>
                <w:szCs w:val="20"/>
                <w:lang w:eastAsia="en-GB"/>
              </w:rPr>
              <w:t xml:space="preserve"> </w:t>
            </w:r>
          </w:p>
        </w:tc>
        <w:tc>
          <w:tcPr>
            <w:tcW w:w="1428" w:type="dxa"/>
            <w:tcBorders>
              <w:top w:val="nil"/>
              <w:left w:val="nil"/>
              <w:bottom w:val="nil"/>
              <w:right w:val="single" w:sz="4" w:space="0" w:color="auto"/>
            </w:tcBorders>
            <w:shd w:val="clear" w:color="auto" w:fill="auto"/>
            <w:noWrap/>
            <w:vAlign w:val="bottom"/>
          </w:tcPr>
          <w:p w14:paraId="755B786A" w14:textId="77777777" w:rsidR="00066E64" w:rsidRPr="00066E64" w:rsidRDefault="00066E64" w:rsidP="00EE76E0">
            <w:pPr>
              <w:jc w:val="right"/>
              <w:rPr>
                <w:rFonts w:cs="Arial"/>
                <w:sz w:val="20"/>
                <w:szCs w:val="20"/>
                <w:lang w:eastAsia="en-GB"/>
              </w:rPr>
            </w:pPr>
            <w:r>
              <w:rPr>
                <w:rFonts w:cs="Arial"/>
                <w:sz w:val="20"/>
                <w:szCs w:val="20"/>
                <w:lang w:eastAsia="en-GB"/>
              </w:rPr>
              <w:t>(67)</w:t>
            </w:r>
          </w:p>
        </w:tc>
      </w:tr>
      <w:tr w:rsidR="00066E64" w:rsidRPr="00066E64" w14:paraId="4EF2ADC1" w14:textId="77777777" w:rsidTr="00EE76E0">
        <w:trPr>
          <w:trHeight w:val="310"/>
          <w:jc w:val="center"/>
        </w:trPr>
        <w:tc>
          <w:tcPr>
            <w:tcW w:w="4248" w:type="dxa"/>
            <w:tcBorders>
              <w:top w:val="nil"/>
              <w:left w:val="single" w:sz="4" w:space="0" w:color="auto"/>
              <w:bottom w:val="nil"/>
              <w:right w:val="nil"/>
            </w:tcBorders>
            <w:shd w:val="clear" w:color="auto" w:fill="auto"/>
            <w:noWrap/>
            <w:vAlign w:val="bottom"/>
            <w:hideMark/>
          </w:tcPr>
          <w:p w14:paraId="71A434FC" w14:textId="77777777" w:rsidR="00066E64" w:rsidRPr="00066E64" w:rsidRDefault="00066E64" w:rsidP="00EE76E0">
            <w:pPr>
              <w:rPr>
                <w:rFonts w:cs="Arial"/>
                <w:sz w:val="20"/>
                <w:szCs w:val="20"/>
                <w:lang w:eastAsia="en-GB"/>
              </w:rPr>
            </w:pPr>
            <w:r>
              <w:rPr>
                <w:rFonts w:cs="Arial"/>
                <w:sz w:val="20"/>
                <w:szCs w:val="20"/>
                <w:lang w:eastAsia="en-GB"/>
              </w:rPr>
              <w:t>Investment Property</w:t>
            </w:r>
          </w:p>
        </w:tc>
        <w:tc>
          <w:tcPr>
            <w:tcW w:w="1401" w:type="dxa"/>
            <w:tcBorders>
              <w:top w:val="nil"/>
              <w:left w:val="nil"/>
              <w:bottom w:val="nil"/>
              <w:right w:val="nil"/>
            </w:tcBorders>
            <w:shd w:val="clear" w:color="auto" w:fill="auto"/>
            <w:noWrap/>
            <w:vAlign w:val="bottom"/>
            <w:hideMark/>
          </w:tcPr>
          <w:p w14:paraId="4391910C" w14:textId="77777777" w:rsidR="00066E64" w:rsidRPr="00066E64" w:rsidRDefault="00066E64" w:rsidP="00EE76E0">
            <w:pPr>
              <w:jc w:val="right"/>
              <w:rPr>
                <w:rFonts w:cs="Arial"/>
                <w:sz w:val="20"/>
                <w:szCs w:val="20"/>
                <w:lang w:eastAsia="en-GB"/>
              </w:rPr>
            </w:pPr>
            <w:r>
              <w:rPr>
                <w:rFonts w:cs="Arial"/>
                <w:sz w:val="20"/>
                <w:szCs w:val="20"/>
                <w:lang w:eastAsia="en-GB"/>
              </w:rPr>
              <w:t>510</w:t>
            </w:r>
            <w:r w:rsidRPr="00066E64">
              <w:rPr>
                <w:rFonts w:cs="Arial"/>
                <w:sz w:val="20"/>
                <w:szCs w:val="20"/>
                <w:lang w:eastAsia="en-GB"/>
              </w:rPr>
              <w:t xml:space="preserve"> </w:t>
            </w:r>
          </w:p>
        </w:tc>
        <w:tc>
          <w:tcPr>
            <w:tcW w:w="1428" w:type="dxa"/>
            <w:tcBorders>
              <w:top w:val="nil"/>
              <w:left w:val="nil"/>
              <w:bottom w:val="nil"/>
              <w:right w:val="single" w:sz="4" w:space="0" w:color="auto"/>
            </w:tcBorders>
            <w:shd w:val="clear" w:color="auto" w:fill="auto"/>
            <w:noWrap/>
            <w:vAlign w:val="bottom"/>
          </w:tcPr>
          <w:p w14:paraId="4276499C" w14:textId="77777777" w:rsidR="00066E64" w:rsidRPr="00066E64" w:rsidRDefault="00066E64" w:rsidP="00EE76E0">
            <w:pPr>
              <w:jc w:val="right"/>
              <w:rPr>
                <w:rFonts w:cs="Arial"/>
                <w:sz w:val="20"/>
                <w:szCs w:val="20"/>
                <w:lang w:eastAsia="en-GB"/>
              </w:rPr>
            </w:pPr>
          </w:p>
        </w:tc>
      </w:tr>
      <w:tr w:rsidR="00066E64" w:rsidRPr="00066E64" w14:paraId="1688FB33" w14:textId="77777777" w:rsidTr="00EE76E0">
        <w:trPr>
          <w:trHeight w:val="290"/>
          <w:jc w:val="center"/>
        </w:trPr>
        <w:tc>
          <w:tcPr>
            <w:tcW w:w="4248" w:type="dxa"/>
            <w:tcBorders>
              <w:top w:val="nil"/>
              <w:left w:val="single" w:sz="4" w:space="0" w:color="auto"/>
              <w:bottom w:val="single" w:sz="4" w:space="0" w:color="auto"/>
              <w:right w:val="nil"/>
            </w:tcBorders>
            <w:shd w:val="clear" w:color="auto" w:fill="auto"/>
            <w:noWrap/>
            <w:vAlign w:val="bottom"/>
            <w:hideMark/>
          </w:tcPr>
          <w:p w14:paraId="4F0094E9" w14:textId="77777777" w:rsidR="00066E64" w:rsidRPr="00066E64" w:rsidRDefault="00066E64" w:rsidP="00EE76E0">
            <w:pPr>
              <w:rPr>
                <w:rFonts w:ascii="Calibri" w:hAnsi="Calibri" w:cs="Calibri"/>
                <w:color w:val="000000"/>
                <w:sz w:val="22"/>
                <w:szCs w:val="22"/>
                <w:lang w:eastAsia="en-GB"/>
              </w:rPr>
            </w:pPr>
            <w:r w:rsidRPr="00066E64">
              <w:rPr>
                <w:rFonts w:ascii="Calibri" w:hAnsi="Calibri" w:cs="Calibri"/>
                <w:color w:val="000000"/>
                <w:sz w:val="22"/>
                <w:szCs w:val="22"/>
                <w:lang w:eastAsia="en-GB"/>
              </w:rPr>
              <w:t> </w:t>
            </w:r>
          </w:p>
        </w:tc>
        <w:tc>
          <w:tcPr>
            <w:tcW w:w="1401" w:type="dxa"/>
            <w:tcBorders>
              <w:top w:val="single" w:sz="4" w:space="0" w:color="auto"/>
              <w:left w:val="nil"/>
              <w:bottom w:val="single" w:sz="4" w:space="0" w:color="auto"/>
              <w:right w:val="nil"/>
            </w:tcBorders>
            <w:shd w:val="clear" w:color="auto" w:fill="auto"/>
            <w:noWrap/>
            <w:vAlign w:val="bottom"/>
            <w:hideMark/>
          </w:tcPr>
          <w:p w14:paraId="645D99A4" w14:textId="77777777" w:rsidR="00066E64" w:rsidRPr="00066E64" w:rsidRDefault="00066E64" w:rsidP="00EE76E0">
            <w:pPr>
              <w:jc w:val="right"/>
              <w:rPr>
                <w:rFonts w:cs="Arial"/>
                <w:b/>
                <w:bCs/>
                <w:sz w:val="20"/>
                <w:szCs w:val="20"/>
                <w:lang w:eastAsia="en-GB"/>
              </w:rPr>
            </w:pPr>
            <w:r>
              <w:rPr>
                <w:rFonts w:cs="Arial"/>
                <w:b/>
                <w:bCs/>
                <w:sz w:val="20"/>
                <w:szCs w:val="20"/>
                <w:lang w:eastAsia="en-GB"/>
              </w:rPr>
              <w:t>9,569</w:t>
            </w:r>
          </w:p>
        </w:tc>
        <w:tc>
          <w:tcPr>
            <w:tcW w:w="1428" w:type="dxa"/>
            <w:tcBorders>
              <w:top w:val="single" w:sz="4" w:space="0" w:color="auto"/>
              <w:left w:val="nil"/>
              <w:bottom w:val="single" w:sz="4" w:space="0" w:color="auto"/>
              <w:right w:val="single" w:sz="4" w:space="0" w:color="auto"/>
            </w:tcBorders>
            <w:shd w:val="clear" w:color="auto" w:fill="auto"/>
            <w:noWrap/>
            <w:vAlign w:val="bottom"/>
          </w:tcPr>
          <w:p w14:paraId="75DC111A" w14:textId="77777777" w:rsidR="00066E64" w:rsidRPr="00066E64" w:rsidRDefault="00066E64" w:rsidP="00EE76E0">
            <w:pPr>
              <w:jc w:val="right"/>
              <w:rPr>
                <w:rFonts w:cs="Arial"/>
                <w:b/>
                <w:bCs/>
                <w:sz w:val="20"/>
                <w:szCs w:val="20"/>
                <w:lang w:eastAsia="en-GB"/>
              </w:rPr>
            </w:pPr>
            <w:r>
              <w:rPr>
                <w:rFonts w:cs="Arial"/>
                <w:b/>
                <w:bCs/>
                <w:sz w:val="20"/>
                <w:szCs w:val="20"/>
                <w:lang w:eastAsia="en-GB"/>
              </w:rPr>
              <w:t>(67)</w:t>
            </w:r>
          </w:p>
        </w:tc>
      </w:tr>
    </w:tbl>
    <w:p w14:paraId="485A485E" w14:textId="7211800C" w:rsidR="00E36A28" w:rsidRPr="004D5CA8" w:rsidRDefault="007E1832" w:rsidP="006D2EED">
      <w:pPr>
        <w:pStyle w:val="HEADING"/>
        <w:ind w:left="720"/>
        <w:rPr>
          <w:b w:val="0"/>
          <w:bCs/>
          <w:sz w:val="23"/>
          <w:highlight w:val="yellow"/>
        </w:rPr>
      </w:pPr>
      <w:r w:rsidRPr="004D5CA8">
        <w:rPr>
          <w:b w:val="0"/>
          <w:bCs/>
          <w:sz w:val="23"/>
          <w:highlight w:val="yellow"/>
        </w:rPr>
        <w:t xml:space="preserve">           </w:t>
      </w:r>
    </w:p>
    <w:p w14:paraId="1F65FDC7" w14:textId="77777777" w:rsidR="00B72CF2" w:rsidRDefault="00B72CF2" w:rsidP="006D2EED">
      <w:pPr>
        <w:pStyle w:val="HEADING"/>
        <w:ind w:left="720"/>
        <w:rPr>
          <w:b w:val="0"/>
          <w:bCs/>
          <w:sz w:val="23"/>
          <w:highlight w:val="yellow"/>
        </w:rPr>
      </w:pPr>
    </w:p>
    <w:p w14:paraId="1DFF36F1" w14:textId="77777777" w:rsidR="00066E64" w:rsidRPr="004D5CA8" w:rsidRDefault="00066E64" w:rsidP="006D2EED">
      <w:pPr>
        <w:pStyle w:val="HEADING"/>
        <w:ind w:left="720"/>
        <w:rPr>
          <w:b w:val="0"/>
          <w:bCs/>
          <w:sz w:val="23"/>
          <w:highlight w:val="yellow"/>
        </w:rPr>
      </w:pPr>
    </w:p>
    <w:p w14:paraId="485A4860" w14:textId="26C5804E" w:rsidR="00E00863" w:rsidRPr="00066E64" w:rsidRDefault="00E00863" w:rsidP="006D2EED">
      <w:pPr>
        <w:pStyle w:val="HEADING"/>
        <w:ind w:left="720"/>
        <w:rPr>
          <w:b w:val="0"/>
          <w:bCs/>
        </w:rPr>
      </w:pPr>
      <w:r w:rsidRPr="00066E64">
        <w:rPr>
          <w:b w:val="0"/>
          <w:bCs/>
          <w:sz w:val="23"/>
        </w:rPr>
        <w:t>The future minimum lease payments receivable under non-cancellable leases in future years will be received over the following periods:</w:t>
      </w:r>
    </w:p>
    <w:p w14:paraId="485A4863" w14:textId="296E029A" w:rsidR="0014397D" w:rsidRPr="004D5CA8" w:rsidRDefault="0014397D" w:rsidP="00644B4D">
      <w:pPr>
        <w:ind w:left="1843"/>
        <w:rPr>
          <w:i/>
          <w:highlight w:val="yellow"/>
        </w:rPr>
      </w:pPr>
    </w:p>
    <w:tbl>
      <w:tblPr>
        <w:tblW w:w="6914" w:type="dxa"/>
        <w:jc w:val="center"/>
        <w:tblLook w:val="04A0" w:firstRow="1" w:lastRow="0" w:firstColumn="1" w:lastColumn="0" w:noHBand="0" w:noVBand="1"/>
      </w:tblPr>
      <w:tblGrid>
        <w:gridCol w:w="4106"/>
        <w:gridCol w:w="1401"/>
        <w:gridCol w:w="1407"/>
      </w:tblGrid>
      <w:tr w:rsidR="00B72CF2" w:rsidRPr="004D5CA8" w14:paraId="2E446294" w14:textId="77777777" w:rsidTr="00B72CF2">
        <w:trPr>
          <w:trHeight w:val="290"/>
          <w:jc w:val="center"/>
        </w:trPr>
        <w:tc>
          <w:tcPr>
            <w:tcW w:w="4106" w:type="dxa"/>
            <w:tcBorders>
              <w:top w:val="single" w:sz="4" w:space="0" w:color="auto"/>
              <w:left w:val="single" w:sz="4" w:space="0" w:color="auto"/>
              <w:bottom w:val="nil"/>
              <w:right w:val="nil"/>
            </w:tcBorders>
            <w:shd w:val="clear" w:color="000000" w:fill="000000"/>
            <w:noWrap/>
            <w:vAlign w:val="bottom"/>
            <w:hideMark/>
          </w:tcPr>
          <w:p w14:paraId="48C28DAD" w14:textId="77777777" w:rsidR="00B72CF2" w:rsidRPr="00066E64" w:rsidRDefault="00B72CF2" w:rsidP="00B72CF2">
            <w:pPr>
              <w:rPr>
                <w:rFonts w:ascii="Calibri" w:hAnsi="Calibri" w:cs="Calibri"/>
                <w:color w:val="FFFFFF"/>
                <w:sz w:val="22"/>
                <w:szCs w:val="22"/>
                <w:lang w:eastAsia="en-GB"/>
              </w:rPr>
            </w:pPr>
            <w:r w:rsidRPr="00066E64">
              <w:rPr>
                <w:rFonts w:ascii="Calibri" w:hAnsi="Calibri" w:cs="Calibri"/>
                <w:color w:val="FFFFFF"/>
                <w:sz w:val="22"/>
                <w:szCs w:val="22"/>
                <w:lang w:eastAsia="en-GB"/>
              </w:rPr>
              <w:lastRenderedPageBreak/>
              <w:t> </w:t>
            </w:r>
          </w:p>
        </w:tc>
        <w:tc>
          <w:tcPr>
            <w:tcW w:w="2808" w:type="dxa"/>
            <w:gridSpan w:val="2"/>
            <w:tcBorders>
              <w:top w:val="single" w:sz="4" w:space="0" w:color="auto"/>
              <w:left w:val="nil"/>
              <w:bottom w:val="nil"/>
              <w:right w:val="single" w:sz="4" w:space="0" w:color="000000"/>
            </w:tcBorders>
            <w:shd w:val="clear" w:color="000000" w:fill="000000"/>
            <w:noWrap/>
            <w:vAlign w:val="bottom"/>
            <w:hideMark/>
          </w:tcPr>
          <w:p w14:paraId="6AC1F798" w14:textId="77777777" w:rsidR="00B72CF2" w:rsidRPr="00066E64" w:rsidRDefault="00B72CF2" w:rsidP="00B72CF2">
            <w:pPr>
              <w:jc w:val="center"/>
              <w:rPr>
                <w:rFonts w:cs="Arial"/>
                <w:b/>
                <w:bCs/>
                <w:color w:val="FFFFFF"/>
                <w:sz w:val="20"/>
                <w:szCs w:val="20"/>
                <w:lang w:eastAsia="en-GB"/>
              </w:rPr>
            </w:pPr>
            <w:r w:rsidRPr="00066E64">
              <w:rPr>
                <w:rFonts w:cs="Arial"/>
                <w:b/>
                <w:bCs/>
                <w:color w:val="FFFFFF"/>
                <w:sz w:val="20"/>
                <w:szCs w:val="20"/>
                <w:lang w:eastAsia="en-GB"/>
              </w:rPr>
              <w:t>Total</w:t>
            </w:r>
          </w:p>
        </w:tc>
      </w:tr>
      <w:tr w:rsidR="00066E64" w:rsidRPr="004D5CA8" w14:paraId="1936B10D" w14:textId="77777777" w:rsidTr="00066E64">
        <w:trPr>
          <w:trHeight w:val="290"/>
          <w:jc w:val="center"/>
        </w:trPr>
        <w:tc>
          <w:tcPr>
            <w:tcW w:w="4106" w:type="dxa"/>
            <w:tcBorders>
              <w:top w:val="nil"/>
              <w:left w:val="single" w:sz="4" w:space="0" w:color="auto"/>
              <w:bottom w:val="nil"/>
              <w:right w:val="nil"/>
            </w:tcBorders>
            <w:shd w:val="clear" w:color="000000" w:fill="000000"/>
            <w:noWrap/>
            <w:vAlign w:val="bottom"/>
            <w:hideMark/>
          </w:tcPr>
          <w:p w14:paraId="108691DF" w14:textId="77777777" w:rsidR="00066E64" w:rsidRPr="00066E64" w:rsidRDefault="00066E64" w:rsidP="00066E64">
            <w:pPr>
              <w:rPr>
                <w:rFonts w:ascii="Calibri" w:hAnsi="Calibri" w:cs="Calibri"/>
                <w:color w:val="FFFFFF"/>
                <w:sz w:val="22"/>
                <w:szCs w:val="22"/>
                <w:lang w:eastAsia="en-GB"/>
              </w:rPr>
            </w:pPr>
            <w:r w:rsidRPr="00066E64">
              <w:rPr>
                <w:rFonts w:ascii="Calibri" w:hAnsi="Calibri" w:cs="Calibri"/>
                <w:color w:val="FFFFFF"/>
                <w:sz w:val="22"/>
                <w:szCs w:val="22"/>
                <w:lang w:eastAsia="en-GB"/>
              </w:rPr>
              <w:t> </w:t>
            </w:r>
          </w:p>
        </w:tc>
        <w:tc>
          <w:tcPr>
            <w:tcW w:w="1401" w:type="dxa"/>
            <w:tcBorders>
              <w:top w:val="nil"/>
              <w:left w:val="nil"/>
              <w:bottom w:val="nil"/>
              <w:right w:val="nil"/>
            </w:tcBorders>
            <w:shd w:val="clear" w:color="000000" w:fill="000000"/>
            <w:noWrap/>
            <w:vAlign w:val="bottom"/>
            <w:hideMark/>
          </w:tcPr>
          <w:p w14:paraId="73D2EFDA" w14:textId="6C9C4DFA" w:rsidR="002329B2" w:rsidRDefault="002329B2" w:rsidP="00066E64">
            <w:pPr>
              <w:jc w:val="right"/>
              <w:rPr>
                <w:rFonts w:cs="Arial"/>
                <w:b/>
                <w:bCs/>
                <w:color w:val="FFFFFF"/>
                <w:sz w:val="20"/>
                <w:szCs w:val="20"/>
                <w:lang w:eastAsia="en-GB"/>
              </w:rPr>
            </w:pPr>
            <w:r>
              <w:rPr>
                <w:rFonts w:cs="Arial"/>
                <w:b/>
                <w:bCs/>
                <w:color w:val="FFFFFF"/>
                <w:sz w:val="20"/>
                <w:szCs w:val="20"/>
                <w:lang w:eastAsia="en-GB"/>
              </w:rPr>
              <w:t xml:space="preserve">  Restated</w:t>
            </w:r>
          </w:p>
          <w:p w14:paraId="1596E424" w14:textId="5CE90E35" w:rsidR="00066E64" w:rsidRPr="00066E64" w:rsidRDefault="00066E64" w:rsidP="00066E64">
            <w:pPr>
              <w:jc w:val="right"/>
              <w:rPr>
                <w:rFonts w:cs="Arial"/>
                <w:b/>
                <w:bCs/>
                <w:color w:val="FFFFFF"/>
                <w:sz w:val="20"/>
                <w:szCs w:val="20"/>
                <w:lang w:eastAsia="en-GB"/>
              </w:rPr>
            </w:pPr>
            <w:r w:rsidRPr="00066E64">
              <w:rPr>
                <w:rFonts w:cs="Arial"/>
                <w:b/>
                <w:bCs/>
                <w:color w:val="FFFFFF"/>
                <w:sz w:val="20"/>
                <w:szCs w:val="20"/>
                <w:lang w:eastAsia="en-GB"/>
              </w:rPr>
              <w:t>2022</w:t>
            </w:r>
          </w:p>
        </w:tc>
        <w:tc>
          <w:tcPr>
            <w:tcW w:w="1407" w:type="dxa"/>
            <w:tcBorders>
              <w:top w:val="nil"/>
              <w:left w:val="nil"/>
              <w:bottom w:val="nil"/>
              <w:right w:val="single" w:sz="4" w:space="0" w:color="auto"/>
            </w:tcBorders>
            <w:shd w:val="clear" w:color="000000" w:fill="000000"/>
            <w:noWrap/>
            <w:vAlign w:val="bottom"/>
          </w:tcPr>
          <w:p w14:paraId="58BB0188" w14:textId="22BEFC1A" w:rsidR="00066E64" w:rsidRPr="00066E64" w:rsidRDefault="00066E64" w:rsidP="00066E64">
            <w:pPr>
              <w:jc w:val="right"/>
              <w:rPr>
                <w:rFonts w:cs="Arial"/>
                <w:b/>
                <w:bCs/>
                <w:color w:val="FFFFFF"/>
                <w:sz w:val="20"/>
                <w:szCs w:val="20"/>
                <w:lang w:eastAsia="en-GB"/>
              </w:rPr>
            </w:pPr>
            <w:r>
              <w:rPr>
                <w:rFonts w:cs="Arial"/>
                <w:b/>
                <w:bCs/>
                <w:color w:val="FFFFFF"/>
                <w:sz w:val="20"/>
                <w:szCs w:val="20"/>
                <w:lang w:eastAsia="en-GB"/>
              </w:rPr>
              <w:t>2023</w:t>
            </w:r>
          </w:p>
        </w:tc>
      </w:tr>
      <w:tr w:rsidR="00066E64" w:rsidRPr="004D5CA8" w14:paraId="4E7E6A45" w14:textId="77777777" w:rsidTr="00066E64">
        <w:trPr>
          <w:trHeight w:val="290"/>
          <w:jc w:val="center"/>
        </w:trPr>
        <w:tc>
          <w:tcPr>
            <w:tcW w:w="4106" w:type="dxa"/>
            <w:tcBorders>
              <w:top w:val="nil"/>
              <w:left w:val="single" w:sz="4" w:space="0" w:color="auto"/>
              <w:bottom w:val="nil"/>
              <w:right w:val="nil"/>
            </w:tcBorders>
            <w:shd w:val="clear" w:color="auto" w:fill="auto"/>
            <w:noWrap/>
            <w:vAlign w:val="bottom"/>
            <w:hideMark/>
          </w:tcPr>
          <w:p w14:paraId="6232EFC0" w14:textId="77777777" w:rsidR="00066E64" w:rsidRPr="00066E64" w:rsidRDefault="00066E64" w:rsidP="00066E64">
            <w:pPr>
              <w:rPr>
                <w:rFonts w:cs="Arial"/>
                <w:sz w:val="20"/>
                <w:szCs w:val="20"/>
                <w:lang w:eastAsia="en-GB"/>
              </w:rPr>
            </w:pPr>
            <w:r w:rsidRPr="00066E64">
              <w:rPr>
                <w:rFonts w:cs="Arial"/>
                <w:sz w:val="20"/>
                <w:szCs w:val="20"/>
                <w:lang w:eastAsia="en-GB"/>
              </w:rPr>
              <w:t>Not later than 1 year</w:t>
            </w:r>
          </w:p>
        </w:tc>
        <w:tc>
          <w:tcPr>
            <w:tcW w:w="1401" w:type="dxa"/>
            <w:tcBorders>
              <w:top w:val="nil"/>
              <w:left w:val="nil"/>
              <w:bottom w:val="nil"/>
              <w:right w:val="nil"/>
            </w:tcBorders>
            <w:shd w:val="clear" w:color="auto" w:fill="auto"/>
            <w:noWrap/>
            <w:vAlign w:val="bottom"/>
            <w:hideMark/>
          </w:tcPr>
          <w:p w14:paraId="57248326" w14:textId="6762A212" w:rsidR="00066E64" w:rsidRPr="00066E64" w:rsidRDefault="00066E64" w:rsidP="00066E64">
            <w:pPr>
              <w:rPr>
                <w:rFonts w:cs="Arial"/>
                <w:sz w:val="20"/>
                <w:szCs w:val="20"/>
                <w:lang w:eastAsia="en-GB"/>
              </w:rPr>
            </w:pPr>
            <w:r w:rsidRPr="00066E64">
              <w:rPr>
                <w:rFonts w:cs="Arial"/>
                <w:sz w:val="20"/>
                <w:szCs w:val="20"/>
                <w:lang w:eastAsia="en-GB"/>
              </w:rPr>
              <w:t xml:space="preserve">               </w:t>
            </w:r>
            <w:r w:rsidR="002329B2">
              <w:rPr>
                <w:rFonts w:cs="Arial"/>
                <w:sz w:val="20"/>
                <w:szCs w:val="20"/>
                <w:lang w:eastAsia="en-GB"/>
              </w:rPr>
              <w:t>234</w:t>
            </w:r>
            <w:r w:rsidRPr="00066E64">
              <w:rPr>
                <w:rFonts w:cs="Arial"/>
                <w:sz w:val="20"/>
                <w:szCs w:val="20"/>
                <w:lang w:eastAsia="en-GB"/>
              </w:rPr>
              <w:t xml:space="preserve"> </w:t>
            </w:r>
          </w:p>
        </w:tc>
        <w:tc>
          <w:tcPr>
            <w:tcW w:w="1407" w:type="dxa"/>
            <w:tcBorders>
              <w:top w:val="nil"/>
              <w:left w:val="nil"/>
              <w:bottom w:val="nil"/>
              <w:right w:val="single" w:sz="4" w:space="0" w:color="auto"/>
            </w:tcBorders>
            <w:shd w:val="clear" w:color="auto" w:fill="auto"/>
            <w:noWrap/>
            <w:vAlign w:val="bottom"/>
          </w:tcPr>
          <w:p w14:paraId="2EC81FF3" w14:textId="0F55E45B" w:rsidR="00066E64" w:rsidRPr="00066E64" w:rsidRDefault="002329B2" w:rsidP="00066E64">
            <w:pPr>
              <w:jc w:val="right"/>
              <w:rPr>
                <w:rFonts w:cs="Arial"/>
                <w:sz w:val="20"/>
                <w:szCs w:val="20"/>
                <w:lang w:eastAsia="en-GB"/>
              </w:rPr>
            </w:pPr>
            <w:r>
              <w:rPr>
                <w:rFonts w:cs="Arial"/>
                <w:sz w:val="20"/>
                <w:szCs w:val="20"/>
                <w:lang w:eastAsia="en-GB"/>
              </w:rPr>
              <w:t>180</w:t>
            </w:r>
          </w:p>
        </w:tc>
      </w:tr>
      <w:tr w:rsidR="00066E64" w:rsidRPr="004D5CA8" w14:paraId="68D9CB33" w14:textId="77777777" w:rsidTr="00066E64">
        <w:trPr>
          <w:trHeight w:val="290"/>
          <w:jc w:val="center"/>
        </w:trPr>
        <w:tc>
          <w:tcPr>
            <w:tcW w:w="4106" w:type="dxa"/>
            <w:tcBorders>
              <w:top w:val="nil"/>
              <w:left w:val="single" w:sz="4" w:space="0" w:color="auto"/>
              <w:bottom w:val="nil"/>
              <w:right w:val="nil"/>
            </w:tcBorders>
            <w:shd w:val="clear" w:color="auto" w:fill="auto"/>
            <w:noWrap/>
            <w:vAlign w:val="bottom"/>
            <w:hideMark/>
          </w:tcPr>
          <w:p w14:paraId="62BFAD5C" w14:textId="77777777" w:rsidR="00066E64" w:rsidRPr="00066E64" w:rsidRDefault="00066E64" w:rsidP="00066E64">
            <w:pPr>
              <w:rPr>
                <w:rFonts w:cs="Arial"/>
                <w:sz w:val="20"/>
                <w:szCs w:val="20"/>
                <w:lang w:eastAsia="en-GB"/>
              </w:rPr>
            </w:pPr>
            <w:r w:rsidRPr="00066E64">
              <w:rPr>
                <w:rFonts w:cs="Arial"/>
                <w:sz w:val="20"/>
                <w:szCs w:val="20"/>
                <w:lang w:eastAsia="en-GB"/>
              </w:rPr>
              <w:t>Later than 1 year but not later than 5 years</w:t>
            </w:r>
          </w:p>
        </w:tc>
        <w:tc>
          <w:tcPr>
            <w:tcW w:w="1401" w:type="dxa"/>
            <w:tcBorders>
              <w:top w:val="nil"/>
              <w:left w:val="nil"/>
              <w:bottom w:val="nil"/>
              <w:right w:val="nil"/>
            </w:tcBorders>
            <w:shd w:val="clear" w:color="auto" w:fill="auto"/>
            <w:noWrap/>
            <w:vAlign w:val="bottom"/>
            <w:hideMark/>
          </w:tcPr>
          <w:p w14:paraId="6E6A8985" w14:textId="02C702D6" w:rsidR="00066E64" w:rsidRPr="00066E64" w:rsidRDefault="00066E64" w:rsidP="00066E64">
            <w:pPr>
              <w:rPr>
                <w:rFonts w:cs="Arial"/>
                <w:sz w:val="20"/>
                <w:szCs w:val="20"/>
                <w:lang w:eastAsia="en-GB"/>
              </w:rPr>
            </w:pPr>
            <w:r w:rsidRPr="00066E64">
              <w:rPr>
                <w:rFonts w:cs="Arial"/>
                <w:sz w:val="20"/>
                <w:szCs w:val="20"/>
                <w:lang w:eastAsia="en-GB"/>
              </w:rPr>
              <w:t xml:space="preserve">               </w:t>
            </w:r>
            <w:r w:rsidR="002329B2">
              <w:rPr>
                <w:rFonts w:cs="Arial"/>
                <w:sz w:val="20"/>
                <w:szCs w:val="20"/>
                <w:lang w:eastAsia="en-GB"/>
              </w:rPr>
              <w:t>267</w:t>
            </w:r>
            <w:r w:rsidRPr="00066E64">
              <w:rPr>
                <w:rFonts w:cs="Arial"/>
                <w:sz w:val="20"/>
                <w:szCs w:val="20"/>
                <w:lang w:eastAsia="en-GB"/>
              </w:rPr>
              <w:t xml:space="preserve"> </w:t>
            </w:r>
          </w:p>
        </w:tc>
        <w:tc>
          <w:tcPr>
            <w:tcW w:w="1407" w:type="dxa"/>
            <w:tcBorders>
              <w:top w:val="nil"/>
              <w:left w:val="nil"/>
              <w:bottom w:val="nil"/>
              <w:right w:val="single" w:sz="4" w:space="0" w:color="auto"/>
            </w:tcBorders>
            <w:shd w:val="clear" w:color="auto" w:fill="auto"/>
            <w:noWrap/>
            <w:vAlign w:val="bottom"/>
          </w:tcPr>
          <w:p w14:paraId="082AB120" w14:textId="35030FB0" w:rsidR="00066E64" w:rsidRPr="00066E64" w:rsidRDefault="00066E64" w:rsidP="00066E64">
            <w:pPr>
              <w:jc w:val="right"/>
              <w:rPr>
                <w:rFonts w:cs="Arial"/>
                <w:sz w:val="20"/>
                <w:szCs w:val="20"/>
                <w:lang w:eastAsia="en-GB"/>
              </w:rPr>
            </w:pPr>
            <w:r>
              <w:rPr>
                <w:rFonts w:cs="Arial"/>
                <w:sz w:val="20"/>
                <w:szCs w:val="20"/>
                <w:lang w:eastAsia="en-GB"/>
              </w:rPr>
              <w:t>1</w:t>
            </w:r>
            <w:r w:rsidR="002329B2">
              <w:rPr>
                <w:rFonts w:cs="Arial"/>
                <w:sz w:val="20"/>
                <w:szCs w:val="20"/>
                <w:lang w:eastAsia="en-GB"/>
              </w:rPr>
              <w:t>62</w:t>
            </w:r>
          </w:p>
        </w:tc>
      </w:tr>
      <w:tr w:rsidR="00066E64" w:rsidRPr="004D5CA8" w14:paraId="0BF84D80" w14:textId="77777777" w:rsidTr="00066E64">
        <w:trPr>
          <w:trHeight w:val="290"/>
          <w:jc w:val="center"/>
        </w:trPr>
        <w:tc>
          <w:tcPr>
            <w:tcW w:w="4106" w:type="dxa"/>
            <w:tcBorders>
              <w:top w:val="nil"/>
              <w:left w:val="single" w:sz="4" w:space="0" w:color="auto"/>
              <w:bottom w:val="nil"/>
              <w:right w:val="nil"/>
            </w:tcBorders>
            <w:shd w:val="clear" w:color="auto" w:fill="auto"/>
            <w:noWrap/>
            <w:vAlign w:val="bottom"/>
            <w:hideMark/>
          </w:tcPr>
          <w:p w14:paraId="065554AC" w14:textId="77777777" w:rsidR="00066E64" w:rsidRPr="00066E64" w:rsidRDefault="00066E64" w:rsidP="00066E64">
            <w:pPr>
              <w:rPr>
                <w:rFonts w:cs="Arial"/>
                <w:sz w:val="20"/>
                <w:szCs w:val="20"/>
                <w:lang w:eastAsia="en-GB"/>
              </w:rPr>
            </w:pPr>
            <w:r w:rsidRPr="00066E64">
              <w:rPr>
                <w:rFonts w:cs="Arial"/>
                <w:sz w:val="20"/>
                <w:szCs w:val="20"/>
                <w:lang w:eastAsia="en-GB"/>
              </w:rPr>
              <w:t>Later than 5 years</w:t>
            </w:r>
          </w:p>
        </w:tc>
        <w:tc>
          <w:tcPr>
            <w:tcW w:w="1401" w:type="dxa"/>
            <w:tcBorders>
              <w:top w:val="nil"/>
              <w:left w:val="nil"/>
              <w:bottom w:val="nil"/>
              <w:right w:val="nil"/>
            </w:tcBorders>
            <w:shd w:val="clear" w:color="auto" w:fill="auto"/>
            <w:noWrap/>
            <w:vAlign w:val="bottom"/>
            <w:hideMark/>
          </w:tcPr>
          <w:p w14:paraId="129E089A" w14:textId="75E9CA45" w:rsidR="00066E64" w:rsidRPr="00066E64" w:rsidRDefault="00066E64" w:rsidP="00066E64">
            <w:pPr>
              <w:rPr>
                <w:rFonts w:cs="Arial"/>
                <w:sz w:val="20"/>
                <w:szCs w:val="20"/>
                <w:lang w:eastAsia="en-GB"/>
              </w:rPr>
            </w:pPr>
            <w:r w:rsidRPr="00066E64">
              <w:rPr>
                <w:rFonts w:cs="Arial"/>
                <w:sz w:val="20"/>
                <w:szCs w:val="20"/>
                <w:lang w:eastAsia="en-GB"/>
              </w:rPr>
              <w:t xml:space="preserve">               </w:t>
            </w:r>
            <w:r w:rsidR="002329B2">
              <w:rPr>
                <w:rFonts w:cs="Arial"/>
                <w:sz w:val="20"/>
                <w:szCs w:val="20"/>
                <w:lang w:eastAsia="en-GB"/>
              </w:rPr>
              <w:t>236</w:t>
            </w:r>
            <w:r w:rsidRPr="00066E64">
              <w:rPr>
                <w:rFonts w:cs="Arial"/>
                <w:sz w:val="20"/>
                <w:szCs w:val="20"/>
                <w:lang w:eastAsia="en-GB"/>
              </w:rPr>
              <w:t xml:space="preserve"> </w:t>
            </w:r>
          </w:p>
        </w:tc>
        <w:tc>
          <w:tcPr>
            <w:tcW w:w="1407" w:type="dxa"/>
            <w:tcBorders>
              <w:top w:val="nil"/>
              <w:left w:val="nil"/>
              <w:bottom w:val="nil"/>
              <w:right w:val="single" w:sz="4" w:space="0" w:color="auto"/>
            </w:tcBorders>
            <w:shd w:val="clear" w:color="auto" w:fill="auto"/>
            <w:noWrap/>
            <w:vAlign w:val="bottom"/>
          </w:tcPr>
          <w:p w14:paraId="53BCC5AD" w14:textId="1AB8078C" w:rsidR="00066E64" w:rsidRPr="00066E64" w:rsidRDefault="00066E64" w:rsidP="00066E64">
            <w:pPr>
              <w:jc w:val="right"/>
              <w:rPr>
                <w:rFonts w:cs="Arial"/>
                <w:sz w:val="20"/>
                <w:szCs w:val="20"/>
                <w:lang w:eastAsia="en-GB"/>
              </w:rPr>
            </w:pPr>
            <w:r>
              <w:rPr>
                <w:rFonts w:cs="Arial"/>
                <w:sz w:val="20"/>
                <w:szCs w:val="20"/>
                <w:lang w:eastAsia="en-GB"/>
              </w:rPr>
              <w:t>202</w:t>
            </w:r>
          </w:p>
        </w:tc>
      </w:tr>
      <w:tr w:rsidR="00066E64" w:rsidRPr="004D5CA8" w14:paraId="19E94B34" w14:textId="77777777" w:rsidTr="00066E64">
        <w:trPr>
          <w:trHeight w:val="290"/>
          <w:jc w:val="center"/>
        </w:trPr>
        <w:tc>
          <w:tcPr>
            <w:tcW w:w="4106" w:type="dxa"/>
            <w:tcBorders>
              <w:top w:val="nil"/>
              <w:left w:val="single" w:sz="4" w:space="0" w:color="auto"/>
              <w:bottom w:val="single" w:sz="4" w:space="0" w:color="auto"/>
              <w:right w:val="nil"/>
            </w:tcBorders>
            <w:shd w:val="clear" w:color="auto" w:fill="auto"/>
            <w:noWrap/>
            <w:vAlign w:val="bottom"/>
            <w:hideMark/>
          </w:tcPr>
          <w:p w14:paraId="4FC1DE32" w14:textId="77777777" w:rsidR="00066E64" w:rsidRPr="00066E64" w:rsidRDefault="00066E64" w:rsidP="00066E64">
            <w:pPr>
              <w:rPr>
                <w:rFonts w:ascii="Calibri" w:hAnsi="Calibri" w:cs="Calibri"/>
                <w:color w:val="000000"/>
                <w:sz w:val="22"/>
                <w:szCs w:val="22"/>
                <w:lang w:eastAsia="en-GB"/>
              </w:rPr>
            </w:pPr>
            <w:r w:rsidRPr="00066E64">
              <w:rPr>
                <w:rFonts w:ascii="Calibri" w:hAnsi="Calibri" w:cs="Calibri"/>
                <w:color w:val="000000"/>
                <w:sz w:val="22"/>
                <w:szCs w:val="22"/>
                <w:lang w:eastAsia="en-GB"/>
              </w:rPr>
              <w:t> </w:t>
            </w:r>
          </w:p>
        </w:tc>
        <w:tc>
          <w:tcPr>
            <w:tcW w:w="1401" w:type="dxa"/>
            <w:tcBorders>
              <w:top w:val="single" w:sz="4" w:space="0" w:color="auto"/>
              <w:left w:val="nil"/>
              <w:bottom w:val="single" w:sz="4" w:space="0" w:color="auto"/>
              <w:right w:val="nil"/>
            </w:tcBorders>
            <w:shd w:val="clear" w:color="auto" w:fill="auto"/>
            <w:noWrap/>
            <w:vAlign w:val="bottom"/>
            <w:hideMark/>
          </w:tcPr>
          <w:p w14:paraId="5B7614EE" w14:textId="2FCF979A" w:rsidR="00066E64" w:rsidRPr="00066E64" w:rsidRDefault="00066E64" w:rsidP="00066E64">
            <w:pPr>
              <w:rPr>
                <w:rFonts w:cs="Arial"/>
                <w:b/>
                <w:bCs/>
                <w:sz w:val="20"/>
                <w:szCs w:val="20"/>
                <w:lang w:eastAsia="en-GB"/>
              </w:rPr>
            </w:pPr>
            <w:r w:rsidRPr="00066E64">
              <w:rPr>
                <w:rFonts w:cs="Arial"/>
                <w:b/>
                <w:bCs/>
                <w:sz w:val="20"/>
                <w:szCs w:val="20"/>
                <w:lang w:eastAsia="en-GB"/>
              </w:rPr>
              <w:t xml:space="preserve">               </w:t>
            </w:r>
            <w:r w:rsidR="002329B2">
              <w:rPr>
                <w:rFonts w:cs="Arial"/>
                <w:b/>
                <w:bCs/>
                <w:sz w:val="20"/>
                <w:szCs w:val="20"/>
                <w:lang w:eastAsia="en-GB"/>
              </w:rPr>
              <w:t>738</w:t>
            </w:r>
            <w:r w:rsidRPr="00066E64">
              <w:rPr>
                <w:rFonts w:cs="Arial"/>
                <w:b/>
                <w:bCs/>
                <w:sz w:val="20"/>
                <w:szCs w:val="20"/>
                <w:lang w:eastAsia="en-GB"/>
              </w:rPr>
              <w:t xml:space="preserve"> </w:t>
            </w:r>
          </w:p>
        </w:tc>
        <w:tc>
          <w:tcPr>
            <w:tcW w:w="1407" w:type="dxa"/>
            <w:tcBorders>
              <w:top w:val="single" w:sz="4" w:space="0" w:color="auto"/>
              <w:left w:val="nil"/>
              <w:bottom w:val="single" w:sz="4" w:space="0" w:color="auto"/>
              <w:right w:val="single" w:sz="4" w:space="0" w:color="auto"/>
            </w:tcBorders>
            <w:shd w:val="clear" w:color="auto" w:fill="auto"/>
            <w:noWrap/>
            <w:vAlign w:val="bottom"/>
          </w:tcPr>
          <w:p w14:paraId="5C0DD676" w14:textId="2A8A9FD8" w:rsidR="00066E64" w:rsidRPr="00066E64" w:rsidRDefault="002329B2" w:rsidP="00066E64">
            <w:pPr>
              <w:jc w:val="right"/>
              <w:rPr>
                <w:rFonts w:cs="Arial"/>
                <w:b/>
                <w:bCs/>
                <w:sz w:val="20"/>
                <w:szCs w:val="20"/>
                <w:lang w:eastAsia="en-GB"/>
              </w:rPr>
            </w:pPr>
            <w:r>
              <w:rPr>
                <w:rFonts w:cs="Arial"/>
                <w:b/>
                <w:bCs/>
                <w:sz w:val="20"/>
                <w:szCs w:val="20"/>
                <w:lang w:eastAsia="en-GB"/>
              </w:rPr>
              <w:t>545</w:t>
            </w:r>
          </w:p>
        </w:tc>
      </w:tr>
    </w:tbl>
    <w:p w14:paraId="1581AF1D" w14:textId="261ED882" w:rsidR="00F84D5A" w:rsidRPr="004D5CA8" w:rsidRDefault="00F84D5A" w:rsidP="00644B4D">
      <w:pPr>
        <w:ind w:left="1843"/>
        <w:rPr>
          <w:i/>
          <w:highlight w:val="yellow"/>
        </w:rPr>
      </w:pPr>
    </w:p>
    <w:p w14:paraId="485A4865" w14:textId="54A79BC8" w:rsidR="00FE5E19" w:rsidRDefault="00F84D5A" w:rsidP="00C9637C">
      <w:pPr>
        <w:ind w:left="720"/>
      </w:pPr>
      <w:r w:rsidRPr="00066E64">
        <w:t>T</w:t>
      </w:r>
      <w:r w:rsidR="00E00863" w:rsidRPr="00066E64">
        <w:t>he minimum lease payments receivable do not include rents that are contingent on events taking place after the lease was entered into, such as adjustments following rent reviews. In 20</w:t>
      </w:r>
      <w:r w:rsidR="000E4FE9" w:rsidRPr="00066E64">
        <w:t>2</w:t>
      </w:r>
      <w:r w:rsidR="00066E64" w:rsidRPr="00066E64">
        <w:t>2</w:t>
      </w:r>
      <w:r w:rsidR="00320085" w:rsidRPr="00066E64">
        <w:t>/</w:t>
      </w:r>
      <w:r w:rsidR="002C6D08" w:rsidRPr="00066E64">
        <w:t>2</w:t>
      </w:r>
      <w:r w:rsidR="00066E64" w:rsidRPr="00066E64">
        <w:t>3</w:t>
      </w:r>
      <w:r w:rsidR="00E00863" w:rsidRPr="00066E64">
        <w:t xml:space="preserve"> £</w:t>
      </w:r>
      <w:r w:rsidR="002A11F4" w:rsidRPr="00066E64">
        <w:t>1</w:t>
      </w:r>
      <w:r w:rsidR="00066E64" w:rsidRPr="00066E64">
        <w:t>51k</w:t>
      </w:r>
      <w:r w:rsidR="00E00863" w:rsidRPr="00066E64">
        <w:t xml:space="preserve"> </w:t>
      </w:r>
      <w:r w:rsidR="00D54CE5" w:rsidRPr="00066E64">
        <w:t xml:space="preserve">worth of </w:t>
      </w:r>
      <w:r w:rsidR="00E00863" w:rsidRPr="00066E64">
        <w:t>contingent rents were receivable by the Authority (20</w:t>
      </w:r>
      <w:r w:rsidR="00F07203" w:rsidRPr="00066E64">
        <w:t>2</w:t>
      </w:r>
      <w:r w:rsidR="00066E64" w:rsidRPr="00066E64">
        <w:t>1</w:t>
      </w:r>
      <w:r w:rsidR="00320085" w:rsidRPr="00066E64">
        <w:t>/</w:t>
      </w:r>
      <w:r w:rsidR="000E4FE9" w:rsidRPr="00066E64">
        <w:t>2</w:t>
      </w:r>
      <w:r w:rsidR="00066E64" w:rsidRPr="00066E64">
        <w:t>2</w:t>
      </w:r>
      <w:r w:rsidR="006C2745" w:rsidRPr="00066E64">
        <w:t xml:space="preserve"> £</w:t>
      </w:r>
      <w:r w:rsidR="00F07203" w:rsidRPr="00066E64">
        <w:t>1</w:t>
      </w:r>
      <w:r w:rsidR="00066E64" w:rsidRPr="00066E64">
        <w:t>41k</w:t>
      </w:r>
      <w:r w:rsidR="00E00863" w:rsidRPr="00066E64">
        <w:t>).</w:t>
      </w:r>
    </w:p>
    <w:p w14:paraId="18174DEF" w14:textId="77777777" w:rsidR="002329B2" w:rsidRDefault="002329B2" w:rsidP="00040C1A"/>
    <w:p w14:paraId="40AB6230" w14:textId="27705B44" w:rsidR="002329B2" w:rsidRPr="00066E64" w:rsidRDefault="002329B2" w:rsidP="00C9637C">
      <w:pPr>
        <w:ind w:left="720"/>
      </w:pPr>
      <w:r>
        <w:t xml:space="preserve">The prior year comparator has been restated to include the impact of tenancies within </w:t>
      </w:r>
      <w:proofErr w:type="spellStart"/>
      <w:r>
        <w:t>Murley</w:t>
      </w:r>
      <w:proofErr w:type="spellEnd"/>
      <w:r>
        <w:t xml:space="preserve"> Moss which </w:t>
      </w:r>
      <w:r w:rsidR="00017FA1">
        <w:t>h</w:t>
      </w:r>
      <w:r>
        <w:t xml:space="preserve">ad been excluded in the prior year. On review, these are judged to require inclusion and so 2021/22 has been restate to be comparable to 2022/23. </w:t>
      </w:r>
    </w:p>
    <w:p w14:paraId="485A4866" w14:textId="77777777" w:rsidR="00420AE5" w:rsidRPr="004D5CA8" w:rsidRDefault="00420AE5" w:rsidP="00420AE5">
      <w:pPr>
        <w:pStyle w:val="BlockText"/>
        <w:tabs>
          <w:tab w:val="clear" w:pos="1843"/>
          <w:tab w:val="left" w:pos="567"/>
        </w:tabs>
        <w:ind w:left="0" w:right="0"/>
        <w:rPr>
          <w:rFonts w:cs="Arial"/>
          <w:b/>
          <w:highlight w:val="yellow"/>
        </w:rPr>
      </w:pPr>
    </w:p>
    <w:p w14:paraId="485A4867" w14:textId="2399AB2F" w:rsidR="00420AE5" w:rsidRPr="006D71D1" w:rsidRDefault="00420AE5" w:rsidP="00420AE5">
      <w:pPr>
        <w:pStyle w:val="BlockText"/>
        <w:tabs>
          <w:tab w:val="clear" w:pos="1843"/>
          <w:tab w:val="left" w:pos="567"/>
        </w:tabs>
        <w:ind w:left="0" w:right="0"/>
        <w:rPr>
          <w:rFonts w:cs="Arial"/>
          <w:b/>
        </w:rPr>
      </w:pPr>
      <w:r w:rsidRPr="006D71D1">
        <w:rPr>
          <w:rFonts w:cs="Arial"/>
          <w:b/>
        </w:rPr>
        <w:t>23.</w:t>
      </w:r>
      <w:r w:rsidRPr="006D71D1">
        <w:rPr>
          <w:rFonts w:cs="Arial"/>
          <w:b/>
        </w:rPr>
        <w:tab/>
        <w:t>Contingent Liability</w:t>
      </w:r>
      <w:r w:rsidR="007245DE" w:rsidRPr="006D71D1">
        <w:rPr>
          <w:rFonts w:cs="Arial"/>
          <w:b/>
        </w:rPr>
        <w:t xml:space="preserve"> </w:t>
      </w:r>
    </w:p>
    <w:p w14:paraId="485A4868" w14:textId="77777777" w:rsidR="00420AE5" w:rsidRPr="006D71D1" w:rsidRDefault="00420AE5" w:rsidP="00420AE5">
      <w:pPr>
        <w:pStyle w:val="BlockText"/>
        <w:tabs>
          <w:tab w:val="clear" w:pos="1843"/>
          <w:tab w:val="left" w:pos="709"/>
        </w:tabs>
        <w:ind w:left="0" w:right="0"/>
        <w:rPr>
          <w:rFonts w:cs="Arial"/>
          <w:b/>
        </w:rPr>
      </w:pPr>
    </w:p>
    <w:p w14:paraId="485A4869" w14:textId="77777777" w:rsidR="00493707" w:rsidRPr="006D71D1" w:rsidRDefault="00493707" w:rsidP="00493707">
      <w:pPr>
        <w:ind w:left="567"/>
        <w:rPr>
          <w:rFonts w:cs="Arial"/>
        </w:rPr>
      </w:pPr>
      <w:bookmarkStart w:id="173" w:name="_Hlk134534734"/>
      <w:r w:rsidRPr="006D71D1">
        <w:rPr>
          <w:rFonts w:cs="Arial"/>
        </w:rPr>
        <w:t xml:space="preserve">Under the provisions of the Conservation (Natural Habitats &amp;c) Regulations 1994 the Authority had an obligation to review any planning permissions on Special Area of Conservation sites. The majority of work was undertaken but there is one site where a review is still in progress. On this site Natural England has issued a Notice under the </w:t>
      </w:r>
      <w:r w:rsidRPr="006D71D1">
        <w:rPr>
          <w:rFonts w:cs="Arial"/>
          <w:lang w:val="en"/>
        </w:rPr>
        <w:t>Environmental Damage (Prevention and Remediation) (England) Regulations 2015 (EDR)</w:t>
      </w:r>
      <w:r w:rsidRPr="006D71D1">
        <w:rPr>
          <w:rFonts w:cs="Arial"/>
        </w:rPr>
        <w:t xml:space="preserve"> which is currently progressing through the Planning Inspectorate and the review will not be completed until the EDR process is complete. Any changes considered necessary to the current planning permissions as a result of these reviews may lead to a requirement to pay compensation. However, it is not currently possible to assess the likelihood or amount of any potential compensation payment. Furthermore, legislative changes since the permissions were granted and the fact that activity on one of the sites is not significant give rise to further options for progress and further uncertainty as to the ultimate course of action. Options for progress may or may not involve the Authority directly and significant further work will need to be undertaken before this can be decided upon.</w:t>
      </w:r>
    </w:p>
    <w:bookmarkEnd w:id="173"/>
    <w:p w14:paraId="485A486A" w14:textId="77777777" w:rsidR="00FE5E19" w:rsidRPr="004D5CA8" w:rsidRDefault="00FE5E19" w:rsidP="006D2EED">
      <w:pPr>
        <w:rPr>
          <w:rFonts w:cs="Arial"/>
          <w:highlight w:val="yellow"/>
        </w:rPr>
      </w:pPr>
    </w:p>
    <w:p w14:paraId="4C941281" w14:textId="77777777" w:rsidR="00017FA1" w:rsidRPr="004D5CA8" w:rsidRDefault="00017FA1" w:rsidP="006D2EED">
      <w:pPr>
        <w:rPr>
          <w:highlight w:val="yellow"/>
        </w:rPr>
      </w:pPr>
    </w:p>
    <w:p w14:paraId="485A486C" w14:textId="77777777" w:rsidR="00E00863" w:rsidRPr="006D71D1" w:rsidRDefault="00AA6E06" w:rsidP="00CF3182">
      <w:pPr>
        <w:ind w:left="567" w:hanging="567"/>
        <w:rPr>
          <w:b/>
          <w:lang w:eastAsia="en-GB"/>
        </w:rPr>
      </w:pPr>
      <w:r w:rsidRPr="006D71D1">
        <w:rPr>
          <w:b/>
          <w:lang w:eastAsia="en-GB"/>
        </w:rPr>
        <w:t>2</w:t>
      </w:r>
      <w:r w:rsidR="00420AE5" w:rsidRPr="006D71D1">
        <w:rPr>
          <w:b/>
          <w:lang w:eastAsia="en-GB"/>
        </w:rPr>
        <w:t>4</w:t>
      </w:r>
      <w:r w:rsidR="00BD6922" w:rsidRPr="006D71D1">
        <w:rPr>
          <w:b/>
          <w:lang w:eastAsia="en-GB"/>
        </w:rPr>
        <w:t>.</w:t>
      </w:r>
      <w:r w:rsidR="00E00863" w:rsidRPr="006D71D1">
        <w:rPr>
          <w:b/>
          <w:lang w:eastAsia="en-GB"/>
        </w:rPr>
        <w:tab/>
      </w:r>
      <w:r w:rsidR="00E00863" w:rsidRPr="006D71D1">
        <w:rPr>
          <w:b/>
        </w:rPr>
        <w:t>Financial Instruments</w:t>
      </w:r>
    </w:p>
    <w:p w14:paraId="485A486D" w14:textId="77777777" w:rsidR="00E00863" w:rsidRPr="006D71D1" w:rsidRDefault="00E00863" w:rsidP="006D2EED">
      <w:pPr>
        <w:pStyle w:val="Subtitle"/>
      </w:pPr>
    </w:p>
    <w:p w14:paraId="485A486E" w14:textId="77777777" w:rsidR="00F720C0" w:rsidRPr="006D71D1" w:rsidRDefault="00E00863" w:rsidP="00CF3182">
      <w:pPr>
        <w:ind w:left="567"/>
        <w:rPr>
          <w:bCs/>
        </w:rPr>
      </w:pPr>
      <w:r w:rsidRPr="006D71D1">
        <w:rPr>
          <w:bCs/>
        </w:rPr>
        <w:t xml:space="preserve">A financial instrument is any contract that gives rise to a financial asset of one entity and a financial liability or equity instrument of another. </w:t>
      </w:r>
      <w:r w:rsidR="00F720C0" w:rsidRPr="006D71D1">
        <w:rPr>
          <w:bCs/>
        </w:rPr>
        <w:t>All other financial assets and liabilities are classified as loans and receivables, debtors and creditors and are carried in the Balance Sheet at amortised cost. Their fair value has been assessed by calculating the present value of the cash flows that will take place over the remaining life of the instrument, using the following assumptions:</w:t>
      </w:r>
    </w:p>
    <w:p w14:paraId="485A486F" w14:textId="77777777" w:rsidR="00F720C0" w:rsidRPr="006D71D1" w:rsidRDefault="00F720C0" w:rsidP="00CF3182">
      <w:pPr>
        <w:ind w:left="567"/>
        <w:rPr>
          <w:bCs/>
        </w:rPr>
      </w:pPr>
    </w:p>
    <w:p w14:paraId="485A4870" w14:textId="2C3766F3" w:rsidR="00F720C0" w:rsidRPr="006D71D1" w:rsidRDefault="00CD7D09" w:rsidP="00317745">
      <w:pPr>
        <w:numPr>
          <w:ilvl w:val="0"/>
          <w:numId w:val="4"/>
        </w:numPr>
        <w:tabs>
          <w:tab w:val="clear" w:pos="720"/>
          <w:tab w:val="num" w:pos="1386"/>
        </w:tabs>
        <w:ind w:left="1440" w:hanging="306"/>
        <w:rPr>
          <w:color w:val="000000"/>
        </w:rPr>
      </w:pPr>
      <w:r w:rsidRPr="006D71D1">
        <w:rPr>
          <w:bCs/>
        </w:rPr>
        <w:t>T</w:t>
      </w:r>
      <w:r w:rsidR="00F720C0" w:rsidRPr="006D71D1">
        <w:rPr>
          <w:bCs/>
        </w:rPr>
        <w:t>he fair value of</w:t>
      </w:r>
      <w:r w:rsidR="00F720C0" w:rsidRPr="006D71D1">
        <w:rPr>
          <w:b/>
          <w:bCs/>
        </w:rPr>
        <w:t xml:space="preserve"> </w:t>
      </w:r>
      <w:r w:rsidR="00F720C0" w:rsidRPr="006D71D1">
        <w:rPr>
          <w:bCs/>
        </w:rPr>
        <w:t>trade and other receivables</w:t>
      </w:r>
      <w:r w:rsidR="00F720C0" w:rsidRPr="006D71D1">
        <w:rPr>
          <w:b/>
          <w:bCs/>
        </w:rPr>
        <w:t xml:space="preserve"> </w:t>
      </w:r>
      <w:r w:rsidR="00F720C0" w:rsidRPr="006D71D1">
        <w:rPr>
          <w:bCs/>
        </w:rPr>
        <w:t>and payables</w:t>
      </w:r>
      <w:r w:rsidR="00F720C0" w:rsidRPr="006D71D1">
        <w:rPr>
          <w:b/>
          <w:bCs/>
        </w:rPr>
        <w:t xml:space="preserve"> </w:t>
      </w:r>
      <w:r w:rsidR="00F720C0" w:rsidRPr="006D71D1">
        <w:rPr>
          <w:bCs/>
        </w:rPr>
        <w:t>is taken to be the</w:t>
      </w:r>
      <w:r w:rsidR="00A90E02" w:rsidRPr="006D71D1">
        <w:rPr>
          <w:bCs/>
        </w:rPr>
        <w:t xml:space="preserve"> </w:t>
      </w:r>
      <w:r w:rsidR="00F720C0" w:rsidRPr="006D71D1">
        <w:rPr>
          <w:bCs/>
        </w:rPr>
        <w:t>invoiced or billed amount.</w:t>
      </w:r>
    </w:p>
    <w:p w14:paraId="485A4871" w14:textId="5CAFED26" w:rsidR="00F720C0" w:rsidRPr="006D71D1" w:rsidRDefault="00CD7D09" w:rsidP="00317745">
      <w:pPr>
        <w:numPr>
          <w:ilvl w:val="0"/>
          <w:numId w:val="4"/>
        </w:numPr>
        <w:tabs>
          <w:tab w:val="clear" w:pos="720"/>
          <w:tab w:val="num" w:pos="1386"/>
        </w:tabs>
        <w:ind w:left="1440" w:hanging="306"/>
        <w:rPr>
          <w:bCs/>
        </w:rPr>
      </w:pPr>
      <w:r w:rsidRPr="006D71D1">
        <w:rPr>
          <w:bCs/>
        </w:rPr>
        <w:t>T</w:t>
      </w:r>
      <w:r w:rsidR="00F720C0" w:rsidRPr="006D71D1">
        <w:rPr>
          <w:bCs/>
        </w:rPr>
        <w:t>he fair value of cash deposits is taken to be the cash balance as at 31 March</w:t>
      </w:r>
      <w:r w:rsidR="00A90E02" w:rsidRPr="006D71D1">
        <w:rPr>
          <w:bCs/>
        </w:rPr>
        <w:t xml:space="preserve"> </w:t>
      </w:r>
      <w:r w:rsidR="00F720C0" w:rsidRPr="006D71D1">
        <w:rPr>
          <w:bCs/>
        </w:rPr>
        <w:t>20</w:t>
      </w:r>
      <w:r w:rsidR="002C6D08" w:rsidRPr="006D71D1">
        <w:rPr>
          <w:bCs/>
        </w:rPr>
        <w:t>2</w:t>
      </w:r>
      <w:r w:rsidR="006D71D1" w:rsidRPr="006D71D1">
        <w:rPr>
          <w:bCs/>
        </w:rPr>
        <w:t>3</w:t>
      </w:r>
    </w:p>
    <w:p w14:paraId="7A83869B" w14:textId="77777777" w:rsidR="00EF6C9E" w:rsidRDefault="00EF6C9E" w:rsidP="00CF3182">
      <w:pPr>
        <w:ind w:left="567"/>
        <w:rPr>
          <w:color w:val="FF0000"/>
        </w:rPr>
      </w:pPr>
    </w:p>
    <w:p w14:paraId="5E0CEC58" w14:textId="77777777" w:rsidR="007D3181" w:rsidRDefault="007D3181" w:rsidP="00CF3182">
      <w:pPr>
        <w:ind w:left="567"/>
        <w:rPr>
          <w:color w:val="FF0000"/>
        </w:rPr>
      </w:pPr>
    </w:p>
    <w:p w14:paraId="475B47BE" w14:textId="77777777" w:rsidR="007D3181" w:rsidRDefault="007D3181" w:rsidP="00CF3182">
      <w:pPr>
        <w:ind w:left="567"/>
        <w:rPr>
          <w:color w:val="FF0000"/>
        </w:rPr>
      </w:pPr>
    </w:p>
    <w:p w14:paraId="7DC320D8" w14:textId="77777777" w:rsidR="007D3181" w:rsidRDefault="007D3181" w:rsidP="00CF3182">
      <w:pPr>
        <w:ind w:left="567"/>
        <w:rPr>
          <w:color w:val="FF0000"/>
        </w:rPr>
      </w:pPr>
    </w:p>
    <w:p w14:paraId="60C65C8C" w14:textId="77777777" w:rsidR="007D3181" w:rsidRPr="004A25BE" w:rsidRDefault="007D3181" w:rsidP="00CF3182">
      <w:pPr>
        <w:ind w:left="567"/>
        <w:rPr>
          <w:color w:val="FF0000"/>
        </w:rPr>
      </w:pPr>
    </w:p>
    <w:p w14:paraId="485A4873" w14:textId="77777777" w:rsidR="00E00863" w:rsidRPr="004A25BE" w:rsidRDefault="00E00863" w:rsidP="00CF3182">
      <w:pPr>
        <w:ind w:left="567"/>
        <w:rPr>
          <w:bCs/>
        </w:rPr>
      </w:pPr>
      <w:r w:rsidRPr="004A25BE">
        <w:rPr>
          <w:bCs/>
        </w:rPr>
        <w:lastRenderedPageBreak/>
        <w:t>The borrowings and investments disclosed in the Balance Sheet are made up of the following categories of financial instruments:</w:t>
      </w:r>
    </w:p>
    <w:p w14:paraId="485A4874" w14:textId="77777777" w:rsidR="00E00863" w:rsidRPr="004D5CA8" w:rsidRDefault="00E00863" w:rsidP="006D2EED">
      <w:pPr>
        <w:rPr>
          <w:bCs/>
          <w:highlight w:val="yellow"/>
        </w:rPr>
      </w:pPr>
    </w:p>
    <w:tbl>
      <w:tblPr>
        <w:tblW w:w="9557" w:type="dxa"/>
        <w:tblLook w:val="04A0" w:firstRow="1" w:lastRow="0" w:firstColumn="1" w:lastColumn="0" w:noHBand="0" w:noVBand="1"/>
      </w:tblPr>
      <w:tblGrid>
        <w:gridCol w:w="4957"/>
        <w:gridCol w:w="1162"/>
        <w:gridCol w:w="1258"/>
        <w:gridCol w:w="1162"/>
        <w:gridCol w:w="1018"/>
      </w:tblGrid>
      <w:tr w:rsidR="004A25BE" w:rsidRPr="004A25BE" w14:paraId="5A3114D7" w14:textId="77777777" w:rsidTr="004A25BE">
        <w:trPr>
          <w:trHeight w:val="290"/>
        </w:trPr>
        <w:tc>
          <w:tcPr>
            <w:tcW w:w="4957" w:type="dxa"/>
            <w:tcBorders>
              <w:top w:val="single" w:sz="4" w:space="0" w:color="auto"/>
              <w:left w:val="single" w:sz="4" w:space="0" w:color="auto"/>
              <w:bottom w:val="nil"/>
              <w:right w:val="nil"/>
            </w:tcBorders>
            <w:shd w:val="clear" w:color="000000" w:fill="000000"/>
            <w:noWrap/>
            <w:vAlign w:val="bottom"/>
            <w:hideMark/>
          </w:tcPr>
          <w:p w14:paraId="04B1FD0E" w14:textId="77777777" w:rsidR="004A25BE" w:rsidRPr="004A25BE" w:rsidRDefault="004A25BE" w:rsidP="004A25BE">
            <w:pPr>
              <w:rPr>
                <w:rFonts w:ascii="Calibri" w:hAnsi="Calibri" w:cs="Calibri"/>
                <w:color w:val="000000"/>
                <w:sz w:val="22"/>
                <w:szCs w:val="22"/>
                <w:lang w:eastAsia="en-GB"/>
              </w:rPr>
            </w:pPr>
            <w:bookmarkStart w:id="174" w:name="_MON_1401537022"/>
            <w:bookmarkStart w:id="175" w:name="_MON_1401539349"/>
            <w:bookmarkStart w:id="176" w:name="_MON_1402138513"/>
            <w:bookmarkStart w:id="177" w:name="_MON_1429982596"/>
            <w:bookmarkStart w:id="178" w:name="_MON_1431796315"/>
            <w:bookmarkStart w:id="179" w:name="_MON_1362489146"/>
            <w:bookmarkStart w:id="180" w:name="_MON_1368533898"/>
            <w:bookmarkStart w:id="181" w:name="_MON_1368619211"/>
            <w:bookmarkStart w:id="182" w:name="_MON_1368814463"/>
            <w:bookmarkStart w:id="183" w:name="_MON_1369553314"/>
            <w:bookmarkStart w:id="184" w:name="_MON_1369727835"/>
            <w:bookmarkStart w:id="185" w:name="_MON_1369727862"/>
            <w:bookmarkStart w:id="186" w:name="_MON_1370193946"/>
            <w:bookmarkStart w:id="187" w:name="_MON_1395564221"/>
            <w:bookmarkStart w:id="188" w:name="_MON_1401094361"/>
            <w:bookmarkStart w:id="189" w:name="_MON_1401180517"/>
            <w:bookmarkStart w:id="190" w:name="_MON_1401180637"/>
            <w:bookmarkStart w:id="191" w:name="_MON_1401259345"/>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4A25BE">
              <w:rPr>
                <w:rFonts w:ascii="Calibri" w:hAnsi="Calibri" w:cs="Calibri"/>
                <w:color w:val="000000"/>
                <w:sz w:val="22"/>
                <w:szCs w:val="22"/>
                <w:lang w:eastAsia="en-GB"/>
              </w:rPr>
              <w:t> </w:t>
            </w:r>
          </w:p>
        </w:tc>
        <w:tc>
          <w:tcPr>
            <w:tcW w:w="2420" w:type="dxa"/>
            <w:gridSpan w:val="2"/>
            <w:tcBorders>
              <w:top w:val="single" w:sz="4" w:space="0" w:color="auto"/>
              <w:left w:val="nil"/>
              <w:bottom w:val="single" w:sz="4" w:space="0" w:color="auto"/>
              <w:right w:val="nil"/>
            </w:tcBorders>
            <w:shd w:val="clear" w:color="000000" w:fill="000000"/>
            <w:noWrap/>
            <w:vAlign w:val="bottom"/>
            <w:hideMark/>
          </w:tcPr>
          <w:p w14:paraId="3B45B184" w14:textId="77777777" w:rsidR="004A25BE" w:rsidRPr="004A25BE" w:rsidRDefault="004A25BE" w:rsidP="004A25BE">
            <w:pPr>
              <w:jc w:val="center"/>
              <w:rPr>
                <w:rFonts w:cs="Arial"/>
                <w:b/>
                <w:bCs/>
                <w:color w:val="FFFFFF"/>
                <w:sz w:val="22"/>
                <w:szCs w:val="22"/>
                <w:lang w:eastAsia="en-GB"/>
              </w:rPr>
            </w:pPr>
            <w:r w:rsidRPr="004A25BE">
              <w:rPr>
                <w:rFonts w:cs="Arial"/>
                <w:b/>
                <w:bCs/>
                <w:color w:val="FFFFFF"/>
                <w:sz w:val="22"/>
                <w:szCs w:val="22"/>
                <w:lang w:eastAsia="en-GB"/>
              </w:rPr>
              <w:t> </w:t>
            </w:r>
          </w:p>
        </w:tc>
        <w:tc>
          <w:tcPr>
            <w:tcW w:w="2180" w:type="dxa"/>
            <w:gridSpan w:val="2"/>
            <w:tcBorders>
              <w:top w:val="single" w:sz="4" w:space="0" w:color="auto"/>
              <w:left w:val="nil"/>
              <w:bottom w:val="single" w:sz="4" w:space="0" w:color="auto"/>
              <w:right w:val="single" w:sz="4" w:space="0" w:color="000000"/>
            </w:tcBorders>
            <w:shd w:val="clear" w:color="000000" w:fill="000000"/>
            <w:noWrap/>
            <w:vAlign w:val="bottom"/>
            <w:hideMark/>
          </w:tcPr>
          <w:p w14:paraId="7BB7EDF7" w14:textId="77777777" w:rsidR="004A25BE" w:rsidRPr="004A25BE" w:rsidRDefault="004A25BE" w:rsidP="004A25BE">
            <w:pPr>
              <w:jc w:val="center"/>
              <w:rPr>
                <w:rFonts w:cs="Arial"/>
                <w:b/>
                <w:bCs/>
                <w:color w:val="FFFFFF"/>
                <w:sz w:val="22"/>
                <w:szCs w:val="22"/>
                <w:lang w:eastAsia="en-GB"/>
              </w:rPr>
            </w:pPr>
            <w:r w:rsidRPr="004A25BE">
              <w:rPr>
                <w:rFonts w:cs="Arial"/>
                <w:b/>
                <w:bCs/>
                <w:color w:val="FFFFFF"/>
                <w:sz w:val="22"/>
                <w:szCs w:val="22"/>
                <w:lang w:eastAsia="en-GB"/>
              </w:rPr>
              <w:t> </w:t>
            </w:r>
          </w:p>
        </w:tc>
      </w:tr>
      <w:tr w:rsidR="004A25BE" w:rsidRPr="004A25BE" w14:paraId="39E28B2C" w14:textId="77777777" w:rsidTr="004A25BE">
        <w:trPr>
          <w:trHeight w:val="290"/>
        </w:trPr>
        <w:tc>
          <w:tcPr>
            <w:tcW w:w="4957" w:type="dxa"/>
            <w:tcBorders>
              <w:top w:val="single" w:sz="4" w:space="0" w:color="auto"/>
              <w:left w:val="single" w:sz="4" w:space="0" w:color="auto"/>
              <w:bottom w:val="nil"/>
              <w:right w:val="nil"/>
            </w:tcBorders>
            <w:shd w:val="clear" w:color="000000" w:fill="000000"/>
            <w:noWrap/>
            <w:vAlign w:val="bottom"/>
            <w:hideMark/>
          </w:tcPr>
          <w:p w14:paraId="27F95C8A" w14:textId="77777777" w:rsidR="004A25BE" w:rsidRPr="004A25BE" w:rsidRDefault="004A25BE" w:rsidP="004A25BE">
            <w:pPr>
              <w:rPr>
                <w:rFonts w:ascii="Calibri" w:hAnsi="Calibri" w:cs="Calibri"/>
                <w:color w:val="000000"/>
                <w:sz w:val="22"/>
                <w:szCs w:val="22"/>
                <w:lang w:eastAsia="en-GB"/>
              </w:rPr>
            </w:pPr>
            <w:r w:rsidRPr="004A25BE">
              <w:rPr>
                <w:rFonts w:ascii="Calibri" w:hAnsi="Calibri" w:cs="Calibri"/>
                <w:color w:val="000000"/>
                <w:sz w:val="22"/>
                <w:szCs w:val="22"/>
                <w:lang w:eastAsia="en-GB"/>
              </w:rPr>
              <w:t> </w:t>
            </w:r>
          </w:p>
        </w:tc>
        <w:tc>
          <w:tcPr>
            <w:tcW w:w="2420" w:type="dxa"/>
            <w:gridSpan w:val="2"/>
            <w:tcBorders>
              <w:top w:val="single" w:sz="4" w:space="0" w:color="auto"/>
              <w:left w:val="nil"/>
              <w:bottom w:val="single" w:sz="4" w:space="0" w:color="auto"/>
              <w:right w:val="nil"/>
            </w:tcBorders>
            <w:shd w:val="clear" w:color="000000" w:fill="000000"/>
            <w:noWrap/>
            <w:vAlign w:val="bottom"/>
            <w:hideMark/>
          </w:tcPr>
          <w:p w14:paraId="245FEB35" w14:textId="77777777" w:rsidR="004A25BE" w:rsidRPr="004A25BE" w:rsidRDefault="004A25BE" w:rsidP="004A25BE">
            <w:pPr>
              <w:jc w:val="center"/>
              <w:rPr>
                <w:rFonts w:cs="Arial"/>
                <w:b/>
                <w:bCs/>
                <w:color w:val="FFFFFF"/>
                <w:sz w:val="22"/>
                <w:szCs w:val="22"/>
                <w:lang w:eastAsia="en-GB"/>
              </w:rPr>
            </w:pPr>
            <w:r w:rsidRPr="004A25BE">
              <w:rPr>
                <w:rFonts w:cs="Arial"/>
                <w:b/>
                <w:bCs/>
                <w:color w:val="FFFFFF"/>
                <w:sz w:val="22"/>
                <w:szCs w:val="22"/>
                <w:lang w:eastAsia="en-GB"/>
              </w:rPr>
              <w:t>31-Mar-22</w:t>
            </w:r>
          </w:p>
        </w:tc>
        <w:tc>
          <w:tcPr>
            <w:tcW w:w="2180" w:type="dxa"/>
            <w:gridSpan w:val="2"/>
            <w:tcBorders>
              <w:top w:val="single" w:sz="4" w:space="0" w:color="auto"/>
              <w:left w:val="nil"/>
              <w:bottom w:val="single" w:sz="4" w:space="0" w:color="auto"/>
              <w:right w:val="single" w:sz="4" w:space="0" w:color="000000"/>
            </w:tcBorders>
            <w:shd w:val="clear" w:color="000000" w:fill="000000"/>
            <w:noWrap/>
            <w:vAlign w:val="bottom"/>
            <w:hideMark/>
          </w:tcPr>
          <w:p w14:paraId="0ECF1843" w14:textId="77777777" w:rsidR="004A25BE" w:rsidRPr="004A25BE" w:rsidRDefault="004A25BE" w:rsidP="004A25BE">
            <w:pPr>
              <w:jc w:val="center"/>
              <w:rPr>
                <w:rFonts w:cs="Arial"/>
                <w:b/>
                <w:bCs/>
                <w:color w:val="FFFFFF"/>
                <w:sz w:val="22"/>
                <w:szCs w:val="22"/>
                <w:lang w:eastAsia="en-GB"/>
              </w:rPr>
            </w:pPr>
            <w:r w:rsidRPr="004A25BE">
              <w:rPr>
                <w:rFonts w:cs="Arial"/>
                <w:b/>
                <w:bCs/>
                <w:color w:val="FFFFFF"/>
                <w:sz w:val="22"/>
                <w:szCs w:val="22"/>
                <w:lang w:eastAsia="en-GB"/>
              </w:rPr>
              <w:t>31-Mar-23</w:t>
            </w:r>
          </w:p>
        </w:tc>
      </w:tr>
      <w:tr w:rsidR="004A25BE" w:rsidRPr="004A25BE" w14:paraId="1A5945AE" w14:textId="77777777" w:rsidTr="004A25BE">
        <w:trPr>
          <w:trHeight w:val="580"/>
        </w:trPr>
        <w:tc>
          <w:tcPr>
            <w:tcW w:w="4957" w:type="dxa"/>
            <w:vMerge w:val="restart"/>
            <w:tcBorders>
              <w:top w:val="nil"/>
              <w:left w:val="single" w:sz="4" w:space="0" w:color="auto"/>
              <w:bottom w:val="nil"/>
              <w:right w:val="nil"/>
            </w:tcBorders>
            <w:shd w:val="clear" w:color="000000" w:fill="000000"/>
            <w:hideMark/>
          </w:tcPr>
          <w:p w14:paraId="4301DFBD" w14:textId="77777777" w:rsidR="004A25BE" w:rsidRPr="004A25BE" w:rsidRDefault="004A25BE" w:rsidP="004A25BE">
            <w:pPr>
              <w:jc w:val="center"/>
              <w:rPr>
                <w:rFonts w:cs="Arial"/>
                <w:color w:val="FFFFFF"/>
                <w:lang w:eastAsia="en-GB"/>
              </w:rPr>
            </w:pPr>
            <w:r w:rsidRPr="004A25BE">
              <w:rPr>
                <w:rFonts w:cs="Arial"/>
                <w:color w:val="FFFFFF"/>
                <w:lang w:eastAsia="en-GB"/>
              </w:rPr>
              <w:t> </w:t>
            </w:r>
          </w:p>
        </w:tc>
        <w:tc>
          <w:tcPr>
            <w:tcW w:w="1162" w:type="dxa"/>
            <w:tcBorders>
              <w:top w:val="nil"/>
              <w:left w:val="nil"/>
              <w:bottom w:val="nil"/>
              <w:right w:val="nil"/>
            </w:tcBorders>
            <w:shd w:val="clear" w:color="000000" w:fill="000000"/>
            <w:hideMark/>
          </w:tcPr>
          <w:p w14:paraId="39F13DD0" w14:textId="77777777" w:rsidR="004A25BE" w:rsidRPr="004A25BE" w:rsidRDefault="004A25BE" w:rsidP="004A25BE">
            <w:pPr>
              <w:jc w:val="center"/>
              <w:rPr>
                <w:rFonts w:cs="Arial"/>
                <w:b/>
                <w:bCs/>
                <w:color w:val="FFFFFF"/>
                <w:lang w:eastAsia="en-GB"/>
              </w:rPr>
            </w:pPr>
            <w:r w:rsidRPr="004A25BE">
              <w:rPr>
                <w:rFonts w:cs="Arial"/>
                <w:b/>
                <w:bCs/>
                <w:color w:val="FFFFFF"/>
                <w:lang w:eastAsia="en-GB"/>
              </w:rPr>
              <w:t>Carrying amount</w:t>
            </w:r>
          </w:p>
        </w:tc>
        <w:tc>
          <w:tcPr>
            <w:tcW w:w="1258" w:type="dxa"/>
            <w:tcBorders>
              <w:top w:val="nil"/>
              <w:left w:val="nil"/>
              <w:bottom w:val="nil"/>
              <w:right w:val="nil"/>
            </w:tcBorders>
            <w:shd w:val="clear" w:color="000000" w:fill="000000"/>
            <w:hideMark/>
          </w:tcPr>
          <w:p w14:paraId="76DD1A78" w14:textId="77777777" w:rsidR="004A25BE" w:rsidRPr="004A25BE" w:rsidRDefault="004A25BE" w:rsidP="004A25BE">
            <w:pPr>
              <w:jc w:val="center"/>
              <w:rPr>
                <w:rFonts w:cs="Arial"/>
                <w:b/>
                <w:bCs/>
                <w:color w:val="FFFFFF"/>
                <w:lang w:eastAsia="en-GB"/>
              </w:rPr>
            </w:pPr>
            <w:r w:rsidRPr="004A25BE">
              <w:rPr>
                <w:rFonts w:cs="Arial"/>
                <w:b/>
                <w:bCs/>
                <w:color w:val="FFFFFF"/>
                <w:lang w:eastAsia="en-GB"/>
              </w:rPr>
              <w:t>Fair Value</w:t>
            </w:r>
          </w:p>
        </w:tc>
        <w:tc>
          <w:tcPr>
            <w:tcW w:w="1162" w:type="dxa"/>
            <w:tcBorders>
              <w:top w:val="nil"/>
              <w:left w:val="nil"/>
              <w:bottom w:val="nil"/>
              <w:right w:val="nil"/>
            </w:tcBorders>
            <w:shd w:val="clear" w:color="000000" w:fill="000000"/>
            <w:hideMark/>
          </w:tcPr>
          <w:p w14:paraId="1B4D597E" w14:textId="77777777" w:rsidR="004A25BE" w:rsidRPr="004A25BE" w:rsidRDefault="004A25BE" w:rsidP="004A25BE">
            <w:pPr>
              <w:jc w:val="center"/>
              <w:rPr>
                <w:rFonts w:cs="Arial"/>
                <w:b/>
                <w:bCs/>
                <w:color w:val="FFFFFF"/>
                <w:lang w:eastAsia="en-GB"/>
              </w:rPr>
            </w:pPr>
            <w:r w:rsidRPr="004A25BE">
              <w:rPr>
                <w:rFonts w:cs="Arial"/>
                <w:b/>
                <w:bCs/>
                <w:color w:val="FFFFFF"/>
                <w:lang w:eastAsia="en-GB"/>
              </w:rPr>
              <w:t>Carrying amount</w:t>
            </w:r>
          </w:p>
        </w:tc>
        <w:tc>
          <w:tcPr>
            <w:tcW w:w="1018" w:type="dxa"/>
            <w:tcBorders>
              <w:top w:val="nil"/>
              <w:left w:val="nil"/>
              <w:bottom w:val="nil"/>
              <w:right w:val="single" w:sz="4" w:space="0" w:color="auto"/>
            </w:tcBorders>
            <w:shd w:val="clear" w:color="000000" w:fill="000000"/>
            <w:hideMark/>
          </w:tcPr>
          <w:p w14:paraId="016EFFD5" w14:textId="77777777" w:rsidR="004A25BE" w:rsidRPr="004A25BE" w:rsidRDefault="004A25BE" w:rsidP="004A25BE">
            <w:pPr>
              <w:jc w:val="center"/>
              <w:rPr>
                <w:rFonts w:cs="Arial"/>
                <w:b/>
                <w:bCs/>
                <w:color w:val="FFFFFF"/>
                <w:lang w:eastAsia="en-GB"/>
              </w:rPr>
            </w:pPr>
            <w:r w:rsidRPr="004A25BE">
              <w:rPr>
                <w:rFonts w:cs="Arial"/>
                <w:b/>
                <w:bCs/>
                <w:color w:val="FFFFFF"/>
                <w:lang w:eastAsia="en-GB"/>
              </w:rPr>
              <w:t>Fair Value</w:t>
            </w:r>
          </w:p>
        </w:tc>
      </w:tr>
      <w:tr w:rsidR="004A25BE" w:rsidRPr="004A25BE" w14:paraId="3F0CF9C1" w14:textId="77777777" w:rsidTr="004A25BE">
        <w:trPr>
          <w:trHeight w:val="290"/>
        </w:trPr>
        <w:tc>
          <w:tcPr>
            <w:tcW w:w="4957" w:type="dxa"/>
            <w:vMerge/>
            <w:tcBorders>
              <w:top w:val="nil"/>
              <w:left w:val="single" w:sz="4" w:space="0" w:color="auto"/>
              <w:bottom w:val="nil"/>
              <w:right w:val="nil"/>
            </w:tcBorders>
            <w:vAlign w:val="center"/>
            <w:hideMark/>
          </w:tcPr>
          <w:p w14:paraId="6DD2D9A2" w14:textId="77777777" w:rsidR="004A25BE" w:rsidRPr="004A25BE" w:rsidRDefault="004A25BE" w:rsidP="004A25BE">
            <w:pPr>
              <w:rPr>
                <w:rFonts w:cs="Arial"/>
                <w:color w:val="FFFFFF"/>
                <w:lang w:eastAsia="en-GB"/>
              </w:rPr>
            </w:pPr>
          </w:p>
        </w:tc>
        <w:tc>
          <w:tcPr>
            <w:tcW w:w="1162" w:type="dxa"/>
            <w:tcBorders>
              <w:top w:val="nil"/>
              <w:left w:val="nil"/>
              <w:bottom w:val="single" w:sz="4" w:space="0" w:color="auto"/>
              <w:right w:val="nil"/>
            </w:tcBorders>
            <w:shd w:val="clear" w:color="000000" w:fill="000000"/>
            <w:hideMark/>
          </w:tcPr>
          <w:p w14:paraId="4CF414BF" w14:textId="77777777" w:rsidR="004A25BE" w:rsidRPr="004A25BE" w:rsidRDefault="004A25BE" w:rsidP="004A25BE">
            <w:pPr>
              <w:jc w:val="center"/>
              <w:rPr>
                <w:rFonts w:cs="Arial"/>
                <w:b/>
                <w:bCs/>
                <w:color w:val="FFFFFF"/>
                <w:lang w:eastAsia="en-GB"/>
              </w:rPr>
            </w:pPr>
            <w:r w:rsidRPr="004A25BE">
              <w:rPr>
                <w:rFonts w:cs="Arial"/>
                <w:b/>
                <w:bCs/>
                <w:color w:val="FFFFFF"/>
                <w:lang w:eastAsia="en-GB"/>
              </w:rPr>
              <w:t>£0</w:t>
            </w:r>
          </w:p>
        </w:tc>
        <w:tc>
          <w:tcPr>
            <w:tcW w:w="1258" w:type="dxa"/>
            <w:tcBorders>
              <w:top w:val="nil"/>
              <w:left w:val="nil"/>
              <w:bottom w:val="single" w:sz="4" w:space="0" w:color="auto"/>
              <w:right w:val="nil"/>
            </w:tcBorders>
            <w:shd w:val="clear" w:color="000000" w:fill="000000"/>
            <w:hideMark/>
          </w:tcPr>
          <w:p w14:paraId="4ACCD367" w14:textId="77777777" w:rsidR="004A25BE" w:rsidRPr="004A25BE" w:rsidRDefault="004A25BE" w:rsidP="004A25BE">
            <w:pPr>
              <w:jc w:val="center"/>
              <w:rPr>
                <w:rFonts w:cs="Arial"/>
                <w:b/>
                <w:bCs/>
                <w:color w:val="FFFFFF"/>
                <w:lang w:eastAsia="en-GB"/>
              </w:rPr>
            </w:pPr>
            <w:r w:rsidRPr="004A25BE">
              <w:rPr>
                <w:rFonts w:cs="Arial"/>
                <w:b/>
                <w:bCs/>
                <w:color w:val="FFFFFF"/>
                <w:lang w:eastAsia="en-GB"/>
              </w:rPr>
              <w:t>£0</w:t>
            </w:r>
          </w:p>
        </w:tc>
        <w:tc>
          <w:tcPr>
            <w:tcW w:w="1162" w:type="dxa"/>
            <w:tcBorders>
              <w:top w:val="nil"/>
              <w:left w:val="nil"/>
              <w:bottom w:val="single" w:sz="4" w:space="0" w:color="auto"/>
              <w:right w:val="nil"/>
            </w:tcBorders>
            <w:shd w:val="clear" w:color="000000" w:fill="000000"/>
            <w:hideMark/>
          </w:tcPr>
          <w:p w14:paraId="2ED70577" w14:textId="77777777" w:rsidR="004A25BE" w:rsidRPr="004A25BE" w:rsidRDefault="004A25BE" w:rsidP="004A25BE">
            <w:pPr>
              <w:jc w:val="center"/>
              <w:rPr>
                <w:rFonts w:cs="Arial"/>
                <w:b/>
                <w:bCs/>
                <w:color w:val="FFFFFF"/>
                <w:lang w:eastAsia="en-GB"/>
              </w:rPr>
            </w:pPr>
            <w:r w:rsidRPr="004A25BE">
              <w:rPr>
                <w:rFonts w:cs="Arial"/>
                <w:b/>
                <w:bCs/>
                <w:color w:val="FFFFFF"/>
                <w:lang w:eastAsia="en-GB"/>
              </w:rPr>
              <w:t>£0</w:t>
            </w:r>
          </w:p>
        </w:tc>
        <w:tc>
          <w:tcPr>
            <w:tcW w:w="1018" w:type="dxa"/>
            <w:tcBorders>
              <w:top w:val="nil"/>
              <w:left w:val="nil"/>
              <w:bottom w:val="single" w:sz="4" w:space="0" w:color="auto"/>
              <w:right w:val="single" w:sz="4" w:space="0" w:color="auto"/>
            </w:tcBorders>
            <w:shd w:val="clear" w:color="000000" w:fill="000000"/>
            <w:hideMark/>
          </w:tcPr>
          <w:p w14:paraId="09F9610E" w14:textId="77777777" w:rsidR="004A25BE" w:rsidRPr="004A25BE" w:rsidRDefault="004A25BE" w:rsidP="004A25BE">
            <w:pPr>
              <w:jc w:val="center"/>
              <w:rPr>
                <w:rFonts w:cs="Arial"/>
                <w:b/>
                <w:bCs/>
                <w:color w:val="FFFFFF"/>
                <w:lang w:eastAsia="en-GB"/>
              </w:rPr>
            </w:pPr>
            <w:r w:rsidRPr="004A25BE">
              <w:rPr>
                <w:rFonts w:cs="Arial"/>
                <w:b/>
                <w:bCs/>
                <w:color w:val="FFFFFF"/>
                <w:lang w:eastAsia="en-GB"/>
              </w:rPr>
              <w:t>£0</w:t>
            </w:r>
          </w:p>
        </w:tc>
      </w:tr>
      <w:tr w:rsidR="004A25BE" w:rsidRPr="004A25BE" w14:paraId="382C3720" w14:textId="77777777" w:rsidTr="004A25BE">
        <w:trPr>
          <w:trHeight w:val="290"/>
        </w:trPr>
        <w:tc>
          <w:tcPr>
            <w:tcW w:w="4957" w:type="dxa"/>
            <w:tcBorders>
              <w:top w:val="nil"/>
              <w:left w:val="single" w:sz="4" w:space="0" w:color="auto"/>
              <w:bottom w:val="nil"/>
              <w:right w:val="nil"/>
            </w:tcBorders>
            <w:shd w:val="clear" w:color="auto" w:fill="auto"/>
            <w:hideMark/>
          </w:tcPr>
          <w:p w14:paraId="6FD62645" w14:textId="77777777" w:rsidR="004A25BE" w:rsidRPr="004A25BE" w:rsidRDefault="004A25BE" w:rsidP="004A25BE">
            <w:pPr>
              <w:jc w:val="center"/>
              <w:rPr>
                <w:rFonts w:cs="Arial"/>
                <w:color w:val="FFFFFF"/>
                <w:lang w:eastAsia="en-GB"/>
              </w:rPr>
            </w:pPr>
            <w:r w:rsidRPr="004A25BE">
              <w:rPr>
                <w:rFonts w:cs="Arial"/>
                <w:color w:val="FFFFFF"/>
                <w:lang w:eastAsia="en-GB"/>
              </w:rPr>
              <w:t> </w:t>
            </w:r>
          </w:p>
        </w:tc>
        <w:tc>
          <w:tcPr>
            <w:tcW w:w="1162" w:type="dxa"/>
            <w:tcBorders>
              <w:top w:val="nil"/>
              <w:left w:val="nil"/>
              <w:bottom w:val="nil"/>
              <w:right w:val="nil"/>
            </w:tcBorders>
            <w:shd w:val="clear" w:color="auto" w:fill="auto"/>
            <w:hideMark/>
          </w:tcPr>
          <w:p w14:paraId="05871803" w14:textId="77777777" w:rsidR="004A25BE" w:rsidRPr="004A25BE" w:rsidRDefault="004A25BE" w:rsidP="004A25BE">
            <w:pPr>
              <w:jc w:val="center"/>
              <w:rPr>
                <w:rFonts w:cs="Arial"/>
                <w:color w:val="FFFFFF"/>
                <w:lang w:eastAsia="en-GB"/>
              </w:rPr>
            </w:pPr>
          </w:p>
        </w:tc>
        <w:tc>
          <w:tcPr>
            <w:tcW w:w="1258" w:type="dxa"/>
            <w:tcBorders>
              <w:top w:val="nil"/>
              <w:left w:val="nil"/>
              <w:bottom w:val="nil"/>
              <w:right w:val="nil"/>
            </w:tcBorders>
            <w:shd w:val="clear" w:color="auto" w:fill="auto"/>
            <w:hideMark/>
          </w:tcPr>
          <w:p w14:paraId="2AB0D0C8" w14:textId="77777777" w:rsidR="004A25BE" w:rsidRPr="004A25BE" w:rsidRDefault="004A25BE" w:rsidP="004A25BE">
            <w:pPr>
              <w:jc w:val="center"/>
              <w:rPr>
                <w:rFonts w:ascii="Times New Roman" w:hAnsi="Times New Roman"/>
                <w:sz w:val="20"/>
                <w:szCs w:val="20"/>
                <w:lang w:eastAsia="en-GB"/>
              </w:rPr>
            </w:pPr>
          </w:p>
        </w:tc>
        <w:tc>
          <w:tcPr>
            <w:tcW w:w="1162" w:type="dxa"/>
            <w:tcBorders>
              <w:top w:val="nil"/>
              <w:left w:val="nil"/>
              <w:bottom w:val="nil"/>
              <w:right w:val="nil"/>
            </w:tcBorders>
            <w:shd w:val="clear" w:color="auto" w:fill="auto"/>
            <w:hideMark/>
          </w:tcPr>
          <w:p w14:paraId="5C464A24" w14:textId="77777777" w:rsidR="004A25BE" w:rsidRPr="004A25BE" w:rsidRDefault="004A25BE" w:rsidP="004A25BE">
            <w:pPr>
              <w:jc w:val="center"/>
              <w:rPr>
                <w:rFonts w:ascii="Times New Roman" w:hAnsi="Times New Roman"/>
                <w:sz w:val="20"/>
                <w:szCs w:val="20"/>
                <w:lang w:eastAsia="en-GB"/>
              </w:rPr>
            </w:pPr>
          </w:p>
        </w:tc>
        <w:tc>
          <w:tcPr>
            <w:tcW w:w="1018" w:type="dxa"/>
            <w:tcBorders>
              <w:top w:val="nil"/>
              <w:left w:val="nil"/>
              <w:bottom w:val="nil"/>
              <w:right w:val="single" w:sz="4" w:space="0" w:color="auto"/>
            </w:tcBorders>
            <w:shd w:val="clear" w:color="auto" w:fill="auto"/>
            <w:hideMark/>
          </w:tcPr>
          <w:p w14:paraId="0F973DD8" w14:textId="77777777" w:rsidR="004A25BE" w:rsidRPr="004A25BE" w:rsidRDefault="004A25BE" w:rsidP="004A25BE">
            <w:pPr>
              <w:jc w:val="center"/>
              <w:rPr>
                <w:rFonts w:cs="Arial"/>
                <w:b/>
                <w:bCs/>
                <w:color w:val="FFFFFF"/>
                <w:lang w:eastAsia="en-GB"/>
              </w:rPr>
            </w:pPr>
            <w:r w:rsidRPr="004A25BE">
              <w:rPr>
                <w:rFonts w:cs="Arial"/>
                <w:b/>
                <w:bCs/>
                <w:color w:val="FFFFFF"/>
                <w:lang w:eastAsia="en-GB"/>
              </w:rPr>
              <w:t> </w:t>
            </w:r>
          </w:p>
        </w:tc>
      </w:tr>
      <w:tr w:rsidR="004A25BE" w:rsidRPr="004A25BE" w14:paraId="0AA12214" w14:textId="77777777" w:rsidTr="004A25BE">
        <w:trPr>
          <w:trHeight w:val="290"/>
        </w:trPr>
        <w:tc>
          <w:tcPr>
            <w:tcW w:w="4957" w:type="dxa"/>
            <w:tcBorders>
              <w:top w:val="nil"/>
              <w:left w:val="single" w:sz="4" w:space="0" w:color="auto"/>
              <w:bottom w:val="nil"/>
              <w:right w:val="nil"/>
            </w:tcBorders>
            <w:shd w:val="clear" w:color="auto" w:fill="auto"/>
            <w:hideMark/>
          </w:tcPr>
          <w:p w14:paraId="134B8E2F" w14:textId="77777777" w:rsidR="004A25BE" w:rsidRPr="004A25BE" w:rsidRDefault="004A25BE" w:rsidP="004A25BE">
            <w:pPr>
              <w:rPr>
                <w:rFonts w:cs="Arial"/>
                <w:lang w:eastAsia="en-GB"/>
              </w:rPr>
            </w:pPr>
            <w:r w:rsidRPr="004A25BE">
              <w:rPr>
                <w:rFonts w:cs="Arial"/>
                <w:lang w:eastAsia="en-GB"/>
              </w:rPr>
              <w:t>Financial liabilities - short term creditors</w:t>
            </w:r>
          </w:p>
        </w:tc>
        <w:tc>
          <w:tcPr>
            <w:tcW w:w="1162" w:type="dxa"/>
            <w:tcBorders>
              <w:top w:val="nil"/>
              <w:left w:val="nil"/>
              <w:bottom w:val="nil"/>
              <w:right w:val="nil"/>
            </w:tcBorders>
            <w:shd w:val="clear" w:color="auto" w:fill="auto"/>
            <w:hideMark/>
          </w:tcPr>
          <w:p w14:paraId="549A6675" w14:textId="77777777" w:rsidR="004A25BE" w:rsidRPr="004A25BE" w:rsidRDefault="004A25BE" w:rsidP="004A25BE">
            <w:pPr>
              <w:rPr>
                <w:rFonts w:cs="Arial"/>
                <w:lang w:eastAsia="en-GB"/>
              </w:rPr>
            </w:pPr>
          </w:p>
        </w:tc>
        <w:tc>
          <w:tcPr>
            <w:tcW w:w="1258" w:type="dxa"/>
            <w:tcBorders>
              <w:top w:val="nil"/>
              <w:left w:val="nil"/>
              <w:bottom w:val="nil"/>
              <w:right w:val="nil"/>
            </w:tcBorders>
            <w:shd w:val="clear" w:color="auto" w:fill="auto"/>
            <w:hideMark/>
          </w:tcPr>
          <w:p w14:paraId="425977FC" w14:textId="77777777" w:rsidR="004A25BE" w:rsidRPr="004A25BE" w:rsidRDefault="004A25BE" w:rsidP="004A25BE">
            <w:pPr>
              <w:jc w:val="center"/>
              <w:rPr>
                <w:rFonts w:ascii="Times New Roman" w:hAnsi="Times New Roman"/>
                <w:sz w:val="20"/>
                <w:szCs w:val="20"/>
                <w:lang w:eastAsia="en-GB"/>
              </w:rPr>
            </w:pPr>
          </w:p>
        </w:tc>
        <w:tc>
          <w:tcPr>
            <w:tcW w:w="1162" w:type="dxa"/>
            <w:tcBorders>
              <w:top w:val="nil"/>
              <w:left w:val="nil"/>
              <w:bottom w:val="nil"/>
              <w:right w:val="nil"/>
            </w:tcBorders>
            <w:shd w:val="clear" w:color="auto" w:fill="auto"/>
            <w:hideMark/>
          </w:tcPr>
          <w:p w14:paraId="7D5CE472" w14:textId="77777777" w:rsidR="004A25BE" w:rsidRPr="004A25BE" w:rsidRDefault="004A25BE" w:rsidP="004A25BE">
            <w:pPr>
              <w:jc w:val="center"/>
              <w:rPr>
                <w:rFonts w:ascii="Times New Roman" w:hAnsi="Times New Roman"/>
                <w:sz w:val="20"/>
                <w:szCs w:val="20"/>
                <w:lang w:eastAsia="en-GB"/>
              </w:rPr>
            </w:pPr>
          </w:p>
        </w:tc>
        <w:tc>
          <w:tcPr>
            <w:tcW w:w="1018" w:type="dxa"/>
            <w:tcBorders>
              <w:top w:val="nil"/>
              <w:left w:val="nil"/>
              <w:bottom w:val="nil"/>
              <w:right w:val="single" w:sz="4" w:space="0" w:color="auto"/>
            </w:tcBorders>
            <w:shd w:val="clear" w:color="auto" w:fill="auto"/>
            <w:hideMark/>
          </w:tcPr>
          <w:p w14:paraId="6FB4EAD0" w14:textId="77777777" w:rsidR="004A25BE" w:rsidRPr="004A25BE" w:rsidRDefault="004A25BE" w:rsidP="004A25BE">
            <w:pPr>
              <w:jc w:val="center"/>
              <w:rPr>
                <w:rFonts w:cs="Arial"/>
                <w:b/>
                <w:bCs/>
                <w:lang w:eastAsia="en-GB"/>
              </w:rPr>
            </w:pPr>
            <w:r w:rsidRPr="004A25BE">
              <w:rPr>
                <w:rFonts w:cs="Arial"/>
                <w:b/>
                <w:bCs/>
                <w:lang w:eastAsia="en-GB"/>
              </w:rPr>
              <w:t> </w:t>
            </w:r>
          </w:p>
        </w:tc>
      </w:tr>
      <w:tr w:rsidR="004A25BE" w:rsidRPr="004A25BE" w14:paraId="579B5516" w14:textId="77777777" w:rsidTr="004A25BE">
        <w:trPr>
          <w:trHeight w:val="315"/>
        </w:trPr>
        <w:tc>
          <w:tcPr>
            <w:tcW w:w="4957" w:type="dxa"/>
            <w:tcBorders>
              <w:top w:val="nil"/>
              <w:left w:val="single" w:sz="4" w:space="0" w:color="auto"/>
              <w:bottom w:val="nil"/>
              <w:right w:val="nil"/>
            </w:tcBorders>
            <w:shd w:val="clear" w:color="auto" w:fill="auto"/>
            <w:hideMark/>
          </w:tcPr>
          <w:p w14:paraId="62A51E1F" w14:textId="77777777" w:rsidR="004A25BE" w:rsidRPr="004A25BE" w:rsidRDefault="004A25BE" w:rsidP="004A25BE">
            <w:pPr>
              <w:rPr>
                <w:rFonts w:cs="Arial"/>
                <w:lang w:eastAsia="en-GB"/>
              </w:rPr>
            </w:pPr>
            <w:r w:rsidRPr="004A25BE">
              <w:rPr>
                <w:rFonts w:cs="Arial"/>
                <w:lang w:eastAsia="en-GB"/>
              </w:rPr>
              <w:t>Financial liabilities carried at contract amount</w:t>
            </w:r>
          </w:p>
        </w:tc>
        <w:tc>
          <w:tcPr>
            <w:tcW w:w="1162" w:type="dxa"/>
            <w:tcBorders>
              <w:top w:val="nil"/>
              <w:left w:val="nil"/>
              <w:bottom w:val="nil"/>
              <w:right w:val="nil"/>
            </w:tcBorders>
            <w:shd w:val="clear" w:color="auto" w:fill="auto"/>
            <w:hideMark/>
          </w:tcPr>
          <w:p w14:paraId="738188B0" w14:textId="77777777" w:rsidR="004A25BE" w:rsidRPr="004A25BE" w:rsidRDefault="004A25BE" w:rsidP="004A25BE">
            <w:pPr>
              <w:jc w:val="right"/>
              <w:rPr>
                <w:rFonts w:cs="Arial"/>
                <w:lang w:eastAsia="en-GB"/>
              </w:rPr>
            </w:pPr>
            <w:r w:rsidRPr="004A25BE">
              <w:rPr>
                <w:rFonts w:cs="Arial"/>
                <w:lang w:eastAsia="en-GB"/>
              </w:rPr>
              <w:t>1,038</w:t>
            </w:r>
          </w:p>
        </w:tc>
        <w:tc>
          <w:tcPr>
            <w:tcW w:w="1258" w:type="dxa"/>
            <w:tcBorders>
              <w:top w:val="nil"/>
              <w:left w:val="nil"/>
              <w:bottom w:val="single" w:sz="4" w:space="0" w:color="auto"/>
              <w:right w:val="nil"/>
            </w:tcBorders>
            <w:shd w:val="clear" w:color="auto" w:fill="auto"/>
            <w:hideMark/>
          </w:tcPr>
          <w:p w14:paraId="4B65CAB0" w14:textId="77777777" w:rsidR="004A25BE" w:rsidRPr="004A25BE" w:rsidRDefault="004A25BE" w:rsidP="004A25BE">
            <w:pPr>
              <w:jc w:val="right"/>
              <w:rPr>
                <w:rFonts w:cs="Arial"/>
                <w:lang w:eastAsia="en-GB"/>
              </w:rPr>
            </w:pPr>
            <w:r w:rsidRPr="004A25BE">
              <w:rPr>
                <w:rFonts w:cs="Arial"/>
                <w:lang w:eastAsia="en-GB"/>
              </w:rPr>
              <w:t>1,038</w:t>
            </w:r>
          </w:p>
        </w:tc>
        <w:tc>
          <w:tcPr>
            <w:tcW w:w="1162" w:type="dxa"/>
            <w:tcBorders>
              <w:top w:val="nil"/>
              <w:left w:val="nil"/>
              <w:bottom w:val="nil"/>
              <w:right w:val="nil"/>
            </w:tcBorders>
            <w:shd w:val="clear" w:color="auto" w:fill="auto"/>
            <w:hideMark/>
          </w:tcPr>
          <w:p w14:paraId="1B1D9A6E" w14:textId="77777777" w:rsidR="004A25BE" w:rsidRPr="004A25BE" w:rsidRDefault="004A25BE" w:rsidP="004A25BE">
            <w:pPr>
              <w:jc w:val="right"/>
              <w:rPr>
                <w:rFonts w:cs="Arial"/>
                <w:lang w:eastAsia="en-GB"/>
              </w:rPr>
            </w:pPr>
            <w:r w:rsidRPr="004A25BE">
              <w:rPr>
                <w:rFonts w:cs="Arial"/>
                <w:lang w:eastAsia="en-GB"/>
              </w:rPr>
              <w:t>911</w:t>
            </w:r>
          </w:p>
        </w:tc>
        <w:tc>
          <w:tcPr>
            <w:tcW w:w="1018" w:type="dxa"/>
            <w:tcBorders>
              <w:top w:val="nil"/>
              <w:left w:val="nil"/>
              <w:bottom w:val="single" w:sz="4" w:space="0" w:color="auto"/>
              <w:right w:val="single" w:sz="4" w:space="0" w:color="auto"/>
            </w:tcBorders>
            <w:shd w:val="clear" w:color="auto" w:fill="auto"/>
            <w:hideMark/>
          </w:tcPr>
          <w:p w14:paraId="59BA354B" w14:textId="77777777" w:rsidR="004A25BE" w:rsidRPr="004A25BE" w:rsidRDefault="004A25BE" w:rsidP="004A25BE">
            <w:pPr>
              <w:jc w:val="right"/>
              <w:rPr>
                <w:rFonts w:cs="Arial"/>
                <w:lang w:eastAsia="en-GB"/>
              </w:rPr>
            </w:pPr>
            <w:r w:rsidRPr="004A25BE">
              <w:rPr>
                <w:rFonts w:cs="Arial"/>
                <w:lang w:eastAsia="en-GB"/>
              </w:rPr>
              <w:t>911</w:t>
            </w:r>
          </w:p>
        </w:tc>
      </w:tr>
      <w:tr w:rsidR="004A25BE" w:rsidRPr="004A25BE" w14:paraId="050CCC6C" w14:textId="77777777" w:rsidTr="004A25BE">
        <w:trPr>
          <w:trHeight w:val="300"/>
        </w:trPr>
        <w:tc>
          <w:tcPr>
            <w:tcW w:w="4957" w:type="dxa"/>
            <w:tcBorders>
              <w:top w:val="nil"/>
              <w:left w:val="single" w:sz="4" w:space="0" w:color="auto"/>
              <w:bottom w:val="nil"/>
              <w:right w:val="nil"/>
            </w:tcBorders>
            <w:shd w:val="clear" w:color="auto" w:fill="auto"/>
            <w:hideMark/>
          </w:tcPr>
          <w:p w14:paraId="7D1C1AD5" w14:textId="77777777" w:rsidR="004A25BE" w:rsidRPr="004A25BE" w:rsidRDefault="004A25BE" w:rsidP="004A25BE">
            <w:pPr>
              <w:rPr>
                <w:rFonts w:cs="Arial"/>
                <w:b/>
                <w:bCs/>
                <w:lang w:eastAsia="en-GB"/>
              </w:rPr>
            </w:pPr>
            <w:r w:rsidRPr="004A25BE">
              <w:rPr>
                <w:rFonts w:cs="Arial"/>
                <w:b/>
                <w:bCs/>
                <w:lang w:eastAsia="en-GB"/>
              </w:rPr>
              <w:t>Total included in Creditors</w:t>
            </w:r>
          </w:p>
        </w:tc>
        <w:tc>
          <w:tcPr>
            <w:tcW w:w="1162" w:type="dxa"/>
            <w:tcBorders>
              <w:top w:val="single" w:sz="4" w:space="0" w:color="auto"/>
              <w:left w:val="nil"/>
              <w:bottom w:val="double" w:sz="6" w:space="0" w:color="auto"/>
              <w:right w:val="nil"/>
            </w:tcBorders>
            <w:shd w:val="clear" w:color="auto" w:fill="auto"/>
            <w:vAlign w:val="center"/>
            <w:hideMark/>
          </w:tcPr>
          <w:p w14:paraId="3A3E6885" w14:textId="77777777" w:rsidR="004A25BE" w:rsidRPr="004A25BE" w:rsidRDefault="004A25BE" w:rsidP="004A25BE">
            <w:pPr>
              <w:jc w:val="right"/>
              <w:rPr>
                <w:rFonts w:cs="Arial"/>
                <w:b/>
                <w:bCs/>
                <w:lang w:eastAsia="en-GB"/>
              </w:rPr>
            </w:pPr>
            <w:r w:rsidRPr="004A25BE">
              <w:rPr>
                <w:rFonts w:cs="Arial"/>
                <w:b/>
                <w:bCs/>
                <w:lang w:eastAsia="en-GB"/>
              </w:rPr>
              <w:t>1,038</w:t>
            </w:r>
          </w:p>
        </w:tc>
        <w:tc>
          <w:tcPr>
            <w:tcW w:w="1258" w:type="dxa"/>
            <w:tcBorders>
              <w:top w:val="nil"/>
              <w:left w:val="nil"/>
              <w:bottom w:val="double" w:sz="6" w:space="0" w:color="auto"/>
              <w:right w:val="nil"/>
            </w:tcBorders>
            <w:shd w:val="clear" w:color="auto" w:fill="auto"/>
            <w:vAlign w:val="center"/>
            <w:hideMark/>
          </w:tcPr>
          <w:p w14:paraId="073C9BFF" w14:textId="77777777" w:rsidR="004A25BE" w:rsidRPr="004A25BE" w:rsidRDefault="004A25BE" w:rsidP="004A25BE">
            <w:pPr>
              <w:jc w:val="right"/>
              <w:rPr>
                <w:rFonts w:cs="Arial"/>
                <w:b/>
                <w:bCs/>
                <w:lang w:eastAsia="en-GB"/>
              </w:rPr>
            </w:pPr>
            <w:r w:rsidRPr="004A25BE">
              <w:rPr>
                <w:rFonts w:cs="Arial"/>
                <w:b/>
                <w:bCs/>
                <w:lang w:eastAsia="en-GB"/>
              </w:rPr>
              <w:t>1,038</w:t>
            </w:r>
          </w:p>
        </w:tc>
        <w:tc>
          <w:tcPr>
            <w:tcW w:w="1162" w:type="dxa"/>
            <w:tcBorders>
              <w:top w:val="single" w:sz="4" w:space="0" w:color="auto"/>
              <w:left w:val="nil"/>
              <w:bottom w:val="double" w:sz="6" w:space="0" w:color="auto"/>
              <w:right w:val="nil"/>
            </w:tcBorders>
            <w:shd w:val="clear" w:color="auto" w:fill="auto"/>
            <w:vAlign w:val="center"/>
            <w:hideMark/>
          </w:tcPr>
          <w:p w14:paraId="3B394BC5" w14:textId="77777777" w:rsidR="004A25BE" w:rsidRPr="004A25BE" w:rsidRDefault="004A25BE" w:rsidP="004A25BE">
            <w:pPr>
              <w:jc w:val="right"/>
              <w:rPr>
                <w:rFonts w:cs="Arial"/>
                <w:b/>
                <w:bCs/>
                <w:lang w:eastAsia="en-GB"/>
              </w:rPr>
            </w:pPr>
            <w:r w:rsidRPr="004A25BE">
              <w:rPr>
                <w:rFonts w:cs="Arial"/>
                <w:b/>
                <w:bCs/>
                <w:lang w:eastAsia="en-GB"/>
              </w:rPr>
              <w:t>911</w:t>
            </w:r>
          </w:p>
        </w:tc>
        <w:tc>
          <w:tcPr>
            <w:tcW w:w="1018" w:type="dxa"/>
            <w:tcBorders>
              <w:top w:val="nil"/>
              <w:left w:val="nil"/>
              <w:bottom w:val="double" w:sz="6" w:space="0" w:color="auto"/>
              <w:right w:val="single" w:sz="4" w:space="0" w:color="auto"/>
            </w:tcBorders>
            <w:shd w:val="clear" w:color="auto" w:fill="auto"/>
            <w:vAlign w:val="center"/>
            <w:hideMark/>
          </w:tcPr>
          <w:p w14:paraId="201C9F02" w14:textId="77777777" w:rsidR="004A25BE" w:rsidRPr="004A25BE" w:rsidRDefault="004A25BE" w:rsidP="004A25BE">
            <w:pPr>
              <w:jc w:val="right"/>
              <w:rPr>
                <w:rFonts w:cs="Arial"/>
                <w:b/>
                <w:bCs/>
                <w:lang w:eastAsia="en-GB"/>
              </w:rPr>
            </w:pPr>
            <w:r w:rsidRPr="004A25BE">
              <w:rPr>
                <w:rFonts w:cs="Arial"/>
                <w:b/>
                <w:bCs/>
                <w:lang w:eastAsia="en-GB"/>
              </w:rPr>
              <w:t>911</w:t>
            </w:r>
          </w:p>
        </w:tc>
      </w:tr>
      <w:tr w:rsidR="004A25BE" w:rsidRPr="004A25BE" w14:paraId="05A8AB67" w14:textId="77777777" w:rsidTr="004A25BE">
        <w:trPr>
          <w:trHeight w:val="300"/>
        </w:trPr>
        <w:tc>
          <w:tcPr>
            <w:tcW w:w="4957" w:type="dxa"/>
            <w:tcBorders>
              <w:top w:val="nil"/>
              <w:left w:val="single" w:sz="4" w:space="0" w:color="auto"/>
              <w:bottom w:val="nil"/>
              <w:right w:val="nil"/>
            </w:tcBorders>
            <w:shd w:val="clear" w:color="auto" w:fill="auto"/>
            <w:hideMark/>
          </w:tcPr>
          <w:p w14:paraId="570B03A8" w14:textId="77777777" w:rsidR="004A25BE" w:rsidRPr="004A25BE" w:rsidRDefault="004A25BE" w:rsidP="004A25BE">
            <w:pPr>
              <w:ind w:firstLineChars="100" w:firstLine="231"/>
              <w:rPr>
                <w:rFonts w:cs="Arial"/>
                <w:b/>
                <w:bCs/>
                <w:lang w:eastAsia="en-GB"/>
              </w:rPr>
            </w:pPr>
            <w:r w:rsidRPr="004A25BE">
              <w:rPr>
                <w:rFonts w:cs="Arial"/>
                <w:b/>
                <w:bCs/>
                <w:lang w:eastAsia="en-GB"/>
              </w:rPr>
              <w:t> </w:t>
            </w:r>
          </w:p>
        </w:tc>
        <w:tc>
          <w:tcPr>
            <w:tcW w:w="1162" w:type="dxa"/>
            <w:tcBorders>
              <w:top w:val="nil"/>
              <w:left w:val="nil"/>
              <w:bottom w:val="nil"/>
              <w:right w:val="nil"/>
            </w:tcBorders>
            <w:shd w:val="clear" w:color="auto" w:fill="auto"/>
            <w:hideMark/>
          </w:tcPr>
          <w:p w14:paraId="5C981541" w14:textId="77777777" w:rsidR="004A25BE" w:rsidRPr="004A25BE" w:rsidRDefault="004A25BE" w:rsidP="004A25BE">
            <w:pPr>
              <w:ind w:firstLineChars="100" w:firstLine="231"/>
              <w:rPr>
                <w:rFonts w:cs="Arial"/>
                <w:b/>
                <w:bCs/>
                <w:lang w:eastAsia="en-GB"/>
              </w:rPr>
            </w:pPr>
          </w:p>
        </w:tc>
        <w:tc>
          <w:tcPr>
            <w:tcW w:w="1258" w:type="dxa"/>
            <w:tcBorders>
              <w:top w:val="nil"/>
              <w:left w:val="nil"/>
              <w:bottom w:val="nil"/>
              <w:right w:val="nil"/>
            </w:tcBorders>
            <w:shd w:val="clear" w:color="auto" w:fill="auto"/>
            <w:hideMark/>
          </w:tcPr>
          <w:p w14:paraId="5174348E" w14:textId="77777777" w:rsidR="004A25BE" w:rsidRPr="004A25BE" w:rsidRDefault="004A25BE" w:rsidP="004A25BE">
            <w:pPr>
              <w:jc w:val="right"/>
              <w:rPr>
                <w:rFonts w:ascii="Times New Roman" w:hAnsi="Times New Roman"/>
                <w:sz w:val="20"/>
                <w:szCs w:val="20"/>
                <w:lang w:eastAsia="en-GB"/>
              </w:rPr>
            </w:pPr>
          </w:p>
        </w:tc>
        <w:tc>
          <w:tcPr>
            <w:tcW w:w="1162" w:type="dxa"/>
            <w:tcBorders>
              <w:top w:val="nil"/>
              <w:left w:val="nil"/>
              <w:bottom w:val="nil"/>
              <w:right w:val="nil"/>
            </w:tcBorders>
            <w:shd w:val="clear" w:color="auto" w:fill="auto"/>
            <w:hideMark/>
          </w:tcPr>
          <w:p w14:paraId="72111289" w14:textId="77777777" w:rsidR="004A25BE" w:rsidRPr="004A25BE" w:rsidRDefault="004A25BE" w:rsidP="004A25BE">
            <w:pPr>
              <w:jc w:val="right"/>
              <w:rPr>
                <w:rFonts w:ascii="Times New Roman" w:hAnsi="Times New Roman"/>
                <w:sz w:val="20"/>
                <w:szCs w:val="20"/>
                <w:lang w:eastAsia="en-GB"/>
              </w:rPr>
            </w:pPr>
          </w:p>
        </w:tc>
        <w:tc>
          <w:tcPr>
            <w:tcW w:w="1018" w:type="dxa"/>
            <w:tcBorders>
              <w:top w:val="nil"/>
              <w:left w:val="nil"/>
              <w:bottom w:val="nil"/>
              <w:right w:val="single" w:sz="4" w:space="0" w:color="auto"/>
            </w:tcBorders>
            <w:shd w:val="clear" w:color="auto" w:fill="auto"/>
            <w:hideMark/>
          </w:tcPr>
          <w:p w14:paraId="140101A4" w14:textId="77777777" w:rsidR="004A25BE" w:rsidRPr="004A25BE" w:rsidRDefault="004A25BE" w:rsidP="004A25BE">
            <w:pPr>
              <w:jc w:val="right"/>
              <w:rPr>
                <w:rFonts w:cs="Arial"/>
                <w:b/>
                <w:bCs/>
                <w:lang w:eastAsia="en-GB"/>
              </w:rPr>
            </w:pPr>
            <w:r w:rsidRPr="004A25BE">
              <w:rPr>
                <w:rFonts w:cs="Arial"/>
                <w:b/>
                <w:bCs/>
                <w:lang w:eastAsia="en-GB"/>
              </w:rPr>
              <w:t> </w:t>
            </w:r>
          </w:p>
        </w:tc>
      </w:tr>
      <w:tr w:rsidR="004A25BE" w:rsidRPr="004A25BE" w14:paraId="3FCDFCC0" w14:textId="77777777" w:rsidTr="004A25BE">
        <w:trPr>
          <w:trHeight w:val="290"/>
        </w:trPr>
        <w:tc>
          <w:tcPr>
            <w:tcW w:w="4957" w:type="dxa"/>
            <w:tcBorders>
              <w:top w:val="nil"/>
              <w:left w:val="single" w:sz="4" w:space="0" w:color="auto"/>
              <w:bottom w:val="nil"/>
              <w:right w:val="nil"/>
            </w:tcBorders>
            <w:shd w:val="clear" w:color="auto" w:fill="auto"/>
            <w:hideMark/>
          </w:tcPr>
          <w:p w14:paraId="32C43216" w14:textId="77777777" w:rsidR="004A25BE" w:rsidRPr="004A25BE" w:rsidRDefault="004A25BE" w:rsidP="004A25BE">
            <w:pPr>
              <w:rPr>
                <w:rFonts w:cs="Arial"/>
                <w:lang w:eastAsia="en-GB"/>
              </w:rPr>
            </w:pPr>
            <w:r w:rsidRPr="004A25BE">
              <w:rPr>
                <w:rFonts w:cs="Arial"/>
                <w:lang w:eastAsia="en-GB"/>
              </w:rPr>
              <w:t>Financial assets - long term liabilities</w:t>
            </w:r>
          </w:p>
        </w:tc>
        <w:tc>
          <w:tcPr>
            <w:tcW w:w="1162" w:type="dxa"/>
            <w:tcBorders>
              <w:top w:val="nil"/>
              <w:left w:val="nil"/>
              <w:bottom w:val="nil"/>
              <w:right w:val="nil"/>
            </w:tcBorders>
            <w:shd w:val="clear" w:color="auto" w:fill="auto"/>
            <w:hideMark/>
          </w:tcPr>
          <w:p w14:paraId="2BC23B27" w14:textId="77777777" w:rsidR="004A25BE" w:rsidRPr="004A25BE" w:rsidRDefault="004A25BE" w:rsidP="004A25BE">
            <w:pPr>
              <w:rPr>
                <w:rFonts w:cs="Arial"/>
                <w:lang w:eastAsia="en-GB"/>
              </w:rPr>
            </w:pPr>
          </w:p>
        </w:tc>
        <w:tc>
          <w:tcPr>
            <w:tcW w:w="1258" w:type="dxa"/>
            <w:tcBorders>
              <w:top w:val="nil"/>
              <w:left w:val="nil"/>
              <w:bottom w:val="nil"/>
              <w:right w:val="nil"/>
            </w:tcBorders>
            <w:shd w:val="clear" w:color="auto" w:fill="auto"/>
            <w:hideMark/>
          </w:tcPr>
          <w:p w14:paraId="556413BE" w14:textId="77777777" w:rsidR="004A25BE" w:rsidRPr="004A25BE" w:rsidRDefault="004A25BE" w:rsidP="004A25BE">
            <w:pPr>
              <w:jc w:val="right"/>
              <w:rPr>
                <w:rFonts w:ascii="Times New Roman" w:hAnsi="Times New Roman"/>
                <w:sz w:val="20"/>
                <w:szCs w:val="20"/>
                <w:lang w:eastAsia="en-GB"/>
              </w:rPr>
            </w:pPr>
          </w:p>
        </w:tc>
        <w:tc>
          <w:tcPr>
            <w:tcW w:w="1162" w:type="dxa"/>
            <w:tcBorders>
              <w:top w:val="nil"/>
              <w:left w:val="nil"/>
              <w:bottom w:val="nil"/>
              <w:right w:val="nil"/>
            </w:tcBorders>
            <w:shd w:val="clear" w:color="auto" w:fill="auto"/>
            <w:hideMark/>
          </w:tcPr>
          <w:p w14:paraId="7B565249" w14:textId="77777777" w:rsidR="004A25BE" w:rsidRPr="004A25BE" w:rsidRDefault="004A25BE" w:rsidP="004A25BE">
            <w:pPr>
              <w:jc w:val="right"/>
              <w:rPr>
                <w:rFonts w:ascii="Times New Roman" w:hAnsi="Times New Roman"/>
                <w:sz w:val="20"/>
                <w:szCs w:val="20"/>
                <w:lang w:eastAsia="en-GB"/>
              </w:rPr>
            </w:pPr>
          </w:p>
        </w:tc>
        <w:tc>
          <w:tcPr>
            <w:tcW w:w="1018" w:type="dxa"/>
            <w:tcBorders>
              <w:top w:val="nil"/>
              <w:left w:val="nil"/>
              <w:bottom w:val="nil"/>
              <w:right w:val="single" w:sz="4" w:space="0" w:color="auto"/>
            </w:tcBorders>
            <w:shd w:val="clear" w:color="auto" w:fill="auto"/>
            <w:hideMark/>
          </w:tcPr>
          <w:p w14:paraId="399FBACC" w14:textId="77777777" w:rsidR="004A25BE" w:rsidRPr="004A25BE" w:rsidRDefault="004A25BE" w:rsidP="004A25BE">
            <w:pPr>
              <w:jc w:val="right"/>
              <w:rPr>
                <w:rFonts w:cs="Arial"/>
                <w:b/>
                <w:bCs/>
                <w:lang w:eastAsia="en-GB"/>
              </w:rPr>
            </w:pPr>
            <w:r w:rsidRPr="004A25BE">
              <w:rPr>
                <w:rFonts w:cs="Arial"/>
                <w:b/>
                <w:bCs/>
                <w:lang w:eastAsia="en-GB"/>
              </w:rPr>
              <w:t> </w:t>
            </w:r>
          </w:p>
        </w:tc>
      </w:tr>
      <w:tr w:rsidR="004A25BE" w:rsidRPr="004A25BE" w14:paraId="27395982" w14:textId="77777777" w:rsidTr="004A25BE">
        <w:trPr>
          <w:trHeight w:val="290"/>
        </w:trPr>
        <w:tc>
          <w:tcPr>
            <w:tcW w:w="4957" w:type="dxa"/>
            <w:tcBorders>
              <w:top w:val="nil"/>
              <w:left w:val="single" w:sz="4" w:space="0" w:color="auto"/>
              <w:bottom w:val="nil"/>
              <w:right w:val="nil"/>
            </w:tcBorders>
            <w:shd w:val="clear" w:color="auto" w:fill="auto"/>
            <w:hideMark/>
          </w:tcPr>
          <w:p w14:paraId="5C662704" w14:textId="77777777" w:rsidR="004A25BE" w:rsidRPr="004A25BE" w:rsidRDefault="004A25BE" w:rsidP="004A25BE">
            <w:pPr>
              <w:rPr>
                <w:rFonts w:cs="Arial"/>
                <w:lang w:eastAsia="en-GB"/>
              </w:rPr>
            </w:pPr>
            <w:r w:rsidRPr="004A25BE">
              <w:rPr>
                <w:rFonts w:cs="Arial"/>
                <w:lang w:eastAsia="en-GB"/>
              </w:rPr>
              <w:t>Available for sale financial assets</w:t>
            </w:r>
          </w:p>
        </w:tc>
        <w:tc>
          <w:tcPr>
            <w:tcW w:w="1162" w:type="dxa"/>
            <w:tcBorders>
              <w:top w:val="nil"/>
              <w:left w:val="nil"/>
              <w:bottom w:val="nil"/>
              <w:right w:val="nil"/>
            </w:tcBorders>
            <w:shd w:val="clear" w:color="auto" w:fill="auto"/>
            <w:hideMark/>
          </w:tcPr>
          <w:p w14:paraId="55F3B96A" w14:textId="77777777" w:rsidR="004A25BE" w:rsidRPr="004A25BE" w:rsidRDefault="004A25BE" w:rsidP="004A25BE">
            <w:pPr>
              <w:jc w:val="right"/>
              <w:rPr>
                <w:rFonts w:cs="Arial"/>
                <w:lang w:eastAsia="en-GB"/>
              </w:rPr>
            </w:pPr>
            <w:r w:rsidRPr="004A25BE">
              <w:rPr>
                <w:rFonts w:cs="Arial"/>
                <w:lang w:eastAsia="en-GB"/>
              </w:rPr>
              <w:t>0</w:t>
            </w:r>
          </w:p>
        </w:tc>
        <w:tc>
          <w:tcPr>
            <w:tcW w:w="1258" w:type="dxa"/>
            <w:tcBorders>
              <w:top w:val="nil"/>
              <w:left w:val="nil"/>
              <w:bottom w:val="nil"/>
              <w:right w:val="nil"/>
            </w:tcBorders>
            <w:shd w:val="clear" w:color="auto" w:fill="auto"/>
            <w:hideMark/>
          </w:tcPr>
          <w:p w14:paraId="021D061B" w14:textId="77777777" w:rsidR="004A25BE" w:rsidRPr="004A25BE" w:rsidRDefault="004A25BE" w:rsidP="004A25BE">
            <w:pPr>
              <w:jc w:val="right"/>
              <w:rPr>
                <w:rFonts w:cs="Arial"/>
                <w:lang w:eastAsia="en-GB"/>
              </w:rPr>
            </w:pPr>
            <w:r w:rsidRPr="004A25BE">
              <w:rPr>
                <w:rFonts w:cs="Arial"/>
                <w:lang w:eastAsia="en-GB"/>
              </w:rPr>
              <w:t>0</w:t>
            </w:r>
          </w:p>
        </w:tc>
        <w:tc>
          <w:tcPr>
            <w:tcW w:w="1162" w:type="dxa"/>
            <w:tcBorders>
              <w:top w:val="nil"/>
              <w:left w:val="nil"/>
              <w:bottom w:val="nil"/>
              <w:right w:val="nil"/>
            </w:tcBorders>
            <w:shd w:val="clear" w:color="auto" w:fill="auto"/>
            <w:hideMark/>
          </w:tcPr>
          <w:p w14:paraId="2E7FF12F" w14:textId="77777777" w:rsidR="004A25BE" w:rsidRPr="004A25BE" w:rsidRDefault="004A25BE" w:rsidP="004A25BE">
            <w:pPr>
              <w:jc w:val="right"/>
              <w:rPr>
                <w:rFonts w:cs="Arial"/>
                <w:lang w:eastAsia="en-GB"/>
              </w:rPr>
            </w:pPr>
            <w:r w:rsidRPr="004A25BE">
              <w:rPr>
                <w:rFonts w:cs="Arial"/>
                <w:lang w:eastAsia="en-GB"/>
              </w:rPr>
              <w:t>0</w:t>
            </w:r>
          </w:p>
        </w:tc>
        <w:tc>
          <w:tcPr>
            <w:tcW w:w="1018" w:type="dxa"/>
            <w:tcBorders>
              <w:top w:val="nil"/>
              <w:left w:val="nil"/>
              <w:bottom w:val="nil"/>
              <w:right w:val="single" w:sz="4" w:space="0" w:color="auto"/>
            </w:tcBorders>
            <w:shd w:val="clear" w:color="auto" w:fill="auto"/>
            <w:hideMark/>
          </w:tcPr>
          <w:p w14:paraId="7D545477" w14:textId="77777777" w:rsidR="004A25BE" w:rsidRPr="004A25BE" w:rsidRDefault="004A25BE" w:rsidP="004A25BE">
            <w:pPr>
              <w:jc w:val="right"/>
              <w:rPr>
                <w:rFonts w:cs="Arial"/>
                <w:lang w:eastAsia="en-GB"/>
              </w:rPr>
            </w:pPr>
            <w:r w:rsidRPr="004A25BE">
              <w:rPr>
                <w:rFonts w:cs="Arial"/>
                <w:lang w:eastAsia="en-GB"/>
              </w:rPr>
              <w:t>0</w:t>
            </w:r>
          </w:p>
        </w:tc>
      </w:tr>
      <w:tr w:rsidR="004A25BE" w:rsidRPr="004A25BE" w14:paraId="7ED6B43D" w14:textId="77777777" w:rsidTr="004A25BE">
        <w:trPr>
          <w:trHeight w:val="300"/>
        </w:trPr>
        <w:tc>
          <w:tcPr>
            <w:tcW w:w="4957" w:type="dxa"/>
            <w:tcBorders>
              <w:top w:val="nil"/>
              <w:left w:val="single" w:sz="4" w:space="0" w:color="auto"/>
              <w:bottom w:val="nil"/>
              <w:right w:val="nil"/>
            </w:tcBorders>
            <w:shd w:val="clear" w:color="auto" w:fill="auto"/>
            <w:hideMark/>
          </w:tcPr>
          <w:p w14:paraId="5E2BA8DD" w14:textId="77777777" w:rsidR="004A25BE" w:rsidRPr="004A25BE" w:rsidRDefault="004A25BE" w:rsidP="004A25BE">
            <w:pPr>
              <w:rPr>
                <w:rFonts w:cs="Arial"/>
                <w:b/>
                <w:bCs/>
                <w:lang w:eastAsia="en-GB"/>
              </w:rPr>
            </w:pPr>
            <w:r w:rsidRPr="004A25BE">
              <w:rPr>
                <w:rFonts w:cs="Arial"/>
                <w:b/>
                <w:bCs/>
                <w:lang w:eastAsia="en-GB"/>
              </w:rPr>
              <w:t>Total included in Long Term Assets</w:t>
            </w:r>
          </w:p>
        </w:tc>
        <w:tc>
          <w:tcPr>
            <w:tcW w:w="1162" w:type="dxa"/>
            <w:tcBorders>
              <w:top w:val="single" w:sz="4" w:space="0" w:color="auto"/>
              <w:left w:val="nil"/>
              <w:bottom w:val="double" w:sz="6" w:space="0" w:color="auto"/>
              <w:right w:val="nil"/>
            </w:tcBorders>
            <w:shd w:val="clear" w:color="auto" w:fill="auto"/>
            <w:hideMark/>
          </w:tcPr>
          <w:p w14:paraId="4BFA21EB" w14:textId="77777777" w:rsidR="004A25BE" w:rsidRPr="004A25BE" w:rsidRDefault="004A25BE" w:rsidP="004A25BE">
            <w:pPr>
              <w:jc w:val="right"/>
              <w:rPr>
                <w:rFonts w:cs="Arial"/>
                <w:b/>
                <w:bCs/>
                <w:lang w:eastAsia="en-GB"/>
              </w:rPr>
            </w:pPr>
            <w:r w:rsidRPr="004A25BE">
              <w:rPr>
                <w:rFonts w:cs="Arial"/>
                <w:b/>
                <w:bCs/>
                <w:lang w:eastAsia="en-GB"/>
              </w:rPr>
              <w:t>0</w:t>
            </w:r>
          </w:p>
        </w:tc>
        <w:tc>
          <w:tcPr>
            <w:tcW w:w="1258" w:type="dxa"/>
            <w:tcBorders>
              <w:top w:val="single" w:sz="4" w:space="0" w:color="auto"/>
              <w:left w:val="nil"/>
              <w:bottom w:val="double" w:sz="6" w:space="0" w:color="auto"/>
              <w:right w:val="nil"/>
            </w:tcBorders>
            <w:shd w:val="clear" w:color="auto" w:fill="auto"/>
            <w:hideMark/>
          </w:tcPr>
          <w:p w14:paraId="55F402F8" w14:textId="77777777" w:rsidR="004A25BE" w:rsidRPr="004A25BE" w:rsidRDefault="004A25BE" w:rsidP="004A25BE">
            <w:pPr>
              <w:jc w:val="right"/>
              <w:rPr>
                <w:rFonts w:cs="Arial"/>
                <w:b/>
                <w:bCs/>
                <w:lang w:eastAsia="en-GB"/>
              </w:rPr>
            </w:pPr>
            <w:r w:rsidRPr="004A25BE">
              <w:rPr>
                <w:rFonts w:cs="Arial"/>
                <w:b/>
                <w:bCs/>
                <w:lang w:eastAsia="en-GB"/>
              </w:rPr>
              <w:t>0</w:t>
            </w:r>
          </w:p>
        </w:tc>
        <w:tc>
          <w:tcPr>
            <w:tcW w:w="1162" w:type="dxa"/>
            <w:tcBorders>
              <w:top w:val="single" w:sz="4" w:space="0" w:color="auto"/>
              <w:left w:val="nil"/>
              <w:bottom w:val="double" w:sz="6" w:space="0" w:color="auto"/>
              <w:right w:val="nil"/>
            </w:tcBorders>
            <w:shd w:val="clear" w:color="auto" w:fill="auto"/>
            <w:hideMark/>
          </w:tcPr>
          <w:p w14:paraId="0D22D2B1" w14:textId="77777777" w:rsidR="004A25BE" w:rsidRPr="004A25BE" w:rsidRDefault="004A25BE" w:rsidP="004A25BE">
            <w:pPr>
              <w:jc w:val="right"/>
              <w:rPr>
                <w:rFonts w:cs="Arial"/>
                <w:b/>
                <w:bCs/>
                <w:lang w:eastAsia="en-GB"/>
              </w:rPr>
            </w:pPr>
            <w:r w:rsidRPr="004A25BE">
              <w:rPr>
                <w:rFonts w:cs="Arial"/>
                <w:b/>
                <w:bCs/>
                <w:lang w:eastAsia="en-GB"/>
              </w:rPr>
              <w:t>0</w:t>
            </w:r>
          </w:p>
        </w:tc>
        <w:tc>
          <w:tcPr>
            <w:tcW w:w="1018" w:type="dxa"/>
            <w:tcBorders>
              <w:top w:val="single" w:sz="4" w:space="0" w:color="auto"/>
              <w:left w:val="nil"/>
              <w:bottom w:val="double" w:sz="6" w:space="0" w:color="auto"/>
              <w:right w:val="single" w:sz="4" w:space="0" w:color="auto"/>
            </w:tcBorders>
            <w:shd w:val="clear" w:color="auto" w:fill="auto"/>
            <w:hideMark/>
          </w:tcPr>
          <w:p w14:paraId="0BF987AD" w14:textId="77777777" w:rsidR="004A25BE" w:rsidRPr="004A25BE" w:rsidRDefault="004A25BE" w:rsidP="004A25BE">
            <w:pPr>
              <w:jc w:val="right"/>
              <w:rPr>
                <w:rFonts w:cs="Arial"/>
                <w:b/>
                <w:bCs/>
                <w:lang w:eastAsia="en-GB"/>
              </w:rPr>
            </w:pPr>
            <w:r w:rsidRPr="004A25BE">
              <w:rPr>
                <w:rFonts w:cs="Arial"/>
                <w:b/>
                <w:bCs/>
                <w:lang w:eastAsia="en-GB"/>
              </w:rPr>
              <w:t>0</w:t>
            </w:r>
          </w:p>
        </w:tc>
      </w:tr>
      <w:tr w:rsidR="004A25BE" w:rsidRPr="004A25BE" w14:paraId="5D625D40" w14:textId="77777777" w:rsidTr="004A25BE">
        <w:trPr>
          <w:trHeight w:val="414"/>
        </w:trPr>
        <w:tc>
          <w:tcPr>
            <w:tcW w:w="4957" w:type="dxa"/>
            <w:tcBorders>
              <w:top w:val="nil"/>
              <w:left w:val="single" w:sz="4" w:space="0" w:color="auto"/>
              <w:bottom w:val="nil"/>
              <w:right w:val="nil"/>
            </w:tcBorders>
            <w:shd w:val="clear" w:color="auto" w:fill="auto"/>
            <w:hideMark/>
          </w:tcPr>
          <w:p w14:paraId="575B484C" w14:textId="77777777" w:rsidR="004A25BE" w:rsidRDefault="004A25BE" w:rsidP="004A25BE">
            <w:pPr>
              <w:rPr>
                <w:rFonts w:cs="Arial"/>
                <w:lang w:eastAsia="en-GB"/>
              </w:rPr>
            </w:pPr>
          </w:p>
          <w:p w14:paraId="0DCD7170" w14:textId="29EBD51B" w:rsidR="004A25BE" w:rsidRPr="004A25BE" w:rsidRDefault="004A25BE" w:rsidP="004A25BE">
            <w:pPr>
              <w:rPr>
                <w:rFonts w:cs="Arial"/>
                <w:lang w:eastAsia="en-GB"/>
              </w:rPr>
            </w:pPr>
            <w:r w:rsidRPr="004A25BE">
              <w:rPr>
                <w:rFonts w:cs="Arial"/>
                <w:lang w:eastAsia="en-GB"/>
              </w:rPr>
              <w:t>Financial assets - short term debtors and cash</w:t>
            </w:r>
          </w:p>
        </w:tc>
        <w:tc>
          <w:tcPr>
            <w:tcW w:w="1162" w:type="dxa"/>
            <w:tcBorders>
              <w:top w:val="nil"/>
              <w:left w:val="nil"/>
              <w:bottom w:val="nil"/>
              <w:right w:val="nil"/>
            </w:tcBorders>
            <w:shd w:val="clear" w:color="auto" w:fill="auto"/>
            <w:hideMark/>
          </w:tcPr>
          <w:p w14:paraId="1D85911C" w14:textId="77777777" w:rsidR="004A25BE" w:rsidRPr="004A25BE" w:rsidRDefault="004A25BE" w:rsidP="004A25BE">
            <w:pPr>
              <w:rPr>
                <w:rFonts w:cs="Arial"/>
                <w:lang w:eastAsia="en-GB"/>
              </w:rPr>
            </w:pPr>
          </w:p>
        </w:tc>
        <w:tc>
          <w:tcPr>
            <w:tcW w:w="1258" w:type="dxa"/>
            <w:tcBorders>
              <w:top w:val="nil"/>
              <w:left w:val="nil"/>
              <w:bottom w:val="nil"/>
              <w:right w:val="nil"/>
            </w:tcBorders>
            <w:shd w:val="clear" w:color="auto" w:fill="auto"/>
            <w:hideMark/>
          </w:tcPr>
          <w:p w14:paraId="281C9439" w14:textId="77777777" w:rsidR="004A25BE" w:rsidRPr="004A25BE" w:rsidRDefault="004A25BE" w:rsidP="004A25BE">
            <w:pPr>
              <w:ind w:firstLineChars="100" w:firstLine="200"/>
              <w:rPr>
                <w:rFonts w:ascii="Times New Roman" w:hAnsi="Times New Roman"/>
                <w:sz w:val="20"/>
                <w:szCs w:val="20"/>
                <w:lang w:eastAsia="en-GB"/>
              </w:rPr>
            </w:pPr>
          </w:p>
        </w:tc>
        <w:tc>
          <w:tcPr>
            <w:tcW w:w="1162" w:type="dxa"/>
            <w:tcBorders>
              <w:top w:val="nil"/>
              <w:left w:val="nil"/>
              <w:bottom w:val="nil"/>
              <w:right w:val="nil"/>
            </w:tcBorders>
            <w:shd w:val="clear" w:color="auto" w:fill="auto"/>
            <w:hideMark/>
          </w:tcPr>
          <w:p w14:paraId="6B6F1942" w14:textId="77777777" w:rsidR="004A25BE" w:rsidRPr="004A25BE" w:rsidRDefault="004A25BE" w:rsidP="004A25BE">
            <w:pPr>
              <w:jc w:val="right"/>
              <w:rPr>
                <w:rFonts w:ascii="Times New Roman" w:hAnsi="Times New Roman"/>
                <w:sz w:val="20"/>
                <w:szCs w:val="20"/>
                <w:lang w:eastAsia="en-GB"/>
              </w:rPr>
            </w:pPr>
          </w:p>
        </w:tc>
        <w:tc>
          <w:tcPr>
            <w:tcW w:w="1018" w:type="dxa"/>
            <w:tcBorders>
              <w:top w:val="nil"/>
              <w:left w:val="nil"/>
              <w:bottom w:val="nil"/>
              <w:right w:val="single" w:sz="4" w:space="0" w:color="auto"/>
            </w:tcBorders>
            <w:shd w:val="clear" w:color="auto" w:fill="auto"/>
            <w:hideMark/>
          </w:tcPr>
          <w:p w14:paraId="2028EEEA" w14:textId="77777777" w:rsidR="004A25BE" w:rsidRPr="004A25BE" w:rsidRDefault="004A25BE" w:rsidP="004A25BE">
            <w:pPr>
              <w:jc w:val="right"/>
              <w:rPr>
                <w:rFonts w:cs="Arial"/>
                <w:lang w:eastAsia="en-GB"/>
              </w:rPr>
            </w:pPr>
            <w:r w:rsidRPr="004A25BE">
              <w:rPr>
                <w:rFonts w:cs="Arial"/>
                <w:lang w:eastAsia="en-GB"/>
              </w:rPr>
              <w:t> </w:t>
            </w:r>
          </w:p>
        </w:tc>
      </w:tr>
      <w:tr w:rsidR="004A25BE" w:rsidRPr="004A25BE" w14:paraId="61F7C605" w14:textId="77777777" w:rsidTr="004A25BE">
        <w:trPr>
          <w:trHeight w:val="80"/>
        </w:trPr>
        <w:tc>
          <w:tcPr>
            <w:tcW w:w="4957" w:type="dxa"/>
            <w:tcBorders>
              <w:top w:val="nil"/>
              <w:left w:val="single" w:sz="4" w:space="0" w:color="auto"/>
              <w:bottom w:val="nil"/>
              <w:right w:val="nil"/>
            </w:tcBorders>
            <w:shd w:val="clear" w:color="auto" w:fill="auto"/>
            <w:hideMark/>
          </w:tcPr>
          <w:p w14:paraId="21A03CB7" w14:textId="77777777" w:rsidR="004A25BE" w:rsidRPr="004A25BE" w:rsidRDefault="004A25BE" w:rsidP="004A25BE">
            <w:pPr>
              <w:rPr>
                <w:rFonts w:cs="Arial"/>
                <w:lang w:eastAsia="en-GB"/>
              </w:rPr>
            </w:pPr>
            <w:r w:rsidRPr="004A25BE">
              <w:rPr>
                <w:rFonts w:cs="Arial"/>
                <w:lang w:eastAsia="en-GB"/>
              </w:rPr>
              <w:t>Amortised cost</w:t>
            </w:r>
          </w:p>
        </w:tc>
        <w:tc>
          <w:tcPr>
            <w:tcW w:w="1162" w:type="dxa"/>
            <w:tcBorders>
              <w:top w:val="nil"/>
              <w:left w:val="nil"/>
              <w:bottom w:val="single" w:sz="4" w:space="0" w:color="auto"/>
              <w:right w:val="nil"/>
            </w:tcBorders>
            <w:shd w:val="clear" w:color="auto" w:fill="auto"/>
            <w:vAlign w:val="center"/>
            <w:hideMark/>
          </w:tcPr>
          <w:p w14:paraId="1B45F181" w14:textId="77777777" w:rsidR="004A25BE" w:rsidRPr="004A25BE" w:rsidRDefault="004A25BE" w:rsidP="004A25BE">
            <w:pPr>
              <w:jc w:val="right"/>
              <w:rPr>
                <w:rFonts w:cs="Arial"/>
                <w:sz w:val="22"/>
                <w:szCs w:val="22"/>
                <w:lang w:eastAsia="en-GB"/>
              </w:rPr>
            </w:pPr>
            <w:r w:rsidRPr="004A25BE">
              <w:rPr>
                <w:rFonts w:cs="Arial"/>
                <w:sz w:val="22"/>
                <w:szCs w:val="22"/>
                <w:lang w:eastAsia="en-GB"/>
              </w:rPr>
              <w:t>5,510</w:t>
            </w:r>
          </w:p>
        </w:tc>
        <w:tc>
          <w:tcPr>
            <w:tcW w:w="1258" w:type="dxa"/>
            <w:tcBorders>
              <w:top w:val="nil"/>
              <w:left w:val="nil"/>
              <w:bottom w:val="single" w:sz="4" w:space="0" w:color="auto"/>
              <w:right w:val="nil"/>
            </w:tcBorders>
            <w:shd w:val="clear" w:color="auto" w:fill="auto"/>
            <w:vAlign w:val="center"/>
            <w:hideMark/>
          </w:tcPr>
          <w:p w14:paraId="654E9E1B" w14:textId="77777777" w:rsidR="004A25BE" w:rsidRPr="004A25BE" w:rsidRDefault="004A25BE" w:rsidP="004A25BE">
            <w:pPr>
              <w:jc w:val="right"/>
              <w:rPr>
                <w:rFonts w:cs="Arial"/>
                <w:sz w:val="22"/>
                <w:szCs w:val="22"/>
                <w:lang w:eastAsia="en-GB"/>
              </w:rPr>
            </w:pPr>
            <w:r w:rsidRPr="004A25BE">
              <w:rPr>
                <w:rFonts w:cs="Arial"/>
                <w:sz w:val="22"/>
                <w:szCs w:val="22"/>
                <w:lang w:eastAsia="en-GB"/>
              </w:rPr>
              <w:t>5,510</w:t>
            </w:r>
          </w:p>
        </w:tc>
        <w:tc>
          <w:tcPr>
            <w:tcW w:w="1162" w:type="dxa"/>
            <w:tcBorders>
              <w:top w:val="nil"/>
              <w:left w:val="nil"/>
              <w:bottom w:val="single" w:sz="4" w:space="0" w:color="auto"/>
              <w:right w:val="nil"/>
            </w:tcBorders>
            <w:shd w:val="clear" w:color="auto" w:fill="auto"/>
            <w:vAlign w:val="center"/>
            <w:hideMark/>
          </w:tcPr>
          <w:p w14:paraId="14144D26" w14:textId="77777777" w:rsidR="004A25BE" w:rsidRPr="004A25BE" w:rsidRDefault="004A25BE" w:rsidP="004A25BE">
            <w:pPr>
              <w:jc w:val="right"/>
              <w:rPr>
                <w:rFonts w:cs="Arial"/>
                <w:sz w:val="22"/>
                <w:szCs w:val="22"/>
                <w:lang w:eastAsia="en-GB"/>
              </w:rPr>
            </w:pPr>
            <w:r w:rsidRPr="004A25BE">
              <w:rPr>
                <w:rFonts w:cs="Arial"/>
                <w:sz w:val="22"/>
                <w:szCs w:val="22"/>
                <w:lang w:eastAsia="en-GB"/>
              </w:rPr>
              <w:t>5,131</w:t>
            </w:r>
          </w:p>
        </w:tc>
        <w:tc>
          <w:tcPr>
            <w:tcW w:w="1018" w:type="dxa"/>
            <w:tcBorders>
              <w:top w:val="nil"/>
              <w:left w:val="nil"/>
              <w:bottom w:val="single" w:sz="4" w:space="0" w:color="auto"/>
              <w:right w:val="single" w:sz="4" w:space="0" w:color="auto"/>
            </w:tcBorders>
            <w:shd w:val="clear" w:color="auto" w:fill="auto"/>
            <w:vAlign w:val="center"/>
            <w:hideMark/>
          </w:tcPr>
          <w:p w14:paraId="69E06E63" w14:textId="77777777" w:rsidR="004A25BE" w:rsidRPr="004A25BE" w:rsidRDefault="004A25BE" w:rsidP="004A25BE">
            <w:pPr>
              <w:jc w:val="right"/>
              <w:rPr>
                <w:rFonts w:cs="Arial"/>
                <w:sz w:val="22"/>
                <w:szCs w:val="22"/>
                <w:lang w:eastAsia="en-GB"/>
              </w:rPr>
            </w:pPr>
            <w:r w:rsidRPr="004A25BE">
              <w:rPr>
                <w:rFonts w:cs="Arial"/>
                <w:sz w:val="22"/>
                <w:szCs w:val="22"/>
                <w:lang w:eastAsia="en-GB"/>
              </w:rPr>
              <w:t>5,131</w:t>
            </w:r>
          </w:p>
        </w:tc>
      </w:tr>
      <w:tr w:rsidR="004A25BE" w:rsidRPr="004A25BE" w14:paraId="7FE6ABFA" w14:textId="77777777" w:rsidTr="004A25BE">
        <w:trPr>
          <w:trHeight w:val="300"/>
        </w:trPr>
        <w:tc>
          <w:tcPr>
            <w:tcW w:w="4957" w:type="dxa"/>
            <w:tcBorders>
              <w:top w:val="nil"/>
              <w:left w:val="single" w:sz="4" w:space="0" w:color="auto"/>
              <w:bottom w:val="nil"/>
              <w:right w:val="nil"/>
            </w:tcBorders>
            <w:shd w:val="clear" w:color="auto" w:fill="auto"/>
            <w:hideMark/>
          </w:tcPr>
          <w:p w14:paraId="7974A9E5" w14:textId="77777777" w:rsidR="004A25BE" w:rsidRPr="004A25BE" w:rsidRDefault="004A25BE" w:rsidP="004A25BE">
            <w:pPr>
              <w:rPr>
                <w:rFonts w:cs="Arial"/>
                <w:b/>
                <w:bCs/>
                <w:lang w:eastAsia="en-GB"/>
              </w:rPr>
            </w:pPr>
            <w:r w:rsidRPr="004A25BE">
              <w:rPr>
                <w:rFonts w:cs="Arial"/>
                <w:b/>
                <w:bCs/>
                <w:lang w:eastAsia="en-GB"/>
              </w:rPr>
              <w:t>Total included in Current Assets</w:t>
            </w:r>
          </w:p>
        </w:tc>
        <w:tc>
          <w:tcPr>
            <w:tcW w:w="1162" w:type="dxa"/>
            <w:tcBorders>
              <w:top w:val="nil"/>
              <w:left w:val="nil"/>
              <w:bottom w:val="double" w:sz="6" w:space="0" w:color="auto"/>
              <w:right w:val="nil"/>
            </w:tcBorders>
            <w:shd w:val="clear" w:color="auto" w:fill="auto"/>
            <w:vAlign w:val="center"/>
            <w:hideMark/>
          </w:tcPr>
          <w:p w14:paraId="0BA6AE9B" w14:textId="77777777" w:rsidR="004A25BE" w:rsidRPr="004A25BE" w:rsidRDefault="004A25BE" w:rsidP="004A25BE">
            <w:pPr>
              <w:jc w:val="right"/>
              <w:rPr>
                <w:rFonts w:cs="Arial"/>
                <w:b/>
                <w:bCs/>
                <w:lang w:eastAsia="en-GB"/>
              </w:rPr>
            </w:pPr>
            <w:r w:rsidRPr="004A25BE">
              <w:rPr>
                <w:rFonts w:cs="Arial"/>
                <w:b/>
                <w:bCs/>
                <w:lang w:eastAsia="en-GB"/>
              </w:rPr>
              <w:t>5,510</w:t>
            </w:r>
          </w:p>
        </w:tc>
        <w:tc>
          <w:tcPr>
            <w:tcW w:w="1258" w:type="dxa"/>
            <w:tcBorders>
              <w:top w:val="nil"/>
              <w:left w:val="nil"/>
              <w:bottom w:val="double" w:sz="6" w:space="0" w:color="auto"/>
              <w:right w:val="nil"/>
            </w:tcBorders>
            <w:shd w:val="clear" w:color="auto" w:fill="auto"/>
            <w:vAlign w:val="center"/>
            <w:hideMark/>
          </w:tcPr>
          <w:p w14:paraId="14851FE4" w14:textId="77777777" w:rsidR="004A25BE" w:rsidRPr="004A25BE" w:rsidRDefault="004A25BE" w:rsidP="004A25BE">
            <w:pPr>
              <w:jc w:val="right"/>
              <w:rPr>
                <w:rFonts w:cs="Arial"/>
                <w:b/>
                <w:bCs/>
                <w:lang w:eastAsia="en-GB"/>
              </w:rPr>
            </w:pPr>
            <w:r w:rsidRPr="004A25BE">
              <w:rPr>
                <w:rFonts w:cs="Arial"/>
                <w:b/>
                <w:bCs/>
                <w:lang w:eastAsia="en-GB"/>
              </w:rPr>
              <w:t>5,510</w:t>
            </w:r>
          </w:p>
        </w:tc>
        <w:tc>
          <w:tcPr>
            <w:tcW w:w="1162" w:type="dxa"/>
            <w:tcBorders>
              <w:top w:val="nil"/>
              <w:left w:val="nil"/>
              <w:bottom w:val="double" w:sz="6" w:space="0" w:color="auto"/>
              <w:right w:val="nil"/>
            </w:tcBorders>
            <w:shd w:val="clear" w:color="auto" w:fill="auto"/>
            <w:vAlign w:val="center"/>
            <w:hideMark/>
          </w:tcPr>
          <w:p w14:paraId="52252E6A" w14:textId="77777777" w:rsidR="004A25BE" w:rsidRPr="004A25BE" w:rsidRDefault="004A25BE" w:rsidP="004A25BE">
            <w:pPr>
              <w:jc w:val="right"/>
              <w:rPr>
                <w:rFonts w:cs="Arial"/>
                <w:b/>
                <w:bCs/>
                <w:lang w:eastAsia="en-GB"/>
              </w:rPr>
            </w:pPr>
            <w:r w:rsidRPr="004A25BE">
              <w:rPr>
                <w:rFonts w:cs="Arial"/>
                <w:b/>
                <w:bCs/>
                <w:lang w:eastAsia="en-GB"/>
              </w:rPr>
              <w:t>5,131</w:t>
            </w:r>
          </w:p>
        </w:tc>
        <w:tc>
          <w:tcPr>
            <w:tcW w:w="1018" w:type="dxa"/>
            <w:tcBorders>
              <w:top w:val="nil"/>
              <w:left w:val="nil"/>
              <w:bottom w:val="double" w:sz="6" w:space="0" w:color="auto"/>
              <w:right w:val="single" w:sz="4" w:space="0" w:color="auto"/>
            </w:tcBorders>
            <w:shd w:val="clear" w:color="auto" w:fill="auto"/>
            <w:vAlign w:val="center"/>
            <w:hideMark/>
          </w:tcPr>
          <w:p w14:paraId="7772885F" w14:textId="77777777" w:rsidR="004A25BE" w:rsidRPr="004A25BE" w:rsidRDefault="004A25BE" w:rsidP="004A25BE">
            <w:pPr>
              <w:jc w:val="right"/>
              <w:rPr>
                <w:rFonts w:cs="Arial"/>
                <w:b/>
                <w:bCs/>
                <w:lang w:eastAsia="en-GB"/>
              </w:rPr>
            </w:pPr>
            <w:r w:rsidRPr="004A25BE">
              <w:rPr>
                <w:rFonts w:cs="Arial"/>
                <w:b/>
                <w:bCs/>
                <w:lang w:eastAsia="en-GB"/>
              </w:rPr>
              <w:t>5,131</w:t>
            </w:r>
          </w:p>
        </w:tc>
      </w:tr>
      <w:tr w:rsidR="004A25BE" w:rsidRPr="004A25BE" w14:paraId="1FBE7478" w14:textId="77777777" w:rsidTr="004A25BE">
        <w:trPr>
          <w:trHeight w:val="300"/>
        </w:trPr>
        <w:tc>
          <w:tcPr>
            <w:tcW w:w="4957" w:type="dxa"/>
            <w:tcBorders>
              <w:top w:val="nil"/>
              <w:left w:val="single" w:sz="4" w:space="0" w:color="auto"/>
              <w:bottom w:val="single" w:sz="4" w:space="0" w:color="auto"/>
              <w:right w:val="nil"/>
            </w:tcBorders>
            <w:shd w:val="clear" w:color="auto" w:fill="auto"/>
            <w:hideMark/>
          </w:tcPr>
          <w:p w14:paraId="4F60A59B" w14:textId="77777777" w:rsidR="004A25BE" w:rsidRPr="004A25BE" w:rsidRDefault="004A25BE" w:rsidP="004A25BE">
            <w:pPr>
              <w:jc w:val="center"/>
              <w:rPr>
                <w:rFonts w:cs="Arial"/>
                <w:lang w:eastAsia="en-GB"/>
              </w:rPr>
            </w:pPr>
            <w:r w:rsidRPr="004A25BE">
              <w:rPr>
                <w:rFonts w:cs="Arial"/>
                <w:lang w:eastAsia="en-GB"/>
              </w:rPr>
              <w:t> </w:t>
            </w:r>
          </w:p>
        </w:tc>
        <w:tc>
          <w:tcPr>
            <w:tcW w:w="1162" w:type="dxa"/>
            <w:tcBorders>
              <w:top w:val="nil"/>
              <w:left w:val="nil"/>
              <w:bottom w:val="single" w:sz="4" w:space="0" w:color="auto"/>
              <w:right w:val="nil"/>
            </w:tcBorders>
            <w:shd w:val="clear" w:color="auto" w:fill="auto"/>
            <w:hideMark/>
          </w:tcPr>
          <w:p w14:paraId="49BE1B07" w14:textId="77777777" w:rsidR="004A25BE" w:rsidRPr="004A25BE" w:rsidRDefault="004A25BE" w:rsidP="004A25BE">
            <w:pPr>
              <w:jc w:val="center"/>
              <w:rPr>
                <w:rFonts w:cs="Arial"/>
                <w:lang w:eastAsia="en-GB"/>
              </w:rPr>
            </w:pPr>
            <w:r w:rsidRPr="004A25BE">
              <w:rPr>
                <w:rFonts w:cs="Arial"/>
                <w:lang w:eastAsia="en-GB"/>
              </w:rPr>
              <w:t> </w:t>
            </w:r>
          </w:p>
        </w:tc>
        <w:tc>
          <w:tcPr>
            <w:tcW w:w="1258" w:type="dxa"/>
            <w:tcBorders>
              <w:top w:val="nil"/>
              <w:left w:val="nil"/>
              <w:bottom w:val="single" w:sz="4" w:space="0" w:color="auto"/>
              <w:right w:val="nil"/>
            </w:tcBorders>
            <w:shd w:val="clear" w:color="auto" w:fill="auto"/>
            <w:hideMark/>
          </w:tcPr>
          <w:p w14:paraId="1D1FAEB7" w14:textId="77777777" w:rsidR="004A25BE" w:rsidRPr="004A25BE" w:rsidRDefault="004A25BE" w:rsidP="004A25BE">
            <w:pPr>
              <w:jc w:val="center"/>
              <w:rPr>
                <w:rFonts w:cs="Arial"/>
                <w:lang w:eastAsia="en-GB"/>
              </w:rPr>
            </w:pPr>
            <w:r w:rsidRPr="004A25BE">
              <w:rPr>
                <w:rFonts w:cs="Arial"/>
                <w:lang w:eastAsia="en-GB"/>
              </w:rPr>
              <w:t> </w:t>
            </w:r>
          </w:p>
        </w:tc>
        <w:tc>
          <w:tcPr>
            <w:tcW w:w="1162" w:type="dxa"/>
            <w:tcBorders>
              <w:top w:val="nil"/>
              <w:left w:val="nil"/>
              <w:bottom w:val="single" w:sz="4" w:space="0" w:color="auto"/>
              <w:right w:val="nil"/>
            </w:tcBorders>
            <w:shd w:val="clear" w:color="auto" w:fill="auto"/>
            <w:hideMark/>
          </w:tcPr>
          <w:p w14:paraId="637E6DC8" w14:textId="77777777" w:rsidR="004A25BE" w:rsidRPr="004A25BE" w:rsidRDefault="004A25BE" w:rsidP="004A25BE">
            <w:pPr>
              <w:jc w:val="center"/>
              <w:rPr>
                <w:rFonts w:cs="Arial"/>
                <w:lang w:eastAsia="en-GB"/>
              </w:rPr>
            </w:pPr>
            <w:r w:rsidRPr="004A25BE">
              <w:rPr>
                <w:rFonts w:cs="Arial"/>
                <w:lang w:eastAsia="en-GB"/>
              </w:rPr>
              <w:t> </w:t>
            </w:r>
          </w:p>
        </w:tc>
        <w:tc>
          <w:tcPr>
            <w:tcW w:w="1018" w:type="dxa"/>
            <w:tcBorders>
              <w:top w:val="nil"/>
              <w:left w:val="nil"/>
              <w:bottom w:val="single" w:sz="4" w:space="0" w:color="auto"/>
              <w:right w:val="single" w:sz="4" w:space="0" w:color="auto"/>
            </w:tcBorders>
            <w:shd w:val="clear" w:color="auto" w:fill="auto"/>
            <w:hideMark/>
          </w:tcPr>
          <w:p w14:paraId="0446808E" w14:textId="77777777" w:rsidR="004A25BE" w:rsidRPr="004A25BE" w:rsidRDefault="004A25BE" w:rsidP="004A25BE">
            <w:pPr>
              <w:jc w:val="center"/>
              <w:rPr>
                <w:rFonts w:cs="Arial"/>
                <w:lang w:eastAsia="en-GB"/>
              </w:rPr>
            </w:pPr>
            <w:r w:rsidRPr="004A25BE">
              <w:rPr>
                <w:rFonts w:cs="Arial"/>
                <w:lang w:eastAsia="en-GB"/>
              </w:rPr>
              <w:t> </w:t>
            </w:r>
          </w:p>
        </w:tc>
      </w:tr>
    </w:tbl>
    <w:p w14:paraId="485A4877" w14:textId="15C0D704" w:rsidR="00F07E20" w:rsidRPr="004D5CA8" w:rsidRDefault="00F07E20" w:rsidP="006D2EED">
      <w:pPr>
        <w:rPr>
          <w:color w:val="FF0000"/>
          <w:highlight w:val="yellow"/>
        </w:rPr>
      </w:pPr>
    </w:p>
    <w:p w14:paraId="747D6460" w14:textId="77777777" w:rsidR="00C97267" w:rsidRPr="004D5CA8" w:rsidRDefault="00C97267" w:rsidP="00CF3182">
      <w:pPr>
        <w:ind w:left="567" w:hanging="567"/>
        <w:rPr>
          <w:b/>
          <w:bCs/>
          <w:highlight w:val="yellow"/>
        </w:rPr>
      </w:pPr>
    </w:p>
    <w:p w14:paraId="485A4878" w14:textId="77777777" w:rsidR="00E00863" w:rsidRPr="006D71D1" w:rsidRDefault="00CF3182" w:rsidP="00CF3182">
      <w:pPr>
        <w:ind w:left="567" w:hanging="567"/>
        <w:rPr>
          <w:b/>
          <w:bCs/>
        </w:rPr>
      </w:pPr>
      <w:r w:rsidRPr="006D71D1">
        <w:rPr>
          <w:b/>
          <w:bCs/>
        </w:rPr>
        <w:t>2</w:t>
      </w:r>
      <w:r w:rsidR="00FB3A44" w:rsidRPr="006D71D1">
        <w:rPr>
          <w:b/>
          <w:bCs/>
        </w:rPr>
        <w:t>5</w:t>
      </w:r>
      <w:r w:rsidR="00E00863" w:rsidRPr="006D71D1">
        <w:rPr>
          <w:b/>
          <w:bCs/>
        </w:rPr>
        <w:t>.</w:t>
      </w:r>
      <w:r w:rsidR="00E00863" w:rsidRPr="006D71D1">
        <w:rPr>
          <w:b/>
          <w:bCs/>
        </w:rPr>
        <w:tab/>
      </w:r>
      <w:r w:rsidR="00E00863" w:rsidRPr="006D71D1">
        <w:rPr>
          <w:b/>
        </w:rPr>
        <w:t>Nature and extent of risks arising from Financial Instruments</w:t>
      </w:r>
    </w:p>
    <w:p w14:paraId="485A4879" w14:textId="77777777" w:rsidR="00E00863" w:rsidRPr="006D71D1" w:rsidRDefault="00E00863" w:rsidP="006D2EED">
      <w:pPr>
        <w:rPr>
          <w:b/>
          <w:bCs/>
        </w:rPr>
      </w:pPr>
    </w:p>
    <w:p w14:paraId="485A487A" w14:textId="77777777" w:rsidR="00E00863" w:rsidRPr="006D71D1" w:rsidRDefault="00E00863" w:rsidP="00CF3182">
      <w:pPr>
        <w:ind w:left="567"/>
        <w:rPr>
          <w:bCs/>
        </w:rPr>
      </w:pPr>
      <w:r w:rsidRPr="006D71D1">
        <w:rPr>
          <w:bCs/>
        </w:rPr>
        <w:t>The Authority’s activities expose it to a variety of financial risks</w:t>
      </w:r>
      <w:r w:rsidR="00C33ED6" w:rsidRPr="006D71D1">
        <w:rPr>
          <w:bCs/>
        </w:rPr>
        <w:t>:</w:t>
      </w:r>
    </w:p>
    <w:p w14:paraId="485A487B" w14:textId="77777777" w:rsidR="005F02ED" w:rsidRPr="006D71D1" w:rsidRDefault="005F02ED" w:rsidP="006D2EED">
      <w:pPr>
        <w:ind w:left="720"/>
        <w:rPr>
          <w:bCs/>
        </w:rPr>
      </w:pPr>
    </w:p>
    <w:p w14:paraId="485A487C" w14:textId="77777777" w:rsidR="00E00863" w:rsidRPr="006D71D1" w:rsidRDefault="005F02ED" w:rsidP="00317745">
      <w:pPr>
        <w:numPr>
          <w:ilvl w:val="0"/>
          <w:numId w:val="7"/>
        </w:numPr>
        <w:tabs>
          <w:tab w:val="clear" w:pos="1440"/>
          <w:tab w:val="num" w:pos="851"/>
        </w:tabs>
        <w:ind w:left="851" w:hanging="284"/>
        <w:rPr>
          <w:bCs/>
          <w:sz w:val="22"/>
          <w:szCs w:val="22"/>
        </w:rPr>
      </w:pPr>
      <w:r w:rsidRPr="006D71D1">
        <w:rPr>
          <w:bCs/>
          <w:sz w:val="22"/>
          <w:szCs w:val="22"/>
        </w:rPr>
        <w:t>C</w:t>
      </w:r>
      <w:r w:rsidR="00E00863" w:rsidRPr="006D71D1">
        <w:rPr>
          <w:bCs/>
          <w:sz w:val="22"/>
          <w:szCs w:val="22"/>
        </w:rPr>
        <w:t xml:space="preserve">redit risk – the possibility that other parties might fail to pay amounts due to the </w:t>
      </w:r>
      <w:r w:rsidR="003217C4" w:rsidRPr="006D71D1">
        <w:rPr>
          <w:bCs/>
          <w:sz w:val="22"/>
          <w:szCs w:val="22"/>
        </w:rPr>
        <w:t>A</w:t>
      </w:r>
      <w:r w:rsidR="00E00863" w:rsidRPr="006D71D1">
        <w:rPr>
          <w:bCs/>
          <w:sz w:val="22"/>
          <w:szCs w:val="22"/>
        </w:rPr>
        <w:t>uthority</w:t>
      </w:r>
    </w:p>
    <w:p w14:paraId="485A487D" w14:textId="77777777" w:rsidR="00E00863" w:rsidRPr="006D71D1" w:rsidRDefault="00E00863" w:rsidP="00317745">
      <w:pPr>
        <w:numPr>
          <w:ilvl w:val="0"/>
          <w:numId w:val="7"/>
        </w:numPr>
        <w:tabs>
          <w:tab w:val="clear" w:pos="1440"/>
          <w:tab w:val="num" w:pos="851"/>
        </w:tabs>
        <w:ind w:left="851" w:hanging="284"/>
        <w:rPr>
          <w:bCs/>
          <w:sz w:val="22"/>
          <w:szCs w:val="22"/>
        </w:rPr>
      </w:pPr>
      <w:r w:rsidRPr="006D71D1">
        <w:rPr>
          <w:bCs/>
          <w:sz w:val="22"/>
          <w:szCs w:val="22"/>
        </w:rPr>
        <w:t>liquidity risk – the possibility that the Authority might not have funds available to meet its commitments to make payments</w:t>
      </w:r>
    </w:p>
    <w:p w14:paraId="485A487E" w14:textId="77777777" w:rsidR="00E00863" w:rsidRPr="006D71D1" w:rsidRDefault="00E00863" w:rsidP="00317745">
      <w:pPr>
        <w:numPr>
          <w:ilvl w:val="0"/>
          <w:numId w:val="7"/>
        </w:numPr>
        <w:tabs>
          <w:tab w:val="clear" w:pos="1440"/>
          <w:tab w:val="num" w:pos="851"/>
        </w:tabs>
        <w:ind w:left="851" w:hanging="284"/>
        <w:rPr>
          <w:bCs/>
          <w:sz w:val="22"/>
          <w:szCs w:val="22"/>
        </w:rPr>
      </w:pPr>
      <w:r w:rsidRPr="006D71D1">
        <w:rPr>
          <w:bCs/>
          <w:sz w:val="22"/>
          <w:szCs w:val="22"/>
        </w:rPr>
        <w:t>market risk – the possibility that financial loss might arise for the Authority as a result of changes in such measures as interest rates and stock market investments.</w:t>
      </w:r>
    </w:p>
    <w:p w14:paraId="485A487F" w14:textId="77777777" w:rsidR="00E00863" w:rsidRPr="006D71D1" w:rsidRDefault="00E00863" w:rsidP="006D2EED">
      <w:pPr>
        <w:ind w:left="720"/>
        <w:rPr>
          <w:b/>
          <w:bCs/>
        </w:rPr>
      </w:pPr>
    </w:p>
    <w:p w14:paraId="485A4880" w14:textId="77777777" w:rsidR="00E00863" w:rsidRPr="006D71D1" w:rsidRDefault="00E00863" w:rsidP="00CF3182">
      <w:pPr>
        <w:ind w:left="567"/>
        <w:rPr>
          <w:bCs/>
        </w:rPr>
      </w:pPr>
      <w:r w:rsidRPr="006D71D1">
        <w:rPr>
          <w:bCs/>
        </w:rPr>
        <w:t>In order to minimise the risks</w:t>
      </w:r>
      <w:r w:rsidRPr="006D71D1">
        <w:rPr>
          <w:b/>
          <w:bCs/>
        </w:rPr>
        <w:t xml:space="preserve"> </w:t>
      </w:r>
      <w:r w:rsidRPr="006D71D1">
        <w:rPr>
          <w:bCs/>
        </w:rPr>
        <w:t xml:space="preserve">the Authority has adopted the CIPFA Code of Practice for Treasury Management. </w:t>
      </w:r>
      <w:r w:rsidR="00C33ED6" w:rsidRPr="006D71D1">
        <w:rPr>
          <w:bCs/>
        </w:rPr>
        <w:t>Accordingly</w:t>
      </w:r>
      <w:r w:rsidRPr="006D71D1">
        <w:rPr>
          <w:bCs/>
        </w:rPr>
        <w:t>, the Authority approves an annual Treasury Management Strategy which sets out policies on borrowing, investment, financing and interest rate exposure.</w:t>
      </w:r>
    </w:p>
    <w:p w14:paraId="485A4881" w14:textId="77777777" w:rsidR="00BE77C5" w:rsidRPr="004D5CA8" w:rsidRDefault="00BE77C5" w:rsidP="00CF3182">
      <w:pPr>
        <w:ind w:left="567"/>
        <w:rPr>
          <w:bCs/>
          <w:highlight w:val="yellow"/>
        </w:rPr>
      </w:pPr>
    </w:p>
    <w:p w14:paraId="485A4882" w14:textId="10D0177F" w:rsidR="00E00863" w:rsidRPr="006D71D1" w:rsidRDefault="00E00863" w:rsidP="00CF3182">
      <w:pPr>
        <w:ind w:left="567"/>
        <w:rPr>
          <w:b/>
        </w:rPr>
      </w:pPr>
      <w:r w:rsidRPr="006D71D1">
        <w:rPr>
          <w:b/>
        </w:rPr>
        <w:t>Credit risk</w:t>
      </w:r>
    </w:p>
    <w:p w14:paraId="485A4883" w14:textId="77777777" w:rsidR="0022100A" w:rsidRPr="006D71D1" w:rsidRDefault="0022100A" w:rsidP="00CF3182">
      <w:pPr>
        <w:ind w:left="567"/>
        <w:rPr>
          <w:bCs/>
        </w:rPr>
      </w:pPr>
    </w:p>
    <w:p w14:paraId="485A4884" w14:textId="6D3EAA17" w:rsidR="00113660" w:rsidRPr="006D71D1" w:rsidRDefault="00E00863" w:rsidP="00CF3182">
      <w:pPr>
        <w:ind w:left="567"/>
        <w:rPr>
          <w:bCs/>
        </w:rPr>
      </w:pPr>
      <w:r w:rsidRPr="006D71D1">
        <w:rPr>
          <w:bCs/>
        </w:rPr>
        <w:t xml:space="preserve">Credit risk arises from deposits with banks and financial institutions, as well as credit exposures to customers. The Authority’s </w:t>
      </w:r>
      <w:r w:rsidR="00153056" w:rsidRPr="006D71D1">
        <w:rPr>
          <w:bCs/>
        </w:rPr>
        <w:t>T</w:t>
      </w:r>
      <w:r w:rsidRPr="006D71D1">
        <w:rPr>
          <w:bCs/>
        </w:rPr>
        <w:t xml:space="preserve">reasury </w:t>
      </w:r>
      <w:r w:rsidR="00153056" w:rsidRPr="006D71D1">
        <w:rPr>
          <w:bCs/>
        </w:rPr>
        <w:t>M</w:t>
      </w:r>
      <w:r w:rsidRPr="006D71D1">
        <w:rPr>
          <w:bCs/>
        </w:rPr>
        <w:t>anagement strategy</w:t>
      </w:r>
      <w:r w:rsidR="006D71D1" w:rsidRPr="006D71D1">
        <w:rPr>
          <w:bCs/>
        </w:rPr>
        <w:t xml:space="preserve"> for 2022/23</w:t>
      </w:r>
      <w:r w:rsidRPr="006D71D1">
        <w:rPr>
          <w:bCs/>
        </w:rPr>
        <w:t xml:space="preserve"> requires t</w:t>
      </w:r>
      <w:r w:rsidR="00110003" w:rsidRPr="006D71D1">
        <w:rPr>
          <w:bCs/>
        </w:rPr>
        <w:t>hat deposits are only made if the following criteria are met.</w:t>
      </w:r>
    </w:p>
    <w:p w14:paraId="485A4885" w14:textId="62CEDAF6" w:rsidR="00113660" w:rsidRPr="006D71D1" w:rsidRDefault="00113660" w:rsidP="006D2EED">
      <w:pPr>
        <w:ind w:left="720"/>
        <w:rPr>
          <w:bCs/>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268"/>
        <w:gridCol w:w="1276"/>
        <w:gridCol w:w="1205"/>
      </w:tblGrid>
      <w:tr w:rsidR="00113660" w:rsidRPr="006D71D1" w14:paraId="485A488B" w14:textId="77777777" w:rsidTr="00EF6C9E">
        <w:trPr>
          <w:jc w:val="center"/>
        </w:trPr>
        <w:tc>
          <w:tcPr>
            <w:tcW w:w="4252" w:type="dxa"/>
            <w:shd w:val="clear" w:color="auto" w:fill="auto"/>
          </w:tcPr>
          <w:p w14:paraId="485A4886" w14:textId="77777777" w:rsidR="00113660" w:rsidRPr="006D71D1" w:rsidRDefault="00113660" w:rsidP="00C917C0">
            <w:pPr>
              <w:jc w:val="center"/>
              <w:rPr>
                <w:b/>
              </w:rPr>
            </w:pPr>
            <w:bookmarkStart w:id="192" w:name="_Hlk109645603"/>
          </w:p>
          <w:p w14:paraId="485A4887" w14:textId="77777777" w:rsidR="00113660" w:rsidRPr="006D71D1" w:rsidRDefault="00113660" w:rsidP="00C917C0">
            <w:pPr>
              <w:jc w:val="center"/>
              <w:rPr>
                <w:b/>
              </w:rPr>
            </w:pPr>
            <w:r w:rsidRPr="006D71D1">
              <w:rPr>
                <w:b/>
              </w:rPr>
              <w:t>Institution type</w:t>
            </w:r>
          </w:p>
        </w:tc>
        <w:tc>
          <w:tcPr>
            <w:tcW w:w="2268" w:type="dxa"/>
          </w:tcPr>
          <w:p w14:paraId="485A4888" w14:textId="77777777" w:rsidR="00113660" w:rsidRPr="006D71D1" w:rsidRDefault="00113660" w:rsidP="00C917C0">
            <w:pPr>
              <w:jc w:val="center"/>
              <w:rPr>
                <w:b/>
              </w:rPr>
            </w:pPr>
            <w:r w:rsidRPr="006D71D1">
              <w:rPr>
                <w:b/>
              </w:rPr>
              <w:t>Minimum Fitch Long Term Rating / Fund Rating</w:t>
            </w:r>
          </w:p>
        </w:tc>
        <w:tc>
          <w:tcPr>
            <w:tcW w:w="1276" w:type="dxa"/>
            <w:shd w:val="clear" w:color="auto" w:fill="auto"/>
          </w:tcPr>
          <w:p w14:paraId="485A4889" w14:textId="77777777" w:rsidR="00113660" w:rsidRPr="006D71D1" w:rsidRDefault="00113660" w:rsidP="00C917C0">
            <w:pPr>
              <w:jc w:val="center"/>
              <w:rPr>
                <w:b/>
              </w:rPr>
            </w:pPr>
            <w:r w:rsidRPr="006D71D1">
              <w:rPr>
                <w:b/>
              </w:rPr>
              <w:t>Time Limit</w:t>
            </w:r>
          </w:p>
        </w:tc>
        <w:tc>
          <w:tcPr>
            <w:tcW w:w="1205" w:type="dxa"/>
            <w:shd w:val="clear" w:color="auto" w:fill="auto"/>
          </w:tcPr>
          <w:p w14:paraId="485A488A" w14:textId="77777777" w:rsidR="00113660" w:rsidRPr="006D71D1" w:rsidRDefault="00113660" w:rsidP="00C917C0">
            <w:pPr>
              <w:jc w:val="center"/>
              <w:rPr>
                <w:b/>
              </w:rPr>
            </w:pPr>
            <w:r w:rsidRPr="006D71D1">
              <w:rPr>
                <w:b/>
              </w:rPr>
              <w:t>Money Limit (£m)</w:t>
            </w:r>
          </w:p>
        </w:tc>
      </w:tr>
      <w:tr w:rsidR="00113660" w:rsidRPr="006D71D1" w14:paraId="485A4890" w14:textId="77777777" w:rsidTr="00EF6C9E">
        <w:trPr>
          <w:jc w:val="center"/>
        </w:trPr>
        <w:tc>
          <w:tcPr>
            <w:tcW w:w="4252" w:type="dxa"/>
            <w:shd w:val="clear" w:color="auto" w:fill="auto"/>
          </w:tcPr>
          <w:p w14:paraId="485A488C" w14:textId="77777777" w:rsidR="00113660" w:rsidRPr="006D71D1" w:rsidRDefault="00113660" w:rsidP="00C917C0">
            <w:r w:rsidRPr="006D71D1">
              <w:t>Major UK Banks</w:t>
            </w:r>
          </w:p>
        </w:tc>
        <w:tc>
          <w:tcPr>
            <w:tcW w:w="2268" w:type="dxa"/>
          </w:tcPr>
          <w:p w14:paraId="485A488D" w14:textId="77777777" w:rsidR="00113660" w:rsidRPr="006D71D1" w:rsidRDefault="00113660" w:rsidP="00C917C0">
            <w:pPr>
              <w:jc w:val="center"/>
            </w:pPr>
            <w:r w:rsidRPr="006D71D1">
              <w:t>A</w:t>
            </w:r>
          </w:p>
        </w:tc>
        <w:tc>
          <w:tcPr>
            <w:tcW w:w="1276" w:type="dxa"/>
            <w:shd w:val="clear" w:color="auto" w:fill="auto"/>
          </w:tcPr>
          <w:p w14:paraId="485A488E" w14:textId="77777777" w:rsidR="00113660" w:rsidRPr="006D71D1" w:rsidRDefault="00113660" w:rsidP="00C917C0">
            <w:pPr>
              <w:jc w:val="center"/>
            </w:pPr>
            <w:r w:rsidRPr="006D71D1">
              <w:t>364 days</w:t>
            </w:r>
          </w:p>
        </w:tc>
        <w:tc>
          <w:tcPr>
            <w:tcW w:w="1205" w:type="dxa"/>
            <w:shd w:val="clear" w:color="auto" w:fill="auto"/>
          </w:tcPr>
          <w:p w14:paraId="485A488F" w14:textId="77777777" w:rsidR="00113660" w:rsidRPr="006D71D1" w:rsidRDefault="00113660" w:rsidP="00C917C0">
            <w:pPr>
              <w:jc w:val="center"/>
            </w:pPr>
            <w:r w:rsidRPr="006D71D1">
              <w:t>2</w:t>
            </w:r>
          </w:p>
        </w:tc>
      </w:tr>
      <w:tr w:rsidR="00113660" w:rsidRPr="006D71D1" w14:paraId="485A4895" w14:textId="77777777" w:rsidTr="00EF6C9E">
        <w:trPr>
          <w:jc w:val="center"/>
        </w:trPr>
        <w:tc>
          <w:tcPr>
            <w:tcW w:w="4252" w:type="dxa"/>
            <w:shd w:val="clear" w:color="auto" w:fill="auto"/>
          </w:tcPr>
          <w:p w14:paraId="485A4891" w14:textId="77777777" w:rsidR="00113660" w:rsidRPr="006D71D1" w:rsidRDefault="00113660" w:rsidP="00C917C0">
            <w:r w:rsidRPr="006D71D1">
              <w:t>Part Nationalised UK Banks</w:t>
            </w:r>
          </w:p>
        </w:tc>
        <w:tc>
          <w:tcPr>
            <w:tcW w:w="2268" w:type="dxa"/>
          </w:tcPr>
          <w:p w14:paraId="485A4892" w14:textId="341B8B7F" w:rsidR="00113660" w:rsidRPr="006D71D1" w:rsidRDefault="00283FA6" w:rsidP="00C917C0">
            <w:pPr>
              <w:jc w:val="center"/>
            </w:pPr>
            <w:r w:rsidRPr="006D71D1">
              <w:t>A</w:t>
            </w:r>
          </w:p>
        </w:tc>
        <w:tc>
          <w:tcPr>
            <w:tcW w:w="1276" w:type="dxa"/>
            <w:shd w:val="clear" w:color="auto" w:fill="auto"/>
          </w:tcPr>
          <w:p w14:paraId="485A4893" w14:textId="77777777" w:rsidR="00113660" w:rsidRPr="006D71D1" w:rsidRDefault="00113660" w:rsidP="00C917C0">
            <w:pPr>
              <w:jc w:val="center"/>
            </w:pPr>
            <w:r w:rsidRPr="006D71D1">
              <w:t>90 days</w:t>
            </w:r>
          </w:p>
        </w:tc>
        <w:tc>
          <w:tcPr>
            <w:tcW w:w="1205" w:type="dxa"/>
            <w:shd w:val="clear" w:color="auto" w:fill="auto"/>
          </w:tcPr>
          <w:p w14:paraId="485A4894" w14:textId="77777777" w:rsidR="00113660" w:rsidRPr="006D71D1" w:rsidRDefault="00113660" w:rsidP="00C917C0">
            <w:pPr>
              <w:jc w:val="center"/>
            </w:pPr>
            <w:r w:rsidRPr="006D71D1">
              <w:t>2</w:t>
            </w:r>
          </w:p>
        </w:tc>
      </w:tr>
      <w:tr w:rsidR="00113660" w:rsidRPr="006D71D1" w14:paraId="485A489A" w14:textId="77777777" w:rsidTr="00EF6C9E">
        <w:trPr>
          <w:jc w:val="center"/>
        </w:trPr>
        <w:tc>
          <w:tcPr>
            <w:tcW w:w="4252" w:type="dxa"/>
            <w:shd w:val="clear" w:color="auto" w:fill="auto"/>
          </w:tcPr>
          <w:p w14:paraId="485A4896" w14:textId="77777777" w:rsidR="00113660" w:rsidRPr="006D71D1" w:rsidRDefault="00113660" w:rsidP="00C917C0">
            <w:r w:rsidRPr="006D71D1">
              <w:t>Major Building Societies</w:t>
            </w:r>
          </w:p>
        </w:tc>
        <w:tc>
          <w:tcPr>
            <w:tcW w:w="2268" w:type="dxa"/>
          </w:tcPr>
          <w:p w14:paraId="485A4897" w14:textId="77777777" w:rsidR="00113660" w:rsidRPr="006D71D1" w:rsidRDefault="00113660" w:rsidP="00C917C0">
            <w:pPr>
              <w:jc w:val="center"/>
            </w:pPr>
            <w:r w:rsidRPr="006D71D1">
              <w:t>A</w:t>
            </w:r>
          </w:p>
        </w:tc>
        <w:tc>
          <w:tcPr>
            <w:tcW w:w="1276" w:type="dxa"/>
            <w:shd w:val="clear" w:color="auto" w:fill="auto"/>
          </w:tcPr>
          <w:p w14:paraId="485A4898" w14:textId="77777777" w:rsidR="00113660" w:rsidRPr="006D71D1" w:rsidRDefault="00113660" w:rsidP="00C917C0">
            <w:pPr>
              <w:jc w:val="center"/>
            </w:pPr>
            <w:r w:rsidRPr="006D71D1">
              <w:t>364 days</w:t>
            </w:r>
          </w:p>
        </w:tc>
        <w:tc>
          <w:tcPr>
            <w:tcW w:w="1205" w:type="dxa"/>
            <w:shd w:val="clear" w:color="auto" w:fill="auto"/>
          </w:tcPr>
          <w:p w14:paraId="485A4899" w14:textId="77777777" w:rsidR="00113660" w:rsidRPr="006D71D1" w:rsidRDefault="00113660" w:rsidP="00C917C0">
            <w:pPr>
              <w:jc w:val="center"/>
            </w:pPr>
            <w:r w:rsidRPr="006D71D1">
              <w:t>1</w:t>
            </w:r>
          </w:p>
        </w:tc>
      </w:tr>
      <w:tr w:rsidR="00113660" w:rsidRPr="006D71D1" w14:paraId="485A489F" w14:textId="77777777" w:rsidTr="00EF6C9E">
        <w:trPr>
          <w:jc w:val="center"/>
        </w:trPr>
        <w:tc>
          <w:tcPr>
            <w:tcW w:w="4252" w:type="dxa"/>
            <w:shd w:val="clear" w:color="auto" w:fill="auto"/>
          </w:tcPr>
          <w:p w14:paraId="485A489B" w14:textId="77777777" w:rsidR="00113660" w:rsidRPr="006D71D1" w:rsidRDefault="00113660" w:rsidP="00C917C0">
            <w:r w:rsidRPr="006D71D1">
              <w:t>Money Market Funds</w:t>
            </w:r>
          </w:p>
        </w:tc>
        <w:tc>
          <w:tcPr>
            <w:tcW w:w="2268" w:type="dxa"/>
          </w:tcPr>
          <w:p w14:paraId="485A489C" w14:textId="77777777" w:rsidR="00113660" w:rsidRPr="006D71D1" w:rsidRDefault="00113660" w:rsidP="00C917C0">
            <w:pPr>
              <w:jc w:val="center"/>
            </w:pPr>
            <w:r w:rsidRPr="006D71D1">
              <w:t>AAA</w:t>
            </w:r>
          </w:p>
        </w:tc>
        <w:tc>
          <w:tcPr>
            <w:tcW w:w="1276" w:type="dxa"/>
            <w:shd w:val="clear" w:color="auto" w:fill="auto"/>
          </w:tcPr>
          <w:p w14:paraId="485A489D" w14:textId="77777777" w:rsidR="00113660" w:rsidRPr="006D71D1" w:rsidRDefault="00113660" w:rsidP="00C917C0">
            <w:pPr>
              <w:jc w:val="center"/>
            </w:pPr>
            <w:r w:rsidRPr="006D71D1">
              <w:t>N/A</w:t>
            </w:r>
          </w:p>
        </w:tc>
        <w:tc>
          <w:tcPr>
            <w:tcW w:w="1205" w:type="dxa"/>
            <w:shd w:val="clear" w:color="auto" w:fill="auto"/>
          </w:tcPr>
          <w:p w14:paraId="485A489E" w14:textId="77777777" w:rsidR="00113660" w:rsidRPr="006D71D1" w:rsidRDefault="00113660" w:rsidP="00C917C0">
            <w:pPr>
              <w:jc w:val="center"/>
            </w:pPr>
            <w:r w:rsidRPr="006D71D1">
              <w:t>5</w:t>
            </w:r>
          </w:p>
        </w:tc>
      </w:tr>
      <w:tr w:rsidR="00113660" w:rsidRPr="006D71D1" w14:paraId="485A48A4" w14:textId="77777777" w:rsidTr="00EF6C9E">
        <w:trPr>
          <w:jc w:val="center"/>
        </w:trPr>
        <w:tc>
          <w:tcPr>
            <w:tcW w:w="4252" w:type="dxa"/>
            <w:shd w:val="clear" w:color="auto" w:fill="auto"/>
          </w:tcPr>
          <w:p w14:paraId="485A48A0" w14:textId="77777777" w:rsidR="00113660" w:rsidRPr="006D71D1" w:rsidRDefault="00113660" w:rsidP="00C917C0">
            <w:r w:rsidRPr="006D71D1">
              <w:t>UK Gilts and Debt Management Office</w:t>
            </w:r>
          </w:p>
        </w:tc>
        <w:tc>
          <w:tcPr>
            <w:tcW w:w="2268" w:type="dxa"/>
          </w:tcPr>
          <w:p w14:paraId="485A48A1" w14:textId="07B3B229" w:rsidR="00113660" w:rsidRPr="006D71D1" w:rsidRDefault="00283FA6" w:rsidP="00C917C0">
            <w:pPr>
              <w:jc w:val="center"/>
            </w:pPr>
            <w:r w:rsidRPr="006D71D1">
              <w:t>n/a</w:t>
            </w:r>
          </w:p>
        </w:tc>
        <w:tc>
          <w:tcPr>
            <w:tcW w:w="1276" w:type="dxa"/>
            <w:shd w:val="clear" w:color="auto" w:fill="auto"/>
          </w:tcPr>
          <w:p w14:paraId="485A48A2" w14:textId="77777777" w:rsidR="00113660" w:rsidRPr="006D71D1" w:rsidRDefault="00113660" w:rsidP="00C917C0">
            <w:pPr>
              <w:jc w:val="center"/>
            </w:pPr>
            <w:r w:rsidRPr="006D71D1">
              <w:t>364 days</w:t>
            </w:r>
          </w:p>
        </w:tc>
        <w:tc>
          <w:tcPr>
            <w:tcW w:w="1205" w:type="dxa"/>
            <w:shd w:val="clear" w:color="auto" w:fill="auto"/>
          </w:tcPr>
          <w:p w14:paraId="485A48A3" w14:textId="77777777" w:rsidR="00113660" w:rsidRPr="006D71D1" w:rsidRDefault="00113660" w:rsidP="00C917C0">
            <w:pPr>
              <w:jc w:val="center"/>
            </w:pPr>
            <w:r w:rsidRPr="006D71D1">
              <w:t>5</w:t>
            </w:r>
          </w:p>
        </w:tc>
      </w:tr>
      <w:tr w:rsidR="00113660" w:rsidRPr="006D71D1" w14:paraId="485A48A9" w14:textId="77777777" w:rsidTr="00EF6C9E">
        <w:trPr>
          <w:jc w:val="center"/>
        </w:trPr>
        <w:tc>
          <w:tcPr>
            <w:tcW w:w="4252" w:type="dxa"/>
            <w:shd w:val="clear" w:color="auto" w:fill="auto"/>
          </w:tcPr>
          <w:p w14:paraId="485A48A5" w14:textId="77777777" w:rsidR="00113660" w:rsidRPr="006D71D1" w:rsidRDefault="00113660" w:rsidP="00C917C0">
            <w:r w:rsidRPr="006D71D1">
              <w:t>Local Authorities</w:t>
            </w:r>
          </w:p>
        </w:tc>
        <w:tc>
          <w:tcPr>
            <w:tcW w:w="2268" w:type="dxa"/>
          </w:tcPr>
          <w:p w14:paraId="485A48A6" w14:textId="77777777" w:rsidR="00113660" w:rsidRPr="006D71D1" w:rsidRDefault="00113660" w:rsidP="00C917C0">
            <w:pPr>
              <w:jc w:val="center"/>
            </w:pPr>
            <w:r w:rsidRPr="006D71D1">
              <w:t>n/a</w:t>
            </w:r>
          </w:p>
        </w:tc>
        <w:tc>
          <w:tcPr>
            <w:tcW w:w="1276" w:type="dxa"/>
            <w:shd w:val="clear" w:color="auto" w:fill="auto"/>
          </w:tcPr>
          <w:p w14:paraId="485A48A7" w14:textId="77777777" w:rsidR="00113660" w:rsidRPr="006D71D1" w:rsidRDefault="00113660" w:rsidP="00C917C0">
            <w:pPr>
              <w:jc w:val="center"/>
            </w:pPr>
            <w:r w:rsidRPr="006D71D1">
              <w:t>364 days</w:t>
            </w:r>
          </w:p>
        </w:tc>
        <w:tc>
          <w:tcPr>
            <w:tcW w:w="1205" w:type="dxa"/>
            <w:shd w:val="clear" w:color="auto" w:fill="auto"/>
          </w:tcPr>
          <w:p w14:paraId="485A48A8" w14:textId="77777777" w:rsidR="00113660" w:rsidRPr="006D71D1" w:rsidRDefault="00113660" w:rsidP="00C917C0">
            <w:pPr>
              <w:jc w:val="center"/>
            </w:pPr>
            <w:r w:rsidRPr="006D71D1">
              <w:t>1</w:t>
            </w:r>
          </w:p>
        </w:tc>
      </w:tr>
      <w:bookmarkEnd w:id="192"/>
    </w:tbl>
    <w:p w14:paraId="485A48AA" w14:textId="77777777" w:rsidR="00110003" w:rsidRPr="006D71D1" w:rsidRDefault="00110003" w:rsidP="006D2EED">
      <w:pPr>
        <w:ind w:left="720"/>
        <w:rPr>
          <w:bCs/>
        </w:rPr>
      </w:pPr>
    </w:p>
    <w:p w14:paraId="485A48AB" w14:textId="43A1A55D" w:rsidR="00E00863" w:rsidRPr="004D5CA8" w:rsidRDefault="00E00863" w:rsidP="00CF3182">
      <w:pPr>
        <w:ind w:left="567"/>
        <w:rPr>
          <w:bCs/>
          <w:highlight w:val="yellow"/>
        </w:rPr>
      </w:pPr>
      <w:r w:rsidRPr="006D71D1">
        <w:rPr>
          <w:bCs/>
        </w:rPr>
        <w:t xml:space="preserve">These ratings are checked weekly. Principal investments are limited to a maximum of £2m with any one financial institution. The rating requirements and investment limits for financial institutions </w:t>
      </w:r>
      <w:r w:rsidR="009440D5" w:rsidRPr="006D71D1">
        <w:rPr>
          <w:bCs/>
        </w:rPr>
        <w:t xml:space="preserve">are </w:t>
      </w:r>
      <w:r w:rsidR="00E877E5" w:rsidRPr="006D71D1">
        <w:rPr>
          <w:bCs/>
        </w:rPr>
        <w:t xml:space="preserve">reviewed annually </w:t>
      </w:r>
      <w:r w:rsidRPr="006D71D1">
        <w:rPr>
          <w:bCs/>
        </w:rPr>
        <w:t>to reduce the financial exposure with individual banks.</w:t>
      </w:r>
      <w:r w:rsidR="00E223C7" w:rsidRPr="006D71D1">
        <w:rPr>
          <w:bCs/>
        </w:rPr>
        <w:t xml:space="preserve"> The maximum invested at any one time during 20</w:t>
      </w:r>
      <w:r w:rsidR="002E634F" w:rsidRPr="006D71D1">
        <w:rPr>
          <w:bCs/>
        </w:rPr>
        <w:t>2</w:t>
      </w:r>
      <w:r w:rsidR="006D71D1" w:rsidRPr="006D71D1">
        <w:rPr>
          <w:bCs/>
        </w:rPr>
        <w:t>2</w:t>
      </w:r>
      <w:r w:rsidR="002E634F" w:rsidRPr="006D71D1">
        <w:rPr>
          <w:bCs/>
        </w:rPr>
        <w:t>/2</w:t>
      </w:r>
      <w:r w:rsidR="006D71D1" w:rsidRPr="006D71D1">
        <w:rPr>
          <w:bCs/>
        </w:rPr>
        <w:t>3</w:t>
      </w:r>
      <w:r w:rsidR="002E634F" w:rsidRPr="006D71D1">
        <w:rPr>
          <w:bCs/>
        </w:rPr>
        <w:t xml:space="preserve"> was £</w:t>
      </w:r>
      <w:r w:rsidR="006D71D1" w:rsidRPr="006D71D1">
        <w:rPr>
          <w:bCs/>
        </w:rPr>
        <w:t>5,509</w:t>
      </w:r>
      <w:r w:rsidR="005B704D" w:rsidRPr="006D71D1">
        <w:rPr>
          <w:bCs/>
        </w:rPr>
        <w:t>k</w:t>
      </w:r>
      <w:r w:rsidR="00E877E5" w:rsidRPr="006D71D1">
        <w:rPr>
          <w:bCs/>
        </w:rPr>
        <w:t xml:space="preserve"> (</w:t>
      </w:r>
      <w:r w:rsidR="000A6088" w:rsidRPr="006D71D1">
        <w:rPr>
          <w:bCs/>
        </w:rPr>
        <w:t>20</w:t>
      </w:r>
      <w:r w:rsidR="00283FA6" w:rsidRPr="006D71D1">
        <w:rPr>
          <w:bCs/>
        </w:rPr>
        <w:t>2</w:t>
      </w:r>
      <w:r w:rsidR="006D71D1" w:rsidRPr="006D71D1">
        <w:rPr>
          <w:bCs/>
        </w:rPr>
        <w:t>1</w:t>
      </w:r>
      <w:r w:rsidR="00283FA6" w:rsidRPr="006D71D1">
        <w:rPr>
          <w:bCs/>
        </w:rPr>
        <w:t>/2</w:t>
      </w:r>
      <w:r w:rsidR="006D71D1" w:rsidRPr="006D71D1">
        <w:rPr>
          <w:bCs/>
        </w:rPr>
        <w:t>2</w:t>
      </w:r>
      <w:r w:rsidR="002E634F" w:rsidRPr="006D71D1">
        <w:rPr>
          <w:bCs/>
        </w:rPr>
        <w:t xml:space="preserve"> £</w:t>
      </w:r>
      <w:r w:rsidR="006D71D1" w:rsidRPr="006D71D1">
        <w:rPr>
          <w:bCs/>
        </w:rPr>
        <w:t>4,514</w:t>
      </w:r>
      <w:r w:rsidR="00283FA6" w:rsidRPr="006D71D1">
        <w:rPr>
          <w:bCs/>
        </w:rPr>
        <w:t>k</w:t>
      </w:r>
      <w:r w:rsidR="002E634F" w:rsidRPr="006D71D1">
        <w:rPr>
          <w:bCs/>
        </w:rPr>
        <w:t>)</w:t>
      </w:r>
      <w:r w:rsidR="00E877E5" w:rsidRPr="006D71D1">
        <w:rPr>
          <w:bCs/>
        </w:rPr>
        <w:t>.</w:t>
      </w:r>
    </w:p>
    <w:p w14:paraId="485A48AC" w14:textId="77777777" w:rsidR="004B2F41" w:rsidRPr="004D5CA8" w:rsidRDefault="004B2F41" w:rsidP="00CF3182">
      <w:pPr>
        <w:ind w:left="567"/>
        <w:rPr>
          <w:bCs/>
          <w:highlight w:val="yellow"/>
        </w:rPr>
      </w:pPr>
    </w:p>
    <w:p w14:paraId="485A48AD" w14:textId="650823D0" w:rsidR="00E00863" w:rsidRPr="005C171C" w:rsidRDefault="00E00863" w:rsidP="00CF3182">
      <w:pPr>
        <w:ind w:left="567"/>
        <w:rPr>
          <w:bCs/>
        </w:rPr>
      </w:pPr>
      <w:r w:rsidRPr="005C171C">
        <w:rPr>
          <w:bCs/>
        </w:rPr>
        <w:t xml:space="preserve">The Authority’s standard terms and conditions for payment of invoices are 30 days from the invoice date. The Authority does not generally allow credit for </w:t>
      </w:r>
      <w:r w:rsidR="001A5EEA" w:rsidRPr="005C171C">
        <w:rPr>
          <w:bCs/>
        </w:rPr>
        <w:t>customers;</w:t>
      </w:r>
      <w:r w:rsidRPr="005C171C">
        <w:rPr>
          <w:bCs/>
        </w:rPr>
        <w:t xml:space="preserve"> </w:t>
      </w:r>
      <w:r w:rsidR="00074619" w:rsidRPr="005C171C">
        <w:rPr>
          <w:bCs/>
        </w:rPr>
        <w:t>however,</w:t>
      </w:r>
      <w:r w:rsidRPr="005C171C">
        <w:rPr>
          <w:bCs/>
        </w:rPr>
        <w:t xml:space="preserve"> £</w:t>
      </w:r>
      <w:r w:rsidR="005C171C" w:rsidRPr="005C171C">
        <w:rPr>
          <w:bCs/>
        </w:rPr>
        <w:t>136k</w:t>
      </w:r>
      <w:r w:rsidR="002E634F" w:rsidRPr="005C171C">
        <w:rPr>
          <w:bCs/>
        </w:rPr>
        <w:t xml:space="preserve"> </w:t>
      </w:r>
      <w:r w:rsidRPr="005C171C">
        <w:rPr>
          <w:bCs/>
        </w:rPr>
        <w:t>of the</w:t>
      </w:r>
      <w:r w:rsidR="002E634F" w:rsidRPr="005C171C">
        <w:rPr>
          <w:bCs/>
        </w:rPr>
        <w:t xml:space="preserve"> £</w:t>
      </w:r>
      <w:r w:rsidR="005C171C" w:rsidRPr="005C171C">
        <w:rPr>
          <w:bCs/>
        </w:rPr>
        <w:t>231k</w:t>
      </w:r>
      <w:r w:rsidR="002E634F" w:rsidRPr="005C171C">
        <w:rPr>
          <w:bCs/>
        </w:rPr>
        <w:t xml:space="preserve"> </w:t>
      </w:r>
      <w:r w:rsidRPr="005C171C">
        <w:rPr>
          <w:bCs/>
        </w:rPr>
        <w:t>customer balances at 31 March 20</w:t>
      </w:r>
      <w:r w:rsidR="002E634F" w:rsidRPr="005C171C">
        <w:rPr>
          <w:bCs/>
        </w:rPr>
        <w:t>2</w:t>
      </w:r>
      <w:r w:rsidR="005C171C" w:rsidRPr="005C171C">
        <w:rPr>
          <w:bCs/>
        </w:rPr>
        <w:t>3</w:t>
      </w:r>
      <w:r w:rsidRPr="005C171C">
        <w:rPr>
          <w:bCs/>
        </w:rPr>
        <w:t xml:space="preserve"> was past due. The past due element can be analysed as follows:</w:t>
      </w:r>
    </w:p>
    <w:p w14:paraId="485A48AE" w14:textId="77777777" w:rsidR="00E00863" w:rsidRPr="004D5CA8" w:rsidRDefault="00E00863" w:rsidP="006D2EED">
      <w:pPr>
        <w:rPr>
          <w:bCs/>
          <w:highlight w:val="yellow"/>
        </w:rPr>
      </w:pPr>
    </w:p>
    <w:tbl>
      <w:tblPr>
        <w:tblW w:w="4340" w:type="dxa"/>
        <w:jc w:val="center"/>
        <w:tblLook w:val="04A0" w:firstRow="1" w:lastRow="0" w:firstColumn="1" w:lastColumn="0" w:noHBand="0" w:noVBand="1"/>
      </w:tblPr>
      <w:tblGrid>
        <w:gridCol w:w="1360"/>
        <w:gridCol w:w="1820"/>
        <w:gridCol w:w="1160"/>
      </w:tblGrid>
      <w:tr w:rsidR="005C171C" w:rsidRPr="005C171C" w14:paraId="4590C192" w14:textId="77777777" w:rsidTr="005C171C">
        <w:trPr>
          <w:trHeight w:val="260"/>
          <w:jc w:val="center"/>
        </w:trPr>
        <w:tc>
          <w:tcPr>
            <w:tcW w:w="1360" w:type="dxa"/>
            <w:tcBorders>
              <w:top w:val="single" w:sz="4" w:space="0" w:color="auto"/>
              <w:left w:val="single" w:sz="4" w:space="0" w:color="auto"/>
              <w:bottom w:val="nil"/>
              <w:right w:val="nil"/>
            </w:tcBorders>
            <w:shd w:val="clear" w:color="000000" w:fill="000000"/>
            <w:noWrap/>
            <w:vAlign w:val="bottom"/>
            <w:hideMark/>
          </w:tcPr>
          <w:p w14:paraId="23EA1B08" w14:textId="77777777" w:rsidR="005C171C" w:rsidRPr="005C171C" w:rsidRDefault="005C171C" w:rsidP="005C171C">
            <w:pPr>
              <w:jc w:val="center"/>
              <w:rPr>
                <w:rFonts w:cs="Arial"/>
                <w:b/>
                <w:bCs/>
                <w:color w:val="FFFFFF"/>
                <w:sz w:val="20"/>
                <w:szCs w:val="20"/>
                <w:lang w:eastAsia="en-GB"/>
              </w:rPr>
            </w:pPr>
            <w:bookmarkStart w:id="193" w:name="_MON_1369553340"/>
            <w:bookmarkStart w:id="194" w:name="_MON_1369553348"/>
            <w:bookmarkStart w:id="195" w:name="_MON_1369553354"/>
            <w:bookmarkStart w:id="196" w:name="_MON_1369727972"/>
            <w:bookmarkStart w:id="197" w:name="_MON_1369727977"/>
            <w:bookmarkStart w:id="198" w:name="_MON_1369727990"/>
            <w:bookmarkStart w:id="199" w:name="_MON_1369727999"/>
            <w:bookmarkStart w:id="200" w:name="_MON_1395564308"/>
            <w:bookmarkStart w:id="201" w:name="_MON_1401183708"/>
            <w:bookmarkStart w:id="202" w:name="_MON_1401539372"/>
            <w:bookmarkStart w:id="203" w:name="_MON_1402138556"/>
            <w:bookmarkStart w:id="204" w:name="_MON_1406031737"/>
            <w:bookmarkStart w:id="205" w:name="_MON_1406031801"/>
            <w:bookmarkStart w:id="206" w:name="_MON_1429982394"/>
            <w:bookmarkStart w:id="207" w:name="_MON_1431796662"/>
            <w:bookmarkStart w:id="208" w:name="_MON_1362489985"/>
            <w:bookmarkStart w:id="209" w:name="_MON_1368536747"/>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5C171C">
              <w:rPr>
                <w:rFonts w:cs="Arial"/>
                <w:b/>
                <w:bCs/>
                <w:color w:val="FFFFFF"/>
                <w:sz w:val="20"/>
                <w:szCs w:val="20"/>
                <w:lang w:eastAsia="en-GB"/>
              </w:rPr>
              <w:t>31-Mar-22</w:t>
            </w:r>
          </w:p>
        </w:tc>
        <w:tc>
          <w:tcPr>
            <w:tcW w:w="1820" w:type="dxa"/>
            <w:tcBorders>
              <w:top w:val="single" w:sz="4" w:space="0" w:color="auto"/>
              <w:left w:val="nil"/>
              <w:bottom w:val="nil"/>
              <w:right w:val="nil"/>
            </w:tcBorders>
            <w:shd w:val="clear" w:color="000000" w:fill="000000"/>
            <w:noWrap/>
            <w:vAlign w:val="bottom"/>
            <w:hideMark/>
          </w:tcPr>
          <w:p w14:paraId="671BD9DF" w14:textId="77777777" w:rsidR="005C171C" w:rsidRPr="005C171C" w:rsidRDefault="005C171C" w:rsidP="005C171C">
            <w:pPr>
              <w:jc w:val="center"/>
              <w:rPr>
                <w:rFonts w:cs="Arial"/>
                <w:b/>
                <w:bCs/>
                <w:color w:val="FFFFFF"/>
                <w:sz w:val="20"/>
                <w:szCs w:val="20"/>
                <w:lang w:eastAsia="en-GB"/>
              </w:rPr>
            </w:pPr>
            <w:r w:rsidRPr="005C171C">
              <w:rPr>
                <w:rFonts w:cs="Arial"/>
                <w:b/>
                <w:bCs/>
                <w:color w:val="FFFFFF"/>
                <w:sz w:val="20"/>
                <w:szCs w:val="20"/>
                <w:lang w:eastAsia="en-GB"/>
              </w:rPr>
              <w:t>Days past due</w:t>
            </w:r>
          </w:p>
        </w:tc>
        <w:tc>
          <w:tcPr>
            <w:tcW w:w="1160" w:type="dxa"/>
            <w:tcBorders>
              <w:top w:val="single" w:sz="4" w:space="0" w:color="auto"/>
              <w:left w:val="nil"/>
              <w:bottom w:val="nil"/>
              <w:right w:val="single" w:sz="4" w:space="0" w:color="auto"/>
            </w:tcBorders>
            <w:shd w:val="clear" w:color="000000" w:fill="000000"/>
            <w:noWrap/>
            <w:vAlign w:val="bottom"/>
            <w:hideMark/>
          </w:tcPr>
          <w:p w14:paraId="3282234B" w14:textId="77777777" w:rsidR="005C171C" w:rsidRPr="005C171C" w:rsidRDefault="005C171C" w:rsidP="005C171C">
            <w:pPr>
              <w:jc w:val="center"/>
              <w:rPr>
                <w:rFonts w:cs="Arial"/>
                <w:b/>
                <w:bCs/>
                <w:color w:val="FFFFFF"/>
                <w:sz w:val="20"/>
                <w:szCs w:val="20"/>
                <w:lang w:eastAsia="en-GB"/>
              </w:rPr>
            </w:pPr>
            <w:r w:rsidRPr="005C171C">
              <w:rPr>
                <w:rFonts w:cs="Arial"/>
                <w:b/>
                <w:bCs/>
                <w:color w:val="FFFFFF"/>
                <w:sz w:val="20"/>
                <w:szCs w:val="20"/>
                <w:lang w:eastAsia="en-GB"/>
              </w:rPr>
              <w:t>31-Mar-23</w:t>
            </w:r>
          </w:p>
        </w:tc>
      </w:tr>
      <w:tr w:rsidR="005C171C" w:rsidRPr="005C171C" w14:paraId="394AEA0A" w14:textId="77777777" w:rsidTr="005C171C">
        <w:trPr>
          <w:trHeight w:val="260"/>
          <w:jc w:val="center"/>
        </w:trPr>
        <w:tc>
          <w:tcPr>
            <w:tcW w:w="1360" w:type="dxa"/>
            <w:tcBorders>
              <w:top w:val="nil"/>
              <w:left w:val="single" w:sz="4" w:space="0" w:color="auto"/>
              <w:bottom w:val="nil"/>
              <w:right w:val="nil"/>
            </w:tcBorders>
            <w:shd w:val="clear" w:color="000000" w:fill="000000"/>
            <w:noWrap/>
            <w:vAlign w:val="bottom"/>
            <w:hideMark/>
          </w:tcPr>
          <w:p w14:paraId="5D5EE943" w14:textId="77777777" w:rsidR="005C171C" w:rsidRPr="005C171C" w:rsidRDefault="005C171C" w:rsidP="005C171C">
            <w:pPr>
              <w:jc w:val="center"/>
              <w:rPr>
                <w:rFonts w:cs="Arial"/>
                <w:b/>
                <w:bCs/>
                <w:color w:val="FFFFFF"/>
                <w:sz w:val="20"/>
                <w:szCs w:val="20"/>
                <w:lang w:eastAsia="en-GB"/>
              </w:rPr>
            </w:pPr>
            <w:r w:rsidRPr="005C171C">
              <w:rPr>
                <w:rFonts w:cs="Arial"/>
                <w:b/>
                <w:bCs/>
                <w:color w:val="FFFFFF"/>
                <w:sz w:val="20"/>
                <w:szCs w:val="20"/>
                <w:lang w:eastAsia="en-GB"/>
              </w:rPr>
              <w:t>£000</w:t>
            </w:r>
          </w:p>
        </w:tc>
        <w:tc>
          <w:tcPr>
            <w:tcW w:w="1820" w:type="dxa"/>
            <w:tcBorders>
              <w:top w:val="nil"/>
              <w:left w:val="nil"/>
              <w:bottom w:val="nil"/>
              <w:right w:val="nil"/>
            </w:tcBorders>
            <w:shd w:val="clear" w:color="000000" w:fill="000000"/>
            <w:noWrap/>
            <w:vAlign w:val="bottom"/>
            <w:hideMark/>
          </w:tcPr>
          <w:p w14:paraId="1D278669" w14:textId="77777777" w:rsidR="005C171C" w:rsidRPr="005C171C" w:rsidRDefault="005C171C" w:rsidP="005C171C">
            <w:pPr>
              <w:jc w:val="center"/>
              <w:rPr>
                <w:rFonts w:cs="Arial"/>
                <w:b/>
                <w:bCs/>
                <w:color w:val="FFFFFF"/>
                <w:sz w:val="20"/>
                <w:szCs w:val="20"/>
                <w:lang w:eastAsia="en-GB"/>
              </w:rPr>
            </w:pPr>
            <w:r w:rsidRPr="005C171C">
              <w:rPr>
                <w:rFonts w:cs="Arial"/>
                <w:b/>
                <w:bCs/>
                <w:color w:val="FFFFFF"/>
                <w:sz w:val="20"/>
                <w:szCs w:val="20"/>
                <w:lang w:eastAsia="en-GB"/>
              </w:rPr>
              <w:t> </w:t>
            </w:r>
          </w:p>
        </w:tc>
        <w:tc>
          <w:tcPr>
            <w:tcW w:w="1160" w:type="dxa"/>
            <w:tcBorders>
              <w:top w:val="nil"/>
              <w:left w:val="nil"/>
              <w:bottom w:val="nil"/>
              <w:right w:val="single" w:sz="4" w:space="0" w:color="auto"/>
            </w:tcBorders>
            <w:shd w:val="clear" w:color="000000" w:fill="000000"/>
            <w:noWrap/>
            <w:vAlign w:val="bottom"/>
            <w:hideMark/>
          </w:tcPr>
          <w:p w14:paraId="105C202C" w14:textId="77777777" w:rsidR="005C171C" w:rsidRPr="005C171C" w:rsidRDefault="005C171C" w:rsidP="005C171C">
            <w:pPr>
              <w:jc w:val="center"/>
              <w:rPr>
                <w:rFonts w:cs="Arial"/>
                <w:b/>
                <w:bCs/>
                <w:color w:val="FFFFFF"/>
                <w:sz w:val="20"/>
                <w:szCs w:val="20"/>
                <w:lang w:eastAsia="en-GB"/>
              </w:rPr>
            </w:pPr>
            <w:r w:rsidRPr="005C171C">
              <w:rPr>
                <w:rFonts w:cs="Arial"/>
                <w:b/>
                <w:bCs/>
                <w:color w:val="FFFFFF"/>
                <w:sz w:val="20"/>
                <w:szCs w:val="20"/>
                <w:lang w:eastAsia="en-GB"/>
              </w:rPr>
              <w:t>£000</w:t>
            </w:r>
          </w:p>
        </w:tc>
      </w:tr>
      <w:tr w:rsidR="005C171C" w:rsidRPr="005C171C" w14:paraId="470B0819" w14:textId="77777777" w:rsidTr="005C171C">
        <w:trPr>
          <w:trHeight w:val="250"/>
          <w:jc w:val="center"/>
        </w:trPr>
        <w:tc>
          <w:tcPr>
            <w:tcW w:w="1360" w:type="dxa"/>
            <w:tcBorders>
              <w:top w:val="nil"/>
              <w:left w:val="single" w:sz="4" w:space="0" w:color="auto"/>
              <w:bottom w:val="nil"/>
              <w:right w:val="nil"/>
            </w:tcBorders>
            <w:shd w:val="clear" w:color="auto" w:fill="auto"/>
            <w:noWrap/>
            <w:vAlign w:val="bottom"/>
            <w:hideMark/>
          </w:tcPr>
          <w:p w14:paraId="0A014200" w14:textId="77777777" w:rsidR="005C171C" w:rsidRPr="005C171C" w:rsidRDefault="005C171C" w:rsidP="005C171C">
            <w:pPr>
              <w:rPr>
                <w:rFonts w:cs="Arial"/>
                <w:sz w:val="20"/>
                <w:szCs w:val="20"/>
                <w:lang w:eastAsia="en-GB"/>
              </w:rPr>
            </w:pPr>
            <w:r w:rsidRPr="005C171C">
              <w:rPr>
                <w:rFonts w:cs="Arial"/>
                <w:sz w:val="20"/>
                <w:szCs w:val="20"/>
                <w:lang w:eastAsia="en-GB"/>
              </w:rPr>
              <w:t> </w:t>
            </w:r>
          </w:p>
        </w:tc>
        <w:tc>
          <w:tcPr>
            <w:tcW w:w="1820" w:type="dxa"/>
            <w:tcBorders>
              <w:top w:val="nil"/>
              <w:left w:val="nil"/>
              <w:bottom w:val="nil"/>
              <w:right w:val="nil"/>
            </w:tcBorders>
            <w:shd w:val="clear" w:color="auto" w:fill="auto"/>
            <w:noWrap/>
            <w:vAlign w:val="bottom"/>
            <w:hideMark/>
          </w:tcPr>
          <w:p w14:paraId="6D4DAE99" w14:textId="77777777" w:rsidR="005C171C" w:rsidRPr="005C171C" w:rsidRDefault="005C171C" w:rsidP="005C171C">
            <w:pPr>
              <w:rPr>
                <w:rFonts w:cs="Arial"/>
                <w:sz w:val="20"/>
                <w:szCs w:val="20"/>
                <w:lang w:eastAsia="en-GB"/>
              </w:rPr>
            </w:pPr>
          </w:p>
        </w:tc>
        <w:tc>
          <w:tcPr>
            <w:tcW w:w="1160" w:type="dxa"/>
            <w:tcBorders>
              <w:top w:val="nil"/>
              <w:left w:val="nil"/>
              <w:bottom w:val="nil"/>
              <w:right w:val="single" w:sz="4" w:space="0" w:color="auto"/>
            </w:tcBorders>
            <w:shd w:val="clear" w:color="auto" w:fill="auto"/>
            <w:noWrap/>
            <w:vAlign w:val="bottom"/>
            <w:hideMark/>
          </w:tcPr>
          <w:p w14:paraId="5830110D" w14:textId="77777777" w:rsidR="005C171C" w:rsidRPr="005C171C" w:rsidRDefault="005C171C" w:rsidP="005C171C">
            <w:pPr>
              <w:rPr>
                <w:rFonts w:cs="Arial"/>
                <w:sz w:val="20"/>
                <w:szCs w:val="20"/>
                <w:lang w:eastAsia="en-GB"/>
              </w:rPr>
            </w:pPr>
            <w:r w:rsidRPr="005C171C">
              <w:rPr>
                <w:rFonts w:cs="Arial"/>
                <w:sz w:val="20"/>
                <w:szCs w:val="20"/>
                <w:lang w:eastAsia="en-GB"/>
              </w:rPr>
              <w:t> </w:t>
            </w:r>
          </w:p>
        </w:tc>
      </w:tr>
      <w:tr w:rsidR="005C171C" w:rsidRPr="005C171C" w14:paraId="0A9632D9" w14:textId="77777777" w:rsidTr="005C171C">
        <w:trPr>
          <w:trHeight w:val="250"/>
          <w:jc w:val="center"/>
        </w:trPr>
        <w:tc>
          <w:tcPr>
            <w:tcW w:w="1360" w:type="dxa"/>
            <w:tcBorders>
              <w:top w:val="nil"/>
              <w:left w:val="single" w:sz="4" w:space="0" w:color="auto"/>
              <w:bottom w:val="nil"/>
              <w:right w:val="nil"/>
            </w:tcBorders>
            <w:shd w:val="clear" w:color="auto" w:fill="auto"/>
            <w:noWrap/>
            <w:vAlign w:val="bottom"/>
            <w:hideMark/>
          </w:tcPr>
          <w:p w14:paraId="0D4281E6" w14:textId="77777777" w:rsidR="005C171C" w:rsidRPr="005C171C" w:rsidRDefault="005C171C" w:rsidP="005C171C">
            <w:pPr>
              <w:jc w:val="center"/>
              <w:rPr>
                <w:rFonts w:cs="Arial"/>
                <w:sz w:val="20"/>
                <w:szCs w:val="20"/>
                <w:lang w:eastAsia="en-GB"/>
              </w:rPr>
            </w:pPr>
            <w:r w:rsidRPr="005C171C">
              <w:rPr>
                <w:rFonts w:cs="Arial"/>
                <w:sz w:val="20"/>
                <w:szCs w:val="20"/>
                <w:lang w:eastAsia="en-GB"/>
              </w:rPr>
              <w:t>1</w:t>
            </w:r>
          </w:p>
        </w:tc>
        <w:tc>
          <w:tcPr>
            <w:tcW w:w="1820" w:type="dxa"/>
            <w:tcBorders>
              <w:top w:val="nil"/>
              <w:left w:val="nil"/>
              <w:bottom w:val="nil"/>
              <w:right w:val="nil"/>
            </w:tcBorders>
            <w:shd w:val="clear" w:color="auto" w:fill="auto"/>
            <w:noWrap/>
            <w:vAlign w:val="bottom"/>
            <w:hideMark/>
          </w:tcPr>
          <w:p w14:paraId="4B7E0DB9" w14:textId="77777777" w:rsidR="005C171C" w:rsidRPr="005C171C" w:rsidRDefault="005C171C" w:rsidP="005C171C">
            <w:pPr>
              <w:jc w:val="center"/>
              <w:rPr>
                <w:rFonts w:cs="Arial"/>
                <w:sz w:val="20"/>
                <w:szCs w:val="20"/>
                <w:lang w:eastAsia="en-GB"/>
              </w:rPr>
            </w:pPr>
            <w:r w:rsidRPr="005C171C">
              <w:rPr>
                <w:rFonts w:cs="Arial"/>
                <w:sz w:val="20"/>
                <w:szCs w:val="20"/>
                <w:lang w:eastAsia="en-GB"/>
              </w:rPr>
              <w:t>31-60 days</w:t>
            </w:r>
          </w:p>
        </w:tc>
        <w:tc>
          <w:tcPr>
            <w:tcW w:w="1160" w:type="dxa"/>
            <w:tcBorders>
              <w:top w:val="nil"/>
              <w:left w:val="nil"/>
              <w:bottom w:val="nil"/>
              <w:right w:val="single" w:sz="4" w:space="0" w:color="auto"/>
            </w:tcBorders>
            <w:shd w:val="clear" w:color="auto" w:fill="auto"/>
            <w:noWrap/>
            <w:vAlign w:val="bottom"/>
            <w:hideMark/>
          </w:tcPr>
          <w:p w14:paraId="3DE162C0" w14:textId="77777777" w:rsidR="005C171C" w:rsidRPr="005C171C" w:rsidRDefault="005C171C" w:rsidP="005C171C">
            <w:pPr>
              <w:jc w:val="center"/>
              <w:rPr>
                <w:rFonts w:cs="Arial"/>
                <w:sz w:val="20"/>
                <w:szCs w:val="20"/>
                <w:lang w:eastAsia="en-GB"/>
              </w:rPr>
            </w:pPr>
            <w:r w:rsidRPr="005C171C">
              <w:rPr>
                <w:rFonts w:cs="Arial"/>
                <w:sz w:val="20"/>
                <w:szCs w:val="20"/>
                <w:lang w:eastAsia="en-GB"/>
              </w:rPr>
              <w:t>0</w:t>
            </w:r>
          </w:p>
        </w:tc>
      </w:tr>
      <w:tr w:rsidR="005C171C" w:rsidRPr="005C171C" w14:paraId="07F95CC5" w14:textId="77777777" w:rsidTr="005C171C">
        <w:trPr>
          <w:trHeight w:val="250"/>
          <w:jc w:val="center"/>
        </w:trPr>
        <w:tc>
          <w:tcPr>
            <w:tcW w:w="1360" w:type="dxa"/>
            <w:tcBorders>
              <w:top w:val="nil"/>
              <w:left w:val="single" w:sz="4" w:space="0" w:color="auto"/>
              <w:bottom w:val="nil"/>
              <w:right w:val="nil"/>
            </w:tcBorders>
            <w:shd w:val="clear" w:color="auto" w:fill="auto"/>
            <w:noWrap/>
            <w:vAlign w:val="bottom"/>
            <w:hideMark/>
          </w:tcPr>
          <w:p w14:paraId="3F29732B" w14:textId="77777777" w:rsidR="005C171C" w:rsidRPr="005C171C" w:rsidRDefault="005C171C" w:rsidP="005C171C">
            <w:pPr>
              <w:jc w:val="center"/>
              <w:rPr>
                <w:rFonts w:cs="Arial"/>
                <w:sz w:val="20"/>
                <w:szCs w:val="20"/>
                <w:lang w:eastAsia="en-GB"/>
              </w:rPr>
            </w:pPr>
            <w:r w:rsidRPr="005C171C">
              <w:rPr>
                <w:rFonts w:cs="Arial"/>
                <w:sz w:val="20"/>
                <w:szCs w:val="20"/>
                <w:lang w:eastAsia="en-GB"/>
              </w:rPr>
              <w:t>0</w:t>
            </w:r>
          </w:p>
        </w:tc>
        <w:tc>
          <w:tcPr>
            <w:tcW w:w="1820" w:type="dxa"/>
            <w:tcBorders>
              <w:top w:val="nil"/>
              <w:left w:val="nil"/>
              <w:bottom w:val="nil"/>
              <w:right w:val="nil"/>
            </w:tcBorders>
            <w:shd w:val="clear" w:color="auto" w:fill="auto"/>
            <w:noWrap/>
            <w:vAlign w:val="bottom"/>
            <w:hideMark/>
          </w:tcPr>
          <w:p w14:paraId="34340546" w14:textId="77777777" w:rsidR="005C171C" w:rsidRPr="005C171C" w:rsidRDefault="005C171C" w:rsidP="005C171C">
            <w:pPr>
              <w:jc w:val="center"/>
              <w:rPr>
                <w:rFonts w:cs="Arial"/>
                <w:sz w:val="20"/>
                <w:szCs w:val="20"/>
                <w:lang w:eastAsia="en-GB"/>
              </w:rPr>
            </w:pPr>
            <w:r w:rsidRPr="005C171C">
              <w:rPr>
                <w:rFonts w:cs="Arial"/>
                <w:sz w:val="20"/>
                <w:szCs w:val="20"/>
                <w:lang w:eastAsia="en-GB"/>
              </w:rPr>
              <w:t>61-90 days</w:t>
            </w:r>
          </w:p>
        </w:tc>
        <w:tc>
          <w:tcPr>
            <w:tcW w:w="1160" w:type="dxa"/>
            <w:tcBorders>
              <w:top w:val="nil"/>
              <w:left w:val="nil"/>
              <w:bottom w:val="nil"/>
              <w:right w:val="single" w:sz="4" w:space="0" w:color="auto"/>
            </w:tcBorders>
            <w:shd w:val="clear" w:color="auto" w:fill="auto"/>
            <w:noWrap/>
            <w:vAlign w:val="bottom"/>
            <w:hideMark/>
          </w:tcPr>
          <w:p w14:paraId="4ABB214D" w14:textId="77777777" w:rsidR="005C171C" w:rsidRPr="005C171C" w:rsidRDefault="005C171C" w:rsidP="005C171C">
            <w:pPr>
              <w:jc w:val="center"/>
              <w:rPr>
                <w:rFonts w:cs="Arial"/>
                <w:sz w:val="20"/>
                <w:szCs w:val="20"/>
                <w:lang w:eastAsia="en-GB"/>
              </w:rPr>
            </w:pPr>
            <w:r w:rsidRPr="005C171C">
              <w:rPr>
                <w:rFonts w:cs="Arial"/>
                <w:sz w:val="20"/>
                <w:szCs w:val="20"/>
                <w:lang w:eastAsia="en-GB"/>
              </w:rPr>
              <w:t>42</w:t>
            </w:r>
          </w:p>
        </w:tc>
      </w:tr>
      <w:tr w:rsidR="005C171C" w:rsidRPr="005C171C" w14:paraId="14F29A96" w14:textId="77777777" w:rsidTr="005C171C">
        <w:trPr>
          <w:trHeight w:val="250"/>
          <w:jc w:val="center"/>
        </w:trPr>
        <w:tc>
          <w:tcPr>
            <w:tcW w:w="1360" w:type="dxa"/>
            <w:tcBorders>
              <w:top w:val="nil"/>
              <w:left w:val="single" w:sz="4" w:space="0" w:color="auto"/>
              <w:bottom w:val="nil"/>
              <w:right w:val="nil"/>
            </w:tcBorders>
            <w:shd w:val="clear" w:color="auto" w:fill="auto"/>
            <w:noWrap/>
            <w:vAlign w:val="bottom"/>
            <w:hideMark/>
          </w:tcPr>
          <w:p w14:paraId="0468A439" w14:textId="77777777" w:rsidR="005C171C" w:rsidRPr="005C171C" w:rsidRDefault="005C171C" w:rsidP="005C171C">
            <w:pPr>
              <w:jc w:val="center"/>
              <w:rPr>
                <w:rFonts w:cs="Arial"/>
                <w:sz w:val="20"/>
                <w:szCs w:val="20"/>
                <w:lang w:eastAsia="en-GB"/>
              </w:rPr>
            </w:pPr>
            <w:r w:rsidRPr="005C171C">
              <w:rPr>
                <w:rFonts w:cs="Arial"/>
                <w:sz w:val="20"/>
                <w:szCs w:val="20"/>
                <w:lang w:eastAsia="en-GB"/>
              </w:rPr>
              <w:t>3</w:t>
            </w:r>
          </w:p>
        </w:tc>
        <w:tc>
          <w:tcPr>
            <w:tcW w:w="1820" w:type="dxa"/>
            <w:tcBorders>
              <w:top w:val="nil"/>
              <w:left w:val="nil"/>
              <w:bottom w:val="nil"/>
              <w:right w:val="nil"/>
            </w:tcBorders>
            <w:shd w:val="clear" w:color="auto" w:fill="auto"/>
            <w:noWrap/>
            <w:vAlign w:val="bottom"/>
            <w:hideMark/>
          </w:tcPr>
          <w:p w14:paraId="3D70CA17" w14:textId="77777777" w:rsidR="005C171C" w:rsidRPr="005C171C" w:rsidRDefault="005C171C" w:rsidP="005C171C">
            <w:pPr>
              <w:jc w:val="center"/>
              <w:rPr>
                <w:rFonts w:cs="Arial"/>
                <w:sz w:val="20"/>
                <w:szCs w:val="20"/>
                <w:lang w:eastAsia="en-GB"/>
              </w:rPr>
            </w:pPr>
            <w:r w:rsidRPr="005C171C">
              <w:rPr>
                <w:rFonts w:cs="Arial"/>
                <w:sz w:val="20"/>
                <w:szCs w:val="20"/>
                <w:lang w:eastAsia="en-GB"/>
              </w:rPr>
              <w:t>91-120 days</w:t>
            </w:r>
          </w:p>
        </w:tc>
        <w:tc>
          <w:tcPr>
            <w:tcW w:w="1160" w:type="dxa"/>
            <w:tcBorders>
              <w:top w:val="nil"/>
              <w:left w:val="nil"/>
              <w:bottom w:val="nil"/>
              <w:right w:val="single" w:sz="4" w:space="0" w:color="auto"/>
            </w:tcBorders>
            <w:shd w:val="clear" w:color="auto" w:fill="auto"/>
            <w:noWrap/>
            <w:vAlign w:val="bottom"/>
            <w:hideMark/>
          </w:tcPr>
          <w:p w14:paraId="2B05B4B7" w14:textId="77777777" w:rsidR="005C171C" w:rsidRPr="005C171C" w:rsidRDefault="005C171C" w:rsidP="005C171C">
            <w:pPr>
              <w:jc w:val="center"/>
              <w:rPr>
                <w:rFonts w:cs="Arial"/>
                <w:sz w:val="20"/>
                <w:szCs w:val="20"/>
                <w:lang w:eastAsia="en-GB"/>
              </w:rPr>
            </w:pPr>
            <w:r w:rsidRPr="005C171C">
              <w:rPr>
                <w:rFonts w:cs="Arial"/>
                <w:sz w:val="20"/>
                <w:szCs w:val="20"/>
                <w:lang w:eastAsia="en-GB"/>
              </w:rPr>
              <w:t>66</w:t>
            </w:r>
          </w:p>
        </w:tc>
      </w:tr>
      <w:tr w:rsidR="005C171C" w:rsidRPr="005C171C" w14:paraId="1047AE28" w14:textId="77777777" w:rsidTr="005C171C">
        <w:trPr>
          <w:trHeight w:val="250"/>
          <w:jc w:val="center"/>
        </w:trPr>
        <w:tc>
          <w:tcPr>
            <w:tcW w:w="1360" w:type="dxa"/>
            <w:tcBorders>
              <w:top w:val="nil"/>
              <w:left w:val="single" w:sz="4" w:space="0" w:color="auto"/>
              <w:bottom w:val="single" w:sz="4" w:space="0" w:color="auto"/>
              <w:right w:val="nil"/>
            </w:tcBorders>
            <w:shd w:val="clear" w:color="auto" w:fill="auto"/>
            <w:noWrap/>
            <w:vAlign w:val="bottom"/>
            <w:hideMark/>
          </w:tcPr>
          <w:p w14:paraId="3A21389F" w14:textId="77777777" w:rsidR="005C171C" w:rsidRPr="005C171C" w:rsidRDefault="005C171C" w:rsidP="005C171C">
            <w:pPr>
              <w:jc w:val="center"/>
              <w:rPr>
                <w:rFonts w:cs="Arial"/>
                <w:sz w:val="20"/>
                <w:szCs w:val="20"/>
                <w:lang w:eastAsia="en-GB"/>
              </w:rPr>
            </w:pPr>
            <w:r w:rsidRPr="005C171C">
              <w:rPr>
                <w:rFonts w:cs="Arial"/>
                <w:sz w:val="20"/>
                <w:szCs w:val="20"/>
                <w:lang w:eastAsia="en-GB"/>
              </w:rPr>
              <w:t>31</w:t>
            </w:r>
          </w:p>
        </w:tc>
        <w:tc>
          <w:tcPr>
            <w:tcW w:w="1820" w:type="dxa"/>
            <w:tcBorders>
              <w:top w:val="nil"/>
              <w:left w:val="nil"/>
              <w:bottom w:val="single" w:sz="4" w:space="0" w:color="auto"/>
              <w:right w:val="nil"/>
            </w:tcBorders>
            <w:shd w:val="clear" w:color="auto" w:fill="auto"/>
            <w:noWrap/>
            <w:vAlign w:val="bottom"/>
            <w:hideMark/>
          </w:tcPr>
          <w:p w14:paraId="2785F438" w14:textId="77777777" w:rsidR="005C171C" w:rsidRPr="005C171C" w:rsidRDefault="005C171C" w:rsidP="005C171C">
            <w:pPr>
              <w:jc w:val="center"/>
              <w:rPr>
                <w:rFonts w:cs="Arial"/>
                <w:sz w:val="20"/>
                <w:szCs w:val="20"/>
                <w:lang w:eastAsia="en-GB"/>
              </w:rPr>
            </w:pPr>
            <w:r w:rsidRPr="005C171C">
              <w:rPr>
                <w:rFonts w:cs="Arial"/>
                <w:sz w:val="20"/>
                <w:szCs w:val="20"/>
                <w:lang w:eastAsia="en-GB"/>
              </w:rPr>
              <w:t>Over 120 days</w:t>
            </w:r>
          </w:p>
        </w:tc>
        <w:tc>
          <w:tcPr>
            <w:tcW w:w="1160" w:type="dxa"/>
            <w:tcBorders>
              <w:top w:val="nil"/>
              <w:left w:val="nil"/>
              <w:bottom w:val="single" w:sz="4" w:space="0" w:color="auto"/>
              <w:right w:val="single" w:sz="4" w:space="0" w:color="auto"/>
            </w:tcBorders>
            <w:shd w:val="clear" w:color="auto" w:fill="auto"/>
            <w:noWrap/>
            <w:vAlign w:val="bottom"/>
            <w:hideMark/>
          </w:tcPr>
          <w:p w14:paraId="58F6D49F" w14:textId="77777777" w:rsidR="005C171C" w:rsidRPr="005C171C" w:rsidRDefault="005C171C" w:rsidP="005C171C">
            <w:pPr>
              <w:jc w:val="center"/>
              <w:rPr>
                <w:rFonts w:cs="Arial"/>
                <w:sz w:val="20"/>
                <w:szCs w:val="20"/>
                <w:lang w:eastAsia="en-GB"/>
              </w:rPr>
            </w:pPr>
            <w:r w:rsidRPr="005C171C">
              <w:rPr>
                <w:rFonts w:cs="Arial"/>
                <w:sz w:val="20"/>
                <w:szCs w:val="20"/>
                <w:lang w:eastAsia="en-GB"/>
              </w:rPr>
              <w:t>28</w:t>
            </w:r>
          </w:p>
        </w:tc>
      </w:tr>
    </w:tbl>
    <w:p w14:paraId="485A48AF" w14:textId="0452C1CD" w:rsidR="00E00863" w:rsidRPr="004D5CA8" w:rsidRDefault="00E00863" w:rsidP="005C4E2E">
      <w:pPr>
        <w:jc w:val="center"/>
        <w:rPr>
          <w:bCs/>
          <w:highlight w:val="yellow"/>
        </w:rPr>
      </w:pPr>
    </w:p>
    <w:p w14:paraId="485A48B0" w14:textId="77777777" w:rsidR="0057611B" w:rsidRPr="004D5CA8" w:rsidRDefault="0057611B" w:rsidP="005C4E2E">
      <w:pPr>
        <w:jc w:val="center"/>
        <w:rPr>
          <w:bCs/>
          <w:highlight w:val="yellow"/>
        </w:rPr>
      </w:pPr>
    </w:p>
    <w:p w14:paraId="485A48B1" w14:textId="6788DA72" w:rsidR="004666DC" w:rsidRPr="005C171C" w:rsidRDefault="00307A1B" w:rsidP="00CF3182">
      <w:pPr>
        <w:ind w:left="567"/>
        <w:rPr>
          <w:bCs/>
        </w:rPr>
      </w:pPr>
      <w:r w:rsidRPr="005C171C">
        <w:rPr>
          <w:bCs/>
        </w:rPr>
        <w:t>The credit quality of</w:t>
      </w:r>
      <w:r w:rsidR="009440D5" w:rsidRPr="005C171C">
        <w:rPr>
          <w:bCs/>
        </w:rPr>
        <w:t xml:space="preserve"> other</w:t>
      </w:r>
      <w:r w:rsidRPr="005C171C">
        <w:rPr>
          <w:bCs/>
        </w:rPr>
        <w:t xml:space="preserve"> financial assets is considered to be very high given the low rate of debt write off. </w:t>
      </w:r>
      <w:r w:rsidR="00E00863" w:rsidRPr="005C171C">
        <w:rPr>
          <w:bCs/>
        </w:rPr>
        <w:t xml:space="preserve">Historical experience of default with regard to trade receivables </w:t>
      </w:r>
      <w:r w:rsidR="00074619" w:rsidRPr="005C171C">
        <w:rPr>
          <w:bCs/>
        </w:rPr>
        <w:t>and an analysis of the debt outstanding at 31 March 20</w:t>
      </w:r>
      <w:r w:rsidR="00471A51" w:rsidRPr="005C171C">
        <w:rPr>
          <w:bCs/>
        </w:rPr>
        <w:t>2</w:t>
      </w:r>
      <w:r w:rsidR="005C171C" w:rsidRPr="005C171C">
        <w:rPr>
          <w:bCs/>
        </w:rPr>
        <w:t>3</w:t>
      </w:r>
      <w:r w:rsidR="00074619" w:rsidRPr="005C171C">
        <w:rPr>
          <w:bCs/>
        </w:rPr>
        <w:t xml:space="preserve"> </w:t>
      </w:r>
      <w:r w:rsidR="00E00863" w:rsidRPr="005C171C">
        <w:rPr>
          <w:bCs/>
        </w:rPr>
        <w:t xml:space="preserve">shows that </w:t>
      </w:r>
      <w:r w:rsidR="001454CC" w:rsidRPr="005C171C">
        <w:rPr>
          <w:bCs/>
        </w:rPr>
        <w:t xml:space="preserve">an </w:t>
      </w:r>
      <w:r w:rsidR="00081534" w:rsidRPr="005C171C">
        <w:rPr>
          <w:bCs/>
        </w:rPr>
        <w:t>allowance for credit losses</w:t>
      </w:r>
      <w:r w:rsidR="00E00863" w:rsidRPr="005C171C">
        <w:rPr>
          <w:bCs/>
        </w:rPr>
        <w:t xml:space="preserve"> of £</w:t>
      </w:r>
      <w:r w:rsidR="005B704D" w:rsidRPr="005C171C">
        <w:rPr>
          <w:bCs/>
        </w:rPr>
        <w:t>2</w:t>
      </w:r>
      <w:r w:rsidR="005C171C" w:rsidRPr="005C171C">
        <w:rPr>
          <w:bCs/>
        </w:rPr>
        <w:t xml:space="preserve">4k </w:t>
      </w:r>
      <w:r w:rsidR="00E00863" w:rsidRPr="005C171C">
        <w:rPr>
          <w:bCs/>
        </w:rPr>
        <w:t>is adequate to cover any anticipated credit risk for 20</w:t>
      </w:r>
      <w:r w:rsidR="00471A51" w:rsidRPr="005C171C">
        <w:rPr>
          <w:bCs/>
        </w:rPr>
        <w:t>2</w:t>
      </w:r>
      <w:r w:rsidR="005C171C" w:rsidRPr="005C171C">
        <w:rPr>
          <w:bCs/>
        </w:rPr>
        <w:t>2</w:t>
      </w:r>
      <w:r w:rsidR="00351777" w:rsidRPr="005C171C">
        <w:rPr>
          <w:bCs/>
        </w:rPr>
        <w:t>/2</w:t>
      </w:r>
      <w:r w:rsidR="005C171C" w:rsidRPr="005C171C">
        <w:rPr>
          <w:bCs/>
        </w:rPr>
        <w:t>3</w:t>
      </w:r>
      <w:r w:rsidR="00785141" w:rsidRPr="005C171C">
        <w:rPr>
          <w:bCs/>
        </w:rPr>
        <w:t xml:space="preserve">. </w:t>
      </w:r>
      <w:r w:rsidR="005B704D" w:rsidRPr="005C171C">
        <w:rPr>
          <w:bCs/>
        </w:rPr>
        <w:t>No d</w:t>
      </w:r>
      <w:r w:rsidR="00B81BE2" w:rsidRPr="005C171C">
        <w:rPr>
          <w:bCs/>
        </w:rPr>
        <w:t>ebts</w:t>
      </w:r>
      <w:r w:rsidR="00E877E5" w:rsidRPr="005C171C">
        <w:rPr>
          <w:bCs/>
        </w:rPr>
        <w:t xml:space="preserve"> </w:t>
      </w:r>
      <w:r w:rsidR="002E634F" w:rsidRPr="005C171C">
        <w:rPr>
          <w:bCs/>
        </w:rPr>
        <w:t>were written off in 202</w:t>
      </w:r>
      <w:r w:rsidR="005C171C" w:rsidRPr="005C171C">
        <w:rPr>
          <w:bCs/>
        </w:rPr>
        <w:t>2</w:t>
      </w:r>
      <w:r w:rsidR="002E634F" w:rsidRPr="005C171C">
        <w:rPr>
          <w:bCs/>
        </w:rPr>
        <w:t>/2</w:t>
      </w:r>
      <w:r w:rsidR="005C171C" w:rsidRPr="005C171C">
        <w:rPr>
          <w:bCs/>
        </w:rPr>
        <w:t>3</w:t>
      </w:r>
      <w:r w:rsidR="002E634F" w:rsidRPr="005C171C">
        <w:rPr>
          <w:bCs/>
        </w:rPr>
        <w:t xml:space="preserve"> </w:t>
      </w:r>
      <w:r w:rsidR="00EE6021" w:rsidRPr="005C171C">
        <w:rPr>
          <w:bCs/>
        </w:rPr>
        <w:t>(20</w:t>
      </w:r>
      <w:r w:rsidR="005B704D" w:rsidRPr="005C171C">
        <w:rPr>
          <w:bCs/>
        </w:rPr>
        <w:t>2</w:t>
      </w:r>
      <w:r w:rsidR="005C171C" w:rsidRPr="005C171C">
        <w:rPr>
          <w:bCs/>
        </w:rPr>
        <w:t>1</w:t>
      </w:r>
      <w:r w:rsidR="002E634F" w:rsidRPr="005C171C">
        <w:rPr>
          <w:bCs/>
        </w:rPr>
        <w:t>/2</w:t>
      </w:r>
      <w:r w:rsidR="005C171C" w:rsidRPr="005C171C">
        <w:rPr>
          <w:bCs/>
        </w:rPr>
        <w:t>2</w:t>
      </w:r>
      <w:r w:rsidR="002E634F" w:rsidRPr="005C171C">
        <w:rPr>
          <w:bCs/>
        </w:rPr>
        <w:t xml:space="preserve"> £</w:t>
      </w:r>
      <w:r w:rsidR="005C171C" w:rsidRPr="005C171C">
        <w:rPr>
          <w:bCs/>
        </w:rPr>
        <w:t>0</w:t>
      </w:r>
      <w:r w:rsidR="002E634F" w:rsidRPr="005C171C">
        <w:rPr>
          <w:bCs/>
        </w:rPr>
        <w:t xml:space="preserve">). </w:t>
      </w:r>
      <w:r w:rsidR="00785141" w:rsidRPr="005C171C">
        <w:rPr>
          <w:bCs/>
        </w:rPr>
        <w:t xml:space="preserve"> </w:t>
      </w:r>
    </w:p>
    <w:p w14:paraId="485A48B2" w14:textId="77777777" w:rsidR="00EE6021" w:rsidRPr="004A5221" w:rsidRDefault="00EE6021" w:rsidP="00CF3182">
      <w:pPr>
        <w:ind w:left="567"/>
        <w:rPr>
          <w:bCs/>
        </w:rPr>
      </w:pPr>
    </w:p>
    <w:p w14:paraId="485A48B3" w14:textId="77777777" w:rsidR="00E00863" w:rsidRPr="004A5221" w:rsidRDefault="00E00863" w:rsidP="00CF3182">
      <w:pPr>
        <w:ind w:left="567"/>
        <w:rPr>
          <w:b/>
        </w:rPr>
      </w:pPr>
      <w:r w:rsidRPr="004A5221">
        <w:rPr>
          <w:b/>
        </w:rPr>
        <w:t>Liquidity risk</w:t>
      </w:r>
    </w:p>
    <w:p w14:paraId="485A48B4" w14:textId="77777777" w:rsidR="00E00863" w:rsidRPr="004A5221" w:rsidRDefault="00E00863" w:rsidP="006D2EED">
      <w:pPr>
        <w:ind w:left="720"/>
        <w:rPr>
          <w:b/>
          <w:bCs/>
        </w:rPr>
      </w:pPr>
    </w:p>
    <w:p w14:paraId="485A48B5" w14:textId="621D1208" w:rsidR="00E00863" w:rsidRPr="004A5221" w:rsidRDefault="00E00863" w:rsidP="00CF3182">
      <w:pPr>
        <w:ind w:left="567"/>
        <w:rPr>
          <w:bCs/>
        </w:rPr>
      </w:pPr>
      <w:r w:rsidRPr="004A5221">
        <w:rPr>
          <w:bCs/>
        </w:rPr>
        <w:t>All trade and other payables are due to be paid in less than one year. The Authority currently has no borrowings and so there is no significant current or future risk that it will be unable to raise finance to meet its commitments under financial instruments.</w:t>
      </w:r>
      <w:r w:rsidR="00D95903" w:rsidRPr="004A5221">
        <w:rPr>
          <w:bCs/>
        </w:rPr>
        <w:t xml:space="preserve"> </w:t>
      </w:r>
      <w:r w:rsidRPr="004A5221">
        <w:rPr>
          <w:bCs/>
        </w:rPr>
        <w:t>At 31 March 20</w:t>
      </w:r>
      <w:r w:rsidR="00471A51" w:rsidRPr="004A5221">
        <w:rPr>
          <w:bCs/>
        </w:rPr>
        <w:t>2</w:t>
      </w:r>
      <w:r w:rsidR="005C171C" w:rsidRPr="004A5221">
        <w:rPr>
          <w:bCs/>
        </w:rPr>
        <w:t>3</w:t>
      </w:r>
      <w:r w:rsidRPr="004A5221">
        <w:rPr>
          <w:bCs/>
        </w:rPr>
        <w:t xml:space="preserve"> there are no financial liabilities other than trade creditors, which </w:t>
      </w:r>
      <w:r w:rsidR="00351777" w:rsidRPr="004A5221">
        <w:rPr>
          <w:bCs/>
        </w:rPr>
        <w:t>are expected to be paid within one</w:t>
      </w:r>
      <w:r w:rsidRPr="004A5221">
        <w:rPr>
          <w:bCs/>
        </w:rPr>
        <w:t xml:space="preserve"> year.</w:t>
      </w:r>
      <w:r w:rsidR="00307A1B" w:rsidRPr="004A5221">
        <w:rPr>
          <w:bCs/>
        </w:rPr>
        <w:t xml:space="preserve"> Liquidity risk is managed through daily cash flow monitoring.</w:t>
      </w:r>
    </w:p>
    <w:p w14:paraId="485A48B6" w14:textId="77777777" w:rsidR="00904932" w:rsidRPr="004A5221" w:rsidRDefault="00904932" w:rsidP="006D2EED">
      <w:pPr>
        <w:ind w:left="720"/>
        <w:rPr>
          <w:b/>
        </w:rPr>
      </w:pPr>
    </w:p>
    <w:p w14:paraId="485A48B7" w14:textId="77777777" w:rsidR="00E00863" w:rsidRPr="004A5221" w:rsidRDefault="00E00863" w:rsidP="00CF3182">
      <w:pPr>
        <w:ind w:left="567"/>
        <w:rPr>
          <w:b/>
        </w:rPr>
      </w:pPr>
      <w:r w:rsidRPr="004A5221">
        <w:rPr>
          <w:b/>
        </w:rPr>
        <w:t>Market risk</w:t>
      </w:r>
    </w:p>
    <w:p w14:paraId="485A48B8" w14:textId="77777777" w:rsidR="00E00863" w:rsidRPr="004A5221" w:rsidRDefault="00E00863" w:rsidP="00CF3182">
      <w:pPr>
        <w:ind w:left="567"/>
        <w:rPr>
          <w:b/>
          <w:bCs/>
        </w:rPr>
      </w:pPr>
    </w:p>
    <w:p w14:paraId="0EAF8EE1" w14:textId="765B27C7" w:rsidR="004A5221" w:rsidRDefault="004A5221" w:rsidP="00CF3182">
      <w:pPr>
        <w:ind w:left="567"/>
        <w:rPr>
          <w:bCs/>
        </w:rPr>
      </w:pPr>
      <w:r>
        <w:rPr>
          <w:bCs/>
        </w:rPr>
        <w:t>Market conditions have changed significantly during the year with bank rate rising from 0.75% to 4.25%. This has had an impact on borrowing and investing costs.</w:t>
      </w:r>
    </w:p>
    <w:p w14:paraId="77A54870" w14:textId="77777777" w:rsidR="004A5221" w:rsidRDefault="004A5221" w:rsidP="00CF3182">
      <w:pPr>
        <w:ind w:left="567"/>
        <w:rPr>
          <w:bCs/>
        </w:rPr>
      </w:pPr>
    </w:p>
    <w:p w14:paraId="485A48B9" w14:textId="00091633" w:rsidR="00E00863" w:rsidRPr="004A5221" w:rsidRDefault="00E00863" w:rsidP="00CF3182">
      <w:pPr>
        <w:ind w:left="567"/>
        <w:rPr>
          <w:bCs/>
        </w:rPr>
      </w:pPr>
      <w:r w:rsidRPr="004A5221">
        <w:rPr>
          <w:bCs/>
        </w:rPr>
        <w:t xml:space="preserve">The Authority is currently debt free, however, the Prudential Code requires the Authority to fix each year the maximum of interest on borrowing </w:t>
      </w:r>
      <w:r w:rsidR="00612437" w:rsidRPr="004A5221">
        <w:rPr>
          <w:bCs/>
        </w:rPr>
        <w:t>that</w:t>
      </w:r>
      <w:r w:rsidRPr="004A5221">
        <w:rPr>
          <w:bCs/>
        </w:rPr>
        <w:t xml:space="preserve"> is subject to variable rates. As the Authority’s borrowing is </w:t>
      </w:r>
      <w:r w:rsidR="00870702" w:rsidRPr="004A5221">
        <w:rPr>
          <w:bCs/>
        </w:rPr>
        <w:t xml:space="preserve">currently </w:t>
      </w:r>
      <w:r w:rsidRPr="004A5221">
        <w:rPr>
          <w:bCs/>
        </w:rPr>
        <w:t>expected to be for short term cash management only</w:t>
      </w:r>
      <w:r w:rsidR="005C171C" w:rsidRPr="004A5221">
        <w:rPr>
          <w:bCs/>
        </w:rPr>
        <w:t xml:space="preserve"> (if required at all)</w:t>
      </w:r>
      <w:r w:rsidRPr="004A5221">
        <w:rPr>
          <w:bCs/>
        </w:rPr>
        <w:t>, it is anticipated that 100% of this could be at variable rates without exposing the Authority to undue risk. The proportion of fixed and variable rate interest will depend on forecasts for interest rates during the period under review. Maximum borrowing will be undertaken at fixed rates when interest rates are considered to be at their lowest and on a variable basis when interest rates are expected to fall.</w:t>
      </w:r>
    </w:p>
    <w:p w14:paraId="485A48BA" w14:textId="77777777" w:rsidR="00E00863" w:rsidRPr="004A5221" w:rsidRDefault="00E00863" w:rsidP="00CF3182">
      <w:pPr>
        <w:ind w:left="567"/>
        <w:rPr>
          <w:bCs/>
        </w:rPr>
      </w:pPr>
    </w:p>
    <w:p w14:paraId="485A48BB" w14:textId="0C274152" w:rsidR="00E00863" w:rsidRPr="004A5221" w:rsidRDefault="00E00863" w:rsidP="00CF3182">
      <w:pPr>
        <w:ind w:left="567"/>
        <w:rPr>
          <w:bCs/>
        </w:rPr>
      </w:pPr>
      <w:r w:rsidRPr="004A5221">
        <w:rPr>
          <w:bCs/>
        </w:rPr>
        <w:t>In 20</w:t>
      </w:r>
      <w:r w:rsidR="002E634F" w:rsidRPr="004A5221">
        <w:rPr>
          <w:bCs/>
        </w:rPr>
        <w:t>2</w:t>
      </w:r>
      <w:r w:rsidR="005C171C" w:rsidRPr="004A5221">
        <w:rPr>
          <w:bCs/>
        </w:rPr>
        <w:t>2</w:t>
      </w:r>
      <w:r w:rsidR="002E634F" w:rsidRPr="004A5221">
        <w:rPr>
          <w:bCs/>
        </w:rPr>
        <w:t>/2</w:t>
      </w:r>
      <w:r w:rsidR="005C171C" w:rsidRPr="004A5221">
        <w:rPr>
          <w:bCs/>
        </w:rPr>
        <w:t>3</w:t>
      </w:r>
      <w:r w:rsidRPr="004A5221">
        <w:rPr>
          <w:bCs/>
        </w:rPr>
        <w:t xml:space="preserve"> the Authority received £</w:t>
      </w:r>
      <w:r w:rsidR="005C171C" w:rsidRPr="004A5221">
        <w:rPr>
          <w:bCs/>
        </w:rPr>
        <w:t>102k</w:t>
      </w:r>
      <w:r w:rsidRPr="004A5221">
        <w:rPr>
          <w:bCs/>
        </w:rPr>
        <w:t xml:space="preserve"> in interest income (£</w:t>
      </w:r>
      <w:r w:rsidR="005C171C" w:rsidRPr="004A5221">
        <w:rPr>
          <w:bCs/>
        </w:rPr>
        <w:t>4k</w:t>
      </w:r>
      <w:r w:rsidR="002E634F" w:rsidRPr="004A5221">
        <w:rPr>
          <w:bCs/>
        </w:rPr>
        <w:t xml:space="preserve"> in 20</w:t>
      </w:r>
      <w:r w:rsidR="004F7FBA" w:rsidRPr="004A5221">
        <w:rPr>
          <w:bCs/>
        </w:rPr>
        <w:t>20</w:t>
      </w:r>
      <w:r w:rsidR="002E634F" w:rsidRPr="004A5221">
        <w:rPr>
          <w:bCs/>
        </w:rPr>
        <w:t>/2</w:t>
      </w:r>
      <w:r w:rsidR="004F7FBA" w:rsidRPr="004A5221">
        <w:rPr>
          <w:bCs/>
        </w:rPr>
        <w:t>1</w:t>
      </w:r>
      <w:r w:rsidRPr="004A5221">
        <w:rPr>
          <w:bCs/>
        </w:rPr>
        <w:t xml:space="preserve">). </w:t>
      </w:r>
      <w:r w:rsidR="004A5221">
        <w:rPr>
          <w:bCs/>
        </w:rPr>
        <w:t xml:space="preserve">This increase is a direct reflection of the increase in bank rate, which has impacted on the wider money market. The Authority has continued to use AAA rated money market fund as its main deposit facility. </w:t>
      </w:r>
      <w:r w:rsidR="005C171C" w:rsidRPr="004A5221">
        <w:rPr>
          <w:bCs/>
        </w:rPr>
        <w:t xml:space="preserve">The average </w:t>
      </w:r>
      <w:r w:rsidR="002116F2">
        <w:rPr>
          <w:bCs/>
        </w:rPr>
        <w:t xml:space="preserve">cash and investment </w:t>
      </w:r>
      <w:r w:rsidR="005C171C" w:rsidRPr="004A5221">
        <w:rPr>
          <w:bCs/>
        </w:rPr>
        <w:t>balan</w:t>
      </w:r>
      <w:r w:rsidR="002116F2">
        <w:rPr>
          <w:bCs/>
        </w:rPr>
        <w:t>c</w:t>
      </w:r>
      <w:r w:rsidR="005C171C" w:rsidRPr="004A5221">
        <w:rPr>
          <w:bCs/>
        </w:rPr>
        <w:t>e</w:t>
      </w:r>
      <w:r w:rsidR="002116F2">
        <w:rPr>
          <w:bCs/>
        </w:rPr>
        <w:t xml:space="preserve"> over the period was,</w:t>
      </w:r>
      <w:r w:rsidR="005C171C" w:rsidRPr="004A5221">
        <w:rPr>
          <w:bCs/>
        </w:rPr>
        <w:t xml:space="preserve"> £4.4m so h</w:t>
      </w:r>
      <w:r w:rsidRPr="004A5221">
        <w:rPr>
          <w:bCs/>
        </w:rPr>
        <w:t xml:space="preserve">ad interest rates been </w:t>
      </w:r>
      <w:r w:rsidR="005C171C" w:rsidRPr="004A5221">
        <w:rPr>
          <w:bCs/>
        </w:rPr>
        <w:t xml:space="preserve"> +/-</w:t>
      </w:r>
      <w:r w:rsidRPr="004A5221">
        <w:rPr>
          <w:bCs/>
        </w:rPr>
        <w:t xml:space="preserve">1% higher during the period, the income received would have </w:t>
      </w:r>
      <w:r w:rsidR="005C171C" w:rsidRPr="004A5221">
        <w:rPr>
          <w:bCs/>
        </w:rPr>
        <w:t xml:space="preserve">varied by </w:t>
      </w:r>
      <w:r w:rsidR="002116F2">
        <w:rPr>
          <w:bCs/>
        </w:rPr>
        <w:t xml:space="preserve">circa </w:t>
      </w:r>
      <w:r w:rsidR="005C171C" w:rsidRPr="004A5221">
        <w:rPr>
          <w:bCs/>
        </w:rPr>
        <w:t>+/-</w:t>
      </w:r>
      <w:r w:rsidRPr="004A5221">
        <w:rPr>
          <w:bCs/>
        </w:rPr>
        <w:t xml:space="preserve"> </w:t>
      </w:r>
      <w:r w:rsidR="005C171C" w:rsidRPr="004A5221">
        <w:rPr>
          <w:bCs/>
        </w:rPr>
        <w:t>c</w:t>
      </w:r>
      <w:r w:rsidRPr="004A5221">
        <w:rPr>
          <w:bCs/>
        </w:rPr>
        <w:t>£</w:t>
      </w:r>
      <w:r w:rsidR="005C171C" w:rsidRPr="004A5221">
        <w:rPr>
          <w:bCs/>
        </w:rPr>
        <w:t>44k</w:t>
      </w:r>
      <w:r w:rsidRPr="004A5221">
        <w:rPr>
          <w:bCs/>
        </w:rPr>
        <w:t>.</w:t>
      </w:r>
      <w:r w:rsidR="00AF7AD7" w:rsidRPr="004A5221">
        <w:rPr>
          <w:bCs/>
        </w:rPr>
        <w:t xml:space="preserve"> </w:t>
      </w:r>
    </w:p>
    <w:p w14:paraId="485A48BC" w14:textId="3E52C05F" w:rsidR="00074619" w:rsidRPr="004A5221" w:rsidRDefault="00074619" w:rsidP="00CF3182">
      <w:pPr>
        <w:ind w:left="567"/>
        <w:rPr>
          <w:b/>
          <w:bCs/>
        </w:rPr>
      </w:pPr>
    </w:p>
    <w:p w14:paraId="485A48BD" w14:textId="77777777" w:rsidR="00E00863" w:rsidRPr="004A5221" w:rsidRDefault="00E00863" w:rsidP="00CF3182">
      <w:pPr>
        <w:ind w:left="567"/>
        <w:rPr>
          <w:b/>
        </w:rPr>
      </w:pPr>
      <w:r w:rsidRPr="004A5221">
        <w:rPr>
          <w:b/>
        </w:rPr>
        <w:t>Foreign exchange risk</w:t>
      </w:r>
    </w:p>
    <w:p w14:paraId="485A48BE" w14:textId="77777777" w:rsidR="00E00863" w:rsidRPr="004A5221" w:rsidRDefault="00E00863" w:rsidP="00CF3182">
      <w:pPr>
        <w:ind w:left="567"/>
        <w:rPr>
          <w:b/>
          <w:bCs/>
        </w:rPr>
      </w:pPr>
    </w:p>
    <w:p w14:paraId="485A48BF" w14:textId="77777777" w:rsidR="00E00863" w:rsidRPr="004A5221" w:rsidRDefault="00E00863" w:rsidP="00CF3182">
      <w:pPr>
        <w:ind w:left="567"/>
        <w:rPr>
          <w:bCs/>
        </w:rPr>
      </w:pPr>
      <w:r w:rsidRPr="004A5221">
        <w:rPr>
          <w:bCs/>
        </w:rPr>
        <w:t>The Authority has no financial assets or liabilities denominated in foreign currencies and therefore has no exposure to loss arising from movements in exchange rates.</w:t>
      </w:r>
    </w:p>
    <w:p w14:paraId="485A48C0" w14:textId="77777777" w:rsidR="00655627" w:rsidRPr="004D5CA8" w:rsidRDefault="00655627" w:rsidP="006D2EED">
      <w:pPr>
        <w:rPr>
          <w:highlight w:val="yellow"/>
        </w:rPr>
      </w:pPr>
    </w:p>
    <w:p w14:paraId="485A48C1" w14:textId="77777777" w:rsidR="00511080" w:rsidRPr="004D5CA8" w:rsidRDefault="00511080" w:rsidP="006D2EED">
      <w:pPr>
        <w:rPr>
          <w:highlight w:val="yellow"/>
        </w:rPr>
      </w:pPr>
    </w:p>
    <w:p w14:paraId="485A48C2" w14:textId="77777777" w:rsidR="00E00863" w:rsidRPr="00CA2E5F" w:rsidRDefault="00CF3182" w:rsidP="00CF3182">
      <w:pPr>
        <w:pStyle w:val="Subtitle"/>
        <w:numPr>
          <w:ilvl w:val="0"/>
          <w:numId w:val="0"/>
        </w:numPr>
        <w:tabs>
          <w:tab w:val="left" w:pos="-709"/>
          <w:tab w:val="left" w:pos="-284"/>
          <w:tab w:val="left" w:pos="-142"/>
        </w:tabs>
        <w:spacing w:line="240" w:lineRule="atLeast"/>
        <w:ind w:left="567" w:right="680" w:hanging="567"/>
        <w:rPr>
          <w:rFonts w:ascii="Arial" w:hAnsi="Arial" w:cs="Arial"/>
          <w:b/>
          <w:i w:val="0"/>
          <w:sz w:val="23"/>
          <w:szCs w:val="23"/>
          <w:u w:val="none"/>
        </w:rPr>
      </w:pPr>
      <w:r w:rsidRPr="00CA2E5F">
        <w:rPr>
          <w:rFonts w:ascii="Arial" w:hAnsi="Arial" w:cs="Arial"/>
          <w:b/>
          <w:i w:val="0"/>
          <w:sz w:val="23"/>
          <w:szCs w:val="23"/>
          <w:u w:val="none"/>
        </w:rPr>
        <w:t>2</w:t>
      </w:r>
      <w:r w:rsidR="00FB3A44" w:rsidRPr="00CA2E5F">
        <w:rPr>
          <w:rFonts w:ascii="Arial" w:hAnsi="Arial" w:cs="Arial"/>
          <w:b/>
          <w:i w:val="0"/>
          <w:sz w:val="23"/>
          <w:szCs w:val="23"/>
          <w:u w:val="none"/>
        </w:rPr>
        <w:t>6</w:t>
      </w:r>
      <w:r w:rsidR="0073244D" w:rsidRPr="00CA2E5F">
        <w:rPr>
          <w:rFonts w:ascii="Arial" w:hAnsi="Arial" w:cs="Arial"/>
          <w:b/>
          <w:i w:val="0"/>
          <w:sz w:val="23"/>
          <w:szCs w:val="23"/>
          <w:u w:val="none"/>
        </w:rPr>
        <w:t>.</w:t>
      </w:r>
      <w:r w:rsidR="0073244D" w:rsidRPr="00CA2E5F">
        <w:rPr>
          <w:rFonts w:ascii="Arial" w:hAnsi="Arial" w:cs="Arial"/>
          <w:b/>
          <w:i w:val="0"/>
          <w:sz w:val="23"/>
          <w:szCs w:val="23"/>
          <w:u w:val="none"/>
        </w:rPr>
        <w:tab/>
      </w:r>
      <w:r w:rsidR="00E00863" w:rsidRPr="00CA2E5F">
        <w:rPr>
          <w:rFonts w:ascii="Arial" w:eastAsia="Times New Roman" w:hAnsi="Arial"/>
          <w:b/>
          <w:i w:val="0"/>
          <w:iCs w:val="0"/>
          <w:spacing w:val="0"/>
          <w:sz w:val="23"/>
          <w:szCs w:val="23"/>
          <w:u w:val="none"/>
          <w:lang w:eastAsia="en-US"/>
        </w:rPr>
        <w:t>Cash and Cash Equivalents</w:t>
      </w:r>
    </w:p>
    <w:p w14:paraId="485A48C3" w14:textId="77777777" w:rsidR="00E00863" w:rsidRDefault="00E00863" w:rsidP="006D2EED">
      <w:pPr>
        <w:ind w:left="709"/>
        <w:rPr>
          <w:highlight w:val="yellow"/>
        </w:rPr>
      </w:pPr>
    </w:p>
    <w:tbl>
      <w:tblPr>
        <w:tblW w:w="5949" w:type="dxa"/>
        <w:jc w:val="center"/>
        <w:tblLook w:val="04A0" w:firstRow="1" w:lastRow="0" w:firstColumn="1" w:lastColumn="0" w:noHBand="0" w:noVBand="1"/>
      </w:tblPr>
      <w:tblGrid>
        <w:gridCol w:w="1838"/>
        <w:gridCol w:w="2520"/>
        <w:gridCol w:w="1591"/>
      </w:tblGrid>
      <w:tr w:rsidR="00CA2E5F" w:rsidRPr="00CA2E5F" w14:paraId="0D22AD3B" w14:textId="77777777" w:rsidTr="00CA2E5F">
        <w:trPr>
          <w:trHeight w:val="290"/>
          <w:jc w:val="center"/>
        </w:trPr>
        <w:tc>
          <w:tcPr>
            <w:tcW w:w="1838" w:type="dxa"/>
            <w:tcBorders>
              <w:top w:val="single" w:sz="4" w:space="0" w:color="auto"/>
              <w:left w:val="single" w:sz="4" w:space="0" w:color="auto"/>
              <w:bottom w:val="nil"/>
              <w:right w:val="nil"/>
            </w:tcBorders>
            <w:shd w:val="clear" w:color="000000" w:fill="000000"/>
            <w:noWrap/>
            <w:vAlign w:val="bottom"/>
            <w:hideMark/>
          </w:tcPr>
          <w:p w14:paraId="5D60A929" w14:textId="77777777" w:rsidR="00CA2E5F" w:rsidRPr="00CA2E5F" w:rsidRDefault="00CA2E5F" w:rsidP="00CA2E5F">
            <w:pPr>
              <w:jc w:val="center"/>
              <w:rPr>
                <w:rFonts w:ascii="Calibri" w:hAnsi="Calibri" w:cs="Calibri"/>
                <w:b/>
                <w:bCs/>
                <w:color w:val="FFFFFF"/>
                <w:sz w:val="22"/>
                <w:szCs w:val="22"/>
                <w:lang w:eastAsia="en-GB"/>
              </w:rPr>
            </w:pPr>
            <w:r w:rsidRPr="00CA2E5F">
              <w:rPr>
                <w:rFonts w:ascii="Calibri" w:hAnsi="Calibri" w:cs="Calibri"/>
                <w:b/>
                <w:bCs/>
                <w:color w:val="FFFFFF"/>
                <w:sz w:val="22"/>
                <w:szCs w:val="22"/>
                <w:lang w:eastAsia="en-GB"/>
              </w:rPr>
              <w:t>31 March 2022</w:t>
            </w:r>
          </w:p>
        </w:tc>
        <w:tc>
          <w:tcPr>
            <w:tcW w:w="2520" w:type="dxa"/>
            <w:tcBorders>
              <w:top w:val="single" w:sz="4" w:space="0" w:color="auto"/>
              <w:left w:val="nil"/>
              <w:bottom w:val="nil"/>
              <w:right w:val="nil"/>
            </w:tcBorders>
            <w:shd w:val="clear" w:color="000000" w:fill="000000"/>
            <w:noWrap/>
            <w:vAlign w:val="bottom"/>
            <w:hideMark/>
          </w:tcPr>
          <w:p w14:paraId="604679D6" w14:textId="77777777" w:rsidR="00CA2E5F" w:rsidRPr="00CA2E5F" w:rsidRDefault="00CA2E5F" w:rsidP="00CA2E5F">
            <w:pPr>
              <w:jc w:val="center"/>
              <w:rPr>
                <w:rFonts w:ascii="Calibri" w:hAnsi="Calibri" w:cs="Calibri"/>
                <w:b/>
                <w:bCs/>
                <w:color w:val="FFFFFF"/>
                <w:sz w:val="22"/>
                <w:szCs w:val="22"/>
                <w:lang w:eastAsia="en-GB"/>
              </w:rPr>
            </w:pPr>
            <w:r w:rsidRPr="00CA2E5F">
              <w:rPr>
                <w:rFonts w:ascii="Calibri" w:hAnsi="Calibri" w:cs="Calibri"/>
                <w:b/>
                <w:bCs/>
                <w:color w:val="FFFFFF"/>
                <w:sz w:val="22"/>
                <w:szCs w:val="22"/>
                <w:lang w:eastAsia="en-GB"/>
              </w:rPr>
              <w:t> </w:t>
            </w:r>
          </w:p>
        </w:tc>
        <w:tc>
          <w:tcPr>
            <w:tcW w:w="1591" w:type="dxa"/>
            <w:tcBorders>
              <w:top w:val="single" w:sz="4" w:space="0" w:color="auto"/>
              <w:left w:val="nil"/>
              <w:bottom w:val="nil"/>
              <w:right w:val="single" w:sz="4" w:space="0" w:color="auto"/>
            </w:tcBorders>
            <w:shd w:val="clear" w:color="000000" w:fill="000000"/>
            <w:noWrap/>
            <w:vAlign w:val="bottom"/>
            <w:hideMark/>
          </w:tcPr>
          <w:p w14:paraId="0ABCEED2" w14:textId="77777777" w:rsidR="00CA2E5F" w:rsidRPr="00CA2E5F" w:rsidRDefault="00CA2E5F" w:rsidP="00CA2E5F">
            <w:pPr>
              <w:jc w:val="center"/>
              <w:rPr>
                <w:rFonts w:ascii="Calibri" w:hAnsi="Calibri" w:cs="Calibri"/>
                <w:b/>
                <w:bCs/>
                <w:color w:val="FFFFFF"/>
                <w:sz w:val="22"/>
                <w:szCs w:val="22"/>
                <w:lang w:eastAsia="en-GB"/>
              </w:rPr>
            </w:pPr>
            <w:r w:rsidRPr="00CA2E5F">
              <w:rPr>
                <w:rFonts w:ascii="Calibri" w:hAnsi="Calibri" w:cs="Calibri"/>
                <w:b/>
                <w:bCs/>
                <w:color w:val="FFFFFF"/>
                <w:sz w:val="22"/>
                <w:szCs w:val="22"/>
                <w:lang w:eastAsia="en-GB"/>
              </w:rPr>
              <w:t>31 March 2023</w:t>
            </w:r>
          </w:p>
        </w:tc>
      </w:tr>
      <w:tr w:rsidR="00CA2E5F" w:rsidRPr="00CA2E5F" w14:paraId="3950F32C" w14:textId="77777777" w:rsidTr="00CA2E5F">
        <w:trPr>
          <w:trHeight w:val="290"/>
          <w:jc w:val="center"/>
        </w:trPr>
        <w:tc>
          <w:tcPr>
            <w:tcW w:w="1838" w:type="dxa"/>
            <w:tcBorders>
              <w:top w:val="nil"/>
              <w:left w:val="single" w:sz="4" w:space="0" w:color="auto"/>
              <w:bottom w:val="nil"/>
              <w:right w:val="nil"/>
            </w:tcBorders>
            <w:shd w:val="clear" w:color="000000" w:fill="000000"/>
            <w:noWrap/>
            <w:vAlign w:val="bottom"/>
            <w:hideMark/>
          </w:tcPr>
          <w:p w14:paraId="065C7A18" w14:textId="77777777" w:rsidR="00CA2E5F" w:rsidRPr="00CA2E5F" w:rsidRDefault="00CA2E5F" w:rsidP="00CA2E5F">
            <w:pPr>
              <w:jc w:val="center"/>
              <w:rPr>
                <w:rFonts w:ascii="Calibri" w:hAnsi="Calibri" w:cs="Calibri"/>
                <w:b/>
                <w:bCs/>
                <w:color w:val="FFFFFF"/>
                <w:sz w:val="22"/>
                <w:szCs w:val="22"/>
                <w:lang w:eastAsia="en-GB"/>
              </w:rPr>
            </w:pPr>
            <w:r w:rsidRPr="00CA2E5F">
              <w:rPr>
                <w:rFonts w:ascii="Calibri" w:hAnsi="Calibri" w:cs="Calibri"/>
                <w:b/>
                <w:bCs/>
                <w:color w:val="FFFFFF"/>
                <w:sz w:val="22"/>
                <w:szCs w:val="22"/>
                <w:lang w:eastAsia="en-GB"/>
              </w:rPr>
              <w:t>£000</w:t>
            </w:r>
          </w:p>
        </w:tc>
        <w:tc>
          <w:tcPr>
            <w:tcW w:w="2520" w:type="dxa"/>
            <w:tcBorders>
              <w:top w:val="nil"/>
              <w:left w:val="nil"/>
              <w:bottom w:val="nil"/>
              <w:right w:val="nil"/>
            </w:tcBorders>
            <w:shd w:val="clear" w:color="000000" w:fill="000000"/>
            <w:noWrap/>
            <w:vAlign w:val="bottom"/>
            <w:hideMark/>
          </w:tcPr>
          <w:p w14:paraId="24C48D0A" w14:textId="77777777" w:rsidR="00CA2E5F" w:rsidRPr="00CA2E5F" w:rsidRDefault="00CA2E5F" w:rsidP="00CA2E5F">
            <w:pPr>
              <w:jc w:val="center"/>
              <w:rPr>
                <w:rFonts w:ascii="Calibri" w:hAnsi="Calibri" w:cs="Calibri"/>
                <w:b/>
                <w:bCs/>
                <w:color w:val="FFFFFF"/>
                <w:sz w:val="22"/>
                <w:szCs w:val="22"/>
                <w:lang w:eastAsia="en-GB"/>
              </w:rPr>
            </w:pPr>
            <w:r w:rsidRPr="00CA2E5F">
              <w:rPr>
                <w:rFonts w:ascii="Calibri" w:hAnsi="Calibri" w:cs="Calibri"/>
                <w:b/>
                <w:bCs/>
                <w:color w:val="FFFFFF"/>
                <w:sz w:val="22"/>
                <w:szCs w:val="22"/>
                <w:lang w:eastAsia="en-GB"/>
              </w:rPr>
              <w:t> </w:t>
            </w:r>
          </w:p>
        </w:tc>
        <w:tc>
          <w:tcPr>
            <w:tcW w:w="1591" w:type="dxa"/>
            <w:tcBorders>
              <w:top w:val="nil"/>
              <w:left w:val="nil"/>
              <w:bottom w:val="nil"/>
              <w:right w:val="single" w:sz="4" w:space="0" w:color="auto"/>
            </w:tcBorders>
            <w:shd w:val="clear" w:color="000000" w:fill="000000"/>
            <w:noWrap/>
            <w:vAlign w:val="bottom"/>
            <w:hideMark/>
          </w:tcPr>
          <w:p w14:paraId="23637374" w14:textId="77777777" w:rsidR="00CA2E5F" w:rsidRPr="00CA2E5F" w:rsidRDefault="00CA2E5F" w:rsidP="00CA2E5F">
            <w:pPr>
              <w:jc w:val="center"/>
              <w:rPr>
                <w:rFonts w:ascii="Calibri" w:hAnsi="Calibri" w:cs="Calibri"/>
                <w:b/>
                <w:bCs/>
                <w:color w:val="FFFFFF"/>
                <w:sz w:val="22"/>
                <w:szCs w:val="22"/>
                <w:lang w:eastAsia="en-GB"/>
              </w:rPr>
            </w:pPr>
            <w:r w:rsidRPr="00CA2E5F">
              <w:rPr>
                <w:rFonts w:ascii="Calibri" w:hAnsi="Calibri" w:cs="Calibri"/>
                <w:b/>
                <w:bCs/>
                <w:color w:val="FFFFFF"/>
                <w:sz w:val="22"/>
                <w:szCs w:val="22"/>
                <w:lang w:eastAsia="en-GB"/>
              </w:rPr>
              <w:t>£000</w:t>
            </w:r>
          </w:p>
        </w:tc>
      </w:tr>
      <w:tr w:rsidR="00CA2E5F" w:rsidRPr="00CA2E5F" w14:paraId="71FEF77F" w14:textId="77777777" w:rsidTr="00CA2E5F">
        <w:trPr>
          <w:trHeight w:val="290"/>
          <w:jc w:val="center"/>
        </w:trPr>
        <w:tc>
          <w:tcPr>
            <w:tcW w:w="1838" w:type="dxa"/>
            <w:tcBorders>
              <w:top w:val="nil"/>
              <w:left w:val="single" w:sz="4" w:space="0" w:color="auto"/>
              <w:bottom w:val="nil"/>
              <w:right w:val="nil"/>
            </w:tcBorders>
            <w:shd w:val="clear" w:color="auto" w:fill="auto"/>
            <w:noWrap/>
            <w:vAlign w:val="bottom"/>
            <w:hideMark/>
          </w:tcPr>
          <w:p w14:paraId="718DA424" w14:textId="77777777" w:rsidR="00CA2E5F" w:rsidRPr="00CA2E5F" w:rsidRDefault="00CA2E5F" w:rsidP="00CA2E5F">
            <w:pPr>
              <w:jc w:val="right"/>
              <w:rPr>
                <w:rFonts w:ascii="Calibri" w:hAnsi="Calibri" w:cs="Calibri"/>
                <w:color w:val="000000"/>
                <w:lang w:eastAsia="en-GB"/>
              </w:rPr>
            </w:pPr>
            <w:r w:rsidRPr="00CA2E5F">
              <w:rPr>
                <w:rFonts w:ascii="Calibri" w:hAnsi="Calibri" w:cs="Calibri"/>
                <w:color w:val="000000"/>
                <w:lang w:eastAsia="en-GB"/>
              </w:rPr>
              <w:t>5</w:t>
            </w:r>
          </w:p>
        </w:tc>
        <w:tc>
          <w:tcPr>
            <w:tcW w:w="2520" w:type="dxa"/>
            <w:tcBorders>
              <w:top w:val="nil"/>
              <w:left w:val="nil"/>
              <w:bottom w:val="nil"/>
              <w:right w:val="nil"/>
            </w:tcBorders>
            <w:shd w:val="clear" w:color="auto" w:fill="auto"/>
            <w:noWrap/>
            <w:vAlign w:val="bottom"/>
            <w:hideMark/>
          </w:tcPr>
          <w:p w14:paraId="61DEEC04" w14:textId="77777777" w:rsidR="00CA2E5F" w:rsidRPr="00CA2E5F" w:rsidRDefault="00CA2E5F" w:rsidP="00CA2E5F">
            <w:pPr>
              <w:rPr>
                <w:rFonts w:ascii="Calibri" w:hAnsi="Calibri" w:cs="Calibri"/>
                <w:color w:val="000000"/>
                <w:lang w:eastAsia="en-GB"/>
              </w:rPr>
            </w:pPr>
            <w:r w:rsidRPr="00CA2E5F">
              <w:rPr>
                <w:rFonts w:ascii="Calibri" w:hAnsi="Calibri" w:cs="Calibri"/>
                <w:color w:val="000000"/>
                <w:lang w:eastAsia="en-GB"/>
              </w:rPr>
              <w:t>Cash held</w:t>
            </w:r>
          </w:p>
        </w:tc>
        <w:tc>
          <w:tcPr>
            <w:tcW w:w="1591" w:type="dxa"/>
            <w:tcBorders>
              <w:top w:val="nil"/>
              <w:left w:val="nil"/>
              <w:bottom w:val="nil"/>
              <w:right w:val="single" w:sz="4" w:space="0" w:color="auto"/>
            </w:tcBorders>
            <w:shd w:val="clear" w:color="auto" w:fill="auto"/>
            <w:noWrap/>
            <w:vAlign w:val="bottom"/>
            <w:hideMark/>
          </w:tcPr>
          <w:p w14:paraId="401147DE" w14:textId="77777777" w:rsidR="00CA2E5F" w:rsidRPr="00CA2E5F" w:rsidRDefault="00CA2E5F" w:rsidP="00CA2E5F">
            <w:pPr>
              <w:jc w:val="right"/>
              <w:rPr>
                <w:rFonts w:ascii="Calibri" w:hAnsi="Calibri" w:cs="Calibri"/>
                <w:color w:val="000000"/>
                <w:lang w:eastAsia="en-GB"/>
              </w:rPr>
            </w:pPr>
            <w:r w:rsidRPr="00CA2E5F">
              <w:rPr>
                <w:rFonts w:ascii="Calibri" w:hAnsi="Calibri" w:cs="Calibri"/>
                <w:color w:val="000000"/>
                <w:lang w:eastAsia="en-GB"/>
              </w:rPr>
              <w:t>5</w:t>
            </w:r>
          </w:p>
        </w:tc>
      </w:tr>
      <w:tr w:rsidR="00CA2E5F" w:rsidRPr="00CA2E5F" w14:paraId="2D45F4A5" w14:textId="77777777" w:rsidTr="00CA2E5F">
        <w:trPr>
          <w:trHeight w:val="290"/>
          <w:jc w:val="center"/>
        </w:trPr>
        <w:tc>
          <w:tcPr>
            <w:tcW w:w="1838" w:type="dxa"/>
            <w:tcBorders>
              <w:top w:val="nil"/>
              <w:left w:val="single" w:sz="4" w:space="0" w:color="auto"/>
              <w:bottom w:val="nil"/>
              <w:right w:val="nil"/>
            </w:tcBorders>
            <w:shd w:val="clear" w:color="auto" w:fill="auto"/>
            <w:noWrap/>
            <w:vAlign w:val="bottom"/>
            <w:hideMark/>
          </w:tcPr>
          <w:p w14:paraId="5D69B9E6" w14:textId="77777777" w:rsidR="00CA2E5F" w:rsidRPr="00CA2E5F" w:rsidRDefault="00CA2E5F" w:rsidP="00CA2E5F">
            <w:pPr>
              <w:jc w:val="right"/>
              <w:rPr>
                <w:rFonts w:ascii="Calibri" w:hAnsi="Calibri" w:cs="Calibri"/>
                <w:color w:val="000000"/>
                <w:lang w:eastAsia="en-GB"/>
              </w:rPr>
            </w:pPr>
            <w:r w:rsidRPr="00CA2E5F">
              <w:rPr>
                <w:rFonts w:ascii="Calibri" w:hAnsi="Calibri" w:cs="Calibri"/>
                <w:color w:val="000000"/>
                <w:lang w:eastAsia="en-GB"/>
              </w:rPr>
              <w:t>507</w:t>
            </w:r>
          </w:p>
        </w:tc>
        <w:tc>
          <w:tcPr>
            <w:tcW w:w="2520" w:type="dxa"/>
            <w:tcBorders>
              <w:top w:val="nil"/>
              <w:left w:val="nil"/>
              <w:bottom w:val="nil"/>
              <w:right w:val="nil"/>
            </w:tcBorders>
            <w:shd w:val="clear" w:color="auto" w:fill="auto"/>
            <w:noWrap/>
            <w:vAlign w:val="bottom"/>
            <w:hideMark/>
          </w:tcPr>
          <w:p w14:paraId="3C0D82A6" w14:textId="77777777" w:rsidR="00CA2E5F" w:rsidRPr="00CA2E5F" w:rsidRDefault="00CA2E5F" w:rsidP="00CA2E5F">
            <w:pPr>
              <w:rPr>
                <w:rFonts w:ascii="Calibri" w:hAnsi="Calibri" w:cs="Calibri"/>
                <w:color w:val="000000"/>
                <w:lang w:eastAsia="en-GB"/>
              </w:rPr>
            </w:pPr>
            <w:r w:rsidRPr="00CA2E5F">
              <w:rPr>
                <w:rFonts w:ascii="Calibri" w:hAnsi="Calibri" w:cs="Calibri"/>
                <w:color w:val="000000"/>
                <w:lang w:eastAsia="en-GB"/>
              </w:rPr>
              <w:t>Bank Accounts</w:t>
            </w:r>
          </w:p>
        </w:tc>
        <w:tc>
          <w:tcPr>
            <w:tcW w:w="1591" w:type="dxa"/>
            <w:tcBorders>
              <w:top w:val="nil"/>
              <w:left w:val="nil"/>
              <w:bottom w:val="nil"/>
              <w:right w:val="single" w:sz="4" w:space="0" w:color="auto"/>
            </w:tcBorders>
            <w:shd w:val="clear" w:color="auto" w:fill="auto"/>
            <w:noWrap/>
            <w:vAlign w:val="bottom"/>
            <w:hideMark/>
          </w:tcPr>
          <w:p w14:paraId="6D59E8D4" w14:textId="77777777" w:rsidR="00CA2E5F" w:rsidRPr="00CA2E5F" w:rsidRDefault="00CA2E5F" w:rsidP="00CA2E5F">
            <w:pPr>
              <w:jc w:val="right"/>
              <w:rPr>
                <w:rFonts w:ascii="Calibri" w:hAnsi="Calibri" w:cs="Calibri"/>
                <w:color w:val="000000"/>
                <w:lang w:eastAsia="en-GB"/>
              </w:rPr>
            </w:pPr>
            <w:r w:rsidRPr="00CA2E5F">
              <w:rPr>
                <w:rFonts w:ascii="Calibri" w:hAnsi="Calibri" w:cs="Calibri"/>
                <w:color w:val="000000"/>
                <w:lang w:eastAsia="en-GB"/>
              </w:rPr>
              <w:t>485</w:t>
            </w:r>
          </w:p>
        </w:tc>
      </w:tr>
      <w:tr w:rsidR="00CA2E5F" w:rsidRPr="00CA2E5F" w14:paraId="4E14C054" w14:textId="77777777" w:rsidTr="00CA2E5F">
        <w:trPr>
          <w:trHeight w:val="290"/>
          <w:jc w:val="center"/>
        </w:trPr>
        <w:tc>
          <w:tcPr>
            <w:tcW w:w="1838" w:type="dxa"/>
            <w:tcBorders>
              <w:top w:val="nil"/>
              <w:left w:val="single" w:sz="4" w:space="0" w:color="auto"/>
              <w:bottom w:val="nil"/>
              <w:right w:val="nil"/>
            </w:tcBorders>
            <w:shd w:val="clear" w:color="auto" w:fill="auto"/>
            <w:noWrap/>
            <w:vAlign w:val="bottom"/>
            <w:hideMark/>
          </w:tcPr>
          <w:p w14:paraId="6FC71982" w14:textId="77777777" w:rsidR="00CA2E5F" w:rsidRPr="00CA2E5F" w:rsidRDefault="00CA2E5F" w:rsidP="00CA2E5F">
            <w:pPr>
              <w:jc w:val="right"/>
              <w:rPr>
                <w:rFonts w:ascii="Calibri" w:hAnsi="Calibri" w:cs="Calibri"/>
                <w:color w:val="000000"/>
                <w:lang w:eastAsia="en-GB"/>
              </w:rPr>
            </w:pPr>
            <w:r w:rsidRPr="00CA2E5F">
              <w:rPr>
                <w:rFonts w:ascii="Calibri" w:hAnsi="Calibri" w:cs="Calibri"/>
                <w:color w:val="000000"/>
                <w:lang w:eastAsia="en-GB"/>
              </w:rPr>
              <w:t>4,000</w:t>
            </w:r>
          </w:p>
        </w:tc>
        <w:tc>
          <w:tcPr>
            <w:tcW w:w="2520" w:type="dxa"/>
            <w:tcBorders>
              <w:top w:val="nil"/>
              <w:left w:val="nil"/>
              <w:bottom w:val="nil"/>
              <w:right w:val="nil"/>
            </w:tcBorders>
            <w:shd w:val="clear" w:color="auto" w:fill="auto"/>
            <w:noWrap/>
            <w:vAlign w:val="bottom"/>
            <w:hideMark/>
          </w:tcPr>
          <w:p w14:paraId="442A7993" w14:textId="77777777" w:rsidR="00CA2E5F" w:rsidRPr="00CA2E5F" w:rsidRDefault="00CA2E5F" w:rsidP="00CA2E5F">
            <w:pPr>
              <w:rPr>
                <w:rFonts w:ascii="Calibri" w:hAnsi="Calibri" w:cs="Calibri"/>
                <w:color w:val="000000"/>
                <w:lang w:eastAsia="en-GB"/>
              </w:rPr>
            </w:pPr>
            <w:r w:rsidRPr="00CA2E5F">
              <w:rPr>
                <w:rFonts w:ascii="Calibri" w:hAnsi="Calibri" w:cs="Calibri"/>
                <w:color w:val="000000"/>
                <w:lang w:eastAsia="en-GB"/>
              </w:rPr>
              <w:t>Money Market Funds</w:t>
            </w:r>
          </w:p>
        </w:tc>
        <w:tc>
          <w:tcPr>
            <w:tcW w:w="1591" w:type="dxa"/>
            <w:tcBorders>
              <w:top w:val="nil"/>
              <w:left w:val="nil"/>
              <w:bottom w:val="nil"/>
              <w:right w:val="single" w:sz="4" w:space="0" w:color="auto"/>
            </w:tcBorders>
            <w:shd w:val="clear" w:color="auto" w:fill="auto"/>
            <w:noWrap/>
            <w:vAlign w:val="bottom"/>
            <w:hideMark/>
          </w:tcPr>
          <w:p w14:paraId="2C86E53B" w14:textId="77777777" w:rsidR="00CA2E5F" w:rsidRPr="00CA2E5F" w:rsidRDefault="00CA2E5F" w:rsidP="00CA2E5F">
            <w:pPr>
              <w:jc w:val="right"/>
              <w:rPr>
                <w:rFonts w:ascii="Calibri" w:hAnsi="Calibri" w:cs="Calibri"/>
                <w:color w:val="000000"/>
                <w:lang w:eastAsia="en-GB"/>
              </w:rPr>
            </w:pPr>
            <w:r w:rsidRPr="00CA2E5F">
              <w:rPr>
                <w:rFonts w:ascii="Calibri" w:hAnsi="Calibri" w:cs="Calibri"/>
                <w:color w:val="000000"/>
                <w:lang w:eastAsia="en-GB"/>
              </w:rPr>
              <w:t>4,100</w:t>
            </w:r>
          </w:p>
        </w:tc>
      </w:tr>
      <w:tr w:rsidR="00CA2E5F" w:rsidRPr="00CA2E5F" w14:paraId="078E19B2" w14:textId="77777777" w:rsidTr="00CA2E5F">
        <w:trPr>
          <w:trHeight w:val="290"/>
          <w:jc w:val="center"/>
        </w:trPr>
        <w:tc>
          <w:tcPr>
            <w:tcW w:w="1838" w:type="dxa"/>
            <w:tcBorders>
              <w:top w:val="single" w:sz="4" w:space="0" w:color="auto"/>
              <w:left w:val="single" w:sz="4" w:space="0" w:color="auto"/>
              <w:bottom w:val="single" w:sz="4" w:space="0" w:color="auto"/>
              <w:right w:val="nil"/>
            </w:tcBorders>
            <w:shd w:val="clear" w:color="auto" w:fill="auto"/>
            <w:noWrap/>
            <w:vAlign w:val="bottom"/>
            <w:hideMark/>
          </w:tcPr>
          <w:p w14:paraId="0D2343B1" w14:textId="77777777" w:rsidR="00CA2E5F" w:rsidRPr="00CA2E5F" w:rsidRDefault="00CA2E5F" w:rsidP="00CA2E5F">
            <w:pPr>
              <w:jc w:val="right"/>
              <w:rPr>
                <w:rFonts w:ascii="Calibri" w:hAnsi="Calibri" w:cs="Calibri"/>
                <w:color w:val="000000"/>
                <w:lang w:eastAsia="en-GB"/>
              </w:rPr>
            </w:pPr>
            <w:r w:rsidRPr="00CA2E5F">
              <w:rPr>
                <w:rFonts w:ascii="Calibri" w:hAnsi="Calibri" w:cs="Calibri"/>
                <w:color w:val="000000"/>
                <w:lang w:eastAsia="en-GB"/>
              </w:rPr>
              <w:t>4,512</w:t>
            </w:r>
          </w:p>
        </w:tc>
        <w:tc>
          <w:tcPr>
            <w:tcW w:w="2520" w:type="dxa"/>
            <w:tcBorders>
              <w:top w:val="nil"/>
              <w:left w:val="nil"/>
              <w:bottom w:val="single" w:sz="4" w:space="0" w:color="auto"/>
              <w:right w:val="nil"/>
            </w:tcBorders>
            <w:shd w:val="clear" w:color="auto" w:fill="auto"/>
            <w:noWrap/>
            <w:vAlign w:val="bottom"/>
            <w:hideMark/>
          </w:tcPr>
          <w:p w14:paraId="1CE8835E" w14:textId="77777777" w:rsidR="00CA2E5F" w:rsidRPr="00CA2E5F" w:rsidRDefault="00CA2E5F" w:rsidP="00CA2E5F">
            <w:pPr>
              <w:rPr>
                <w:rFonts w:ascii="Calibri" w:hAnsi="Calibri" w:cs="Calibri"/>
                <w:color w:val="000000"/>
                <w:lang w:eastAsia="en-GB"/>
              </w:rPr>
            </w:pPr>
            <w:r w:rsidRPr="00CA2E5F">
              <w:rPr>
                <w:rFonts w:ascii="Calibri" w:hAnsi="Calibri" w:cs="Calibri"/>
                <w:color w:val="000000"/>
                <w:lang w:eastAsia="en-GB"/>
              </w:rPr>
              <w:t> </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1F046B1E" w14:textId="77777777" w:rsidR="00CA2E5F" w:rsidRPr="00CA2E5F" w:rsidRDefault="00CA2E5F" w:rsidP="00CA2E5F">
            <w:pPr>
              <w:jc w:val="right"/>
              <w:rPr>
                <w:rFonts w:ascii="Calibri" w:hAnsi="Calibri" w:cs="Calibri"/>
                <w:color w:val="000000"/>
                <w:lang w:eastAsia="en-GB"/>
              </w:rPr>
            </w:pPr>
            <w:r w:rsidRPr="00CA2E5F">
              <w:rPr>
                <w:rFonts w:ascii="Calibri" w:hAnsi="Calibri" w:cs="Calibri"/>
                <w:color w:val="000000"/>
                <w:lang w:eastAsia="en-GB"/>
              </w:rPr>
              <w:t>4,590</w:t>
            </w:r>
          </w:p>
        </w:tc>
      </w:tr>
    </w:tbl>
    <w:p w14:paraId="4BF98943" w14:textId="77777777" w:rsidR="00CA2E5F" w:rsidRPr="004D5CA8" w:rsidRDefault="00CA2E5F" w:rsidP="006D2EED">
      <w:pPr>
        <w:ind w:left="709"/>
        <w:rPr>
          <w:highlight w:val="yellow"/>
        </w:rPr>
      </w:pPr>
    </w:p>
    <w:p w14:paraId="485A48C4" w14:textId="6BEE8F4D" w:rsidR="00E00863" w:rsidRPr="004D5CA8" w:rsidRDefault="00E00863" w:rsidP="005C4E2E">
      <w:pPr>
        <w:jc w:val="center"/>
        <w:rPr>
          <w:sz w:val="22"/>
          <w:highlight w:val="yellow"/>
        </w:rPr>
      </w:pPr>
      <w:bookmarkStart w:id="210" w:name="_MON_1364128824"/>
      <w:bookmarkStart w:id="211" w:name="_MON_1364128842"/>
      <w:bookmarkStart w:id="212" w:name="_MON_1364128873"/>
      <w:bookmarkStart w:id="213" w:name="_MON_1364128884"/>
      <w:bookmarkStart w:id="214" w:name="_MON_1364128897"/>
      <w:bookmarkStart w:id="215" w:name="_MON_1364128922"/>
      <w:bookmarkStart w:id="216" w:name="_MON_1364128938"/>
      <w:bookmarkStart w:id="217" w:name="_MON_1367753806"/>
      <w:bookmarkStart w:id="218" w:name="_MON_1367753900"/>
      <w:bookmarkStart w:id="219" w:name="_MON_1369553372"/>
      <w:bookmarkStart w:id="220" w:name="_MON_1369728016"/>
      <w:bookmarkStart w:id="221" w:name="_MON_1369728026"/>
      <w:bookmarkStart w:id="222" w:name="_MON_1372667448"/>
      <w:bookmarkStart w:id="223" w:name="_MON_1372667553"/>
      <w:bookmarkStart w:id="224" w:name="_MON_1372667576"/>
      <w:bookmarkStart w:id="225" w:name="_MON_1372667629"/>
      <w:bookmarkStart w:id="226" w:name="_MON_1372667661"/>
      <w:bookmarkStart w:id="227" w:name="_MON_1372668030"/>
      <w:bookmarkStart w:id="228" w:name="_MON_1372668067"/>
      <w:bookmarkStart w:id="229" w:name="_MON_1395564508"/>
      <w:bookmarkStart w:id="230" w:name="_MON_1395564801"/>
      <w:bookmarkStart w:id="231" w:name="_MON_1401094668"/>
      <w:bookmarkStart w:id="232" w:name="_MON_1401537115"/>
      <w:bookmarkStart w:id="233" w:name="_MON_1401877371"/>
      <w:bookmarkStart w:id="234" w:name="_MON_1402138591"/>
      <w:bookmarkStart w:id="235" w:name="_MON_1429982179"/>
      <w:bookmarkStart w:id="236" w:name="_MON_1363761277"/>
      <w:bookmarkStart w:id="237" w:name="_MON_1363761304"/>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485A48C5" w14:textId="476C3914" w:rsidR="00E00863" w:rsidRPr="004D5CA8" w:rsidRDefault="00E00863" w:rsidP="00456191">
      <w:pPr>
        <w:ind w:left="851"/>
        <w:rPr>
          <w:highlight w:val="yellow"/>
        </w:rPr>
      </w:pPr>
    </w:p>
    <w:p w14:paraId="485A48C6" w14:textId="77777777" w:rsidR="00B94E7F" w:rsidRPr="004D5CA8" w:rsidRDefault="00B94E7F" w:rsidP="006D2EED">
      <w:pPr>
        <w:rPr>
          <w:highlight w:val="yellow"/>
        </w:rPr>
      </w:pPr>
    </w:p>
    <w:p w14:paraId="485A48C7" w14:textId="0974449F" w:rsidR="00E00863" w:rsidRPr="00080DE9" w:rsidRDefault="00CF3182" w:rsidP="00CF3182">
      <w:pPr>
        <w:pStyle w:val="Subtitle"/>
        <w:numPr>
          <w:ilvl w:val="0"/>
          <w:numId w:val="0"/>
        </w:numPr>
        <w:tabs>
          <w:tab w:val="left" w:pos="-709"/>
          <w:tab w:val="left" w:pos="-284"/>
          <w:tab w:val="left" w:pos="-142"/>
          <w:tab w:val="left" w:pos="0"/>
          <w:tab w:val="left" w:pos="567"/>
        </w:tabs>
        <w:spacing w:line="240" w:lineRule="atLeast"/>
        <w:ind w:right="680"/>
        <w:rPr>
          <w:rFonts w:ascii="Arial" w:eastAsia="Times New Roman" w:hAnsi="Arial"/>
          <w:b/>
          <w:i w:val="0"/>
          <w:iCs w:val="0"/>
          <w:spacing w:val="0"/>
          <w:sz w:val="23"/>
          <w:szCs w:val="23"/>
          <w:u w:val="none"/>
          <w:lang w:eastAsia="en-US"/>
        </w:rPr>
      </w:pPr>
      <w:r w:rsidRPr="00080DE9">
        <w:rPr>
          <w:rFonts w:ascii="Arial" w:hAnsi="Arial" w:cs="Arial"/>
          <w:b/>
          <w:i w:val="0"/>
          <w:sz w:val="23"/>
          <w:szCs w:val="23"/>
          <w:u w:val="none"/>
        </w:rPr>
        <w:t>2</w:t>
      </w:r>
      <w:r w:rsidR="00FB3A44" w:rsidRPr="00080DE9">
        <w:rPr>
          <w:rFonts w:ascii="Arial" w:hAnsi="Arial" w:cs="Arial"/>
          <w:b/>
          <w:i w:val="0"/>
          <w:sz w:val="23"/>
          <w:szCs w:val="23"/>
          <w:u w:val="none"/>
        </w:rPr>
        <w:t>7</w:t>
      </w:r>
      <w:r w:rsidR="004B1BA7" w:rsidRPr="00080DE9">
        <w:rPr>
          <w:rFonts w:ascii="Arial" w:hAnsi="Arial" w:cs="Arial"/>
          <w:b/>
          <w:i w:val="0"/>
          <w:sz w:val="23"/>
          <w:szCs w:val="23"/>
          <w:u w:val="none"/>
        </w:rPr>
        <w:t>.</w:t>
      </w:r>
      <w:r w:rsidR="004B1BA7" w:rsidRPr="00080DE9">
        <w:rPr>
          <w:rFonts w:ascii="Arial" w:hAnsi="Arial" w:cs="Arial"/>
          <w:b/>
          <w:i w:val="0"/>
          <w:sz w:val="23"/>
          <w:szCs w:val="23"/>
          <w:u w:val="none"/>
        </w:rPr>
        <w:tab/>
      </w:r>
      <w:r w:rsidR="00E00863" w:rsidRPr="00080DE9">
        <w:rPr>
          <w:rFonts w:ascii="Arial" w:eastAsia="Times New Roman" w:hAnsi="Arial"/>
          <w:b/>
          <w:i w:val="0"/>
          <w:iCs w:val="0"/>
          <w:spacing w:val="0"/>
          <w:sz w:val="23"/>
          <w:szCs w:val="23"/>
          <w:u w:val="none"/>
          <w:lang w:eastAsia="en-US"/>
        </w:rPr>
        <w:t xml:space="preserve">Short Term Debtors </w:t>
      </w:r>
      <w:r w:rsidR="007D68CF" w:rsidRPr="00080DE9">
        <w:rPr>
          <w:rFonts w:ascii="Arial" w:eastAsia="Times New Roman" w:hAnsi="Arial"/>
          <w:b/>
          <w:i w:val="0"/>
          <w:iCs w:val="0"/>
          <w:spacing w:val="0"/>
          <w:sz w:val="23"/>
          <w:szCs w:val="23"/>
          <w:u w:val="none"/>
          <w:lang w:eastAsia="en-US"/>
        </w:rPr>
        <w:t>and</w:t>
      </w:r>
      <w:r w:rsidR="00E00863" w:rsidRPr="00080DE9">
        <w:rPr>
          <w:rFonts w:ascii="Arial" w:eastAsia="Times New Roman" w:hAnsi="Arial"/>
          <w:b/>
          <w:i w:val="0"/>
          <w:iCs w:val="0"/>
          <w:spacing w:val="0"/>
          <w:sz w:val="23"/>
          <w:szCs w:val="23"/>
          <w:u w:val="none"/>
          <w:lang w:eastAsia="en-US"/>
        </w:rPr>
        <w:t xml:space="preserve"> Prepayments</w:t>
      </w:r>
      <w:r w:rsidR="00080DE9">
        <w:rPr>
          <w:rFonts w:ascii="Arial" w:eastAsia="Times New Roman" w:hAnsi="Arial"/>
          <w:b/>
          <w:i w:val="0"/>
          <w:iCs w:val="0"/>
          <w:spacing w:val="0"/>
          <w:sz w:val="23"/>
          <w:szCs w:val="23"/>
          <w:u w:val="none"/>
          <w:lang w:eastAsia="en-US"/>
        </w:rPr>
        <w:t xml:space="preserve"> </w:t>
      </w:r>
    </w:p>
    <w:p w14:paraId="5602E9F4" w14:textId="77777777" w:rsidR="00080DE9" w:rsidRDefault="00080DE9" w:rsidP="00080DE9">
      <w:pPr>
        <w:rPr>
          <w:highlight w:val="yellow"/>
        </w:rPr>
      </w:pPr>
    </w:p>
    <w:tbl>
      <w:tblPr>
        <w:tblW w:w="7752" w:type="dxa"/>
        <w:jc w:val="center"/>
        <w:tblLook w:val="04A0" w:firstRow="1" w:lastRow="0" w:firstColumn="1" w:lastColumn="0" w:noHBand="0" w:noVBand="1"/>
      </w:tblPr>
      <w:tblGrid>
        <w:gridCol w:w="968"/>
        <w:gridCol w:w="976"/>
        <w:gridCol w:w="3756"/>
        <w:gridCol w:w="1076"/>
        <w:gridCol w:w="976"/>
      </w:tblGrid>
      <w:tr w:rsidR="00080DE9" w:rsidRPr="00080DE9" w14:paraId="415FAA07" w14:textId="77777777" w:rsidTr="00080DE9">
        <w:trPr>
          <w:trHeight w:val="300"/>
          <w:jc w:val="center"/>
        </w:trPr>
        <w:tc>
          <w:tcPr>
            <w:tcW w:w="968" w:type="dxa"/>
            <w:tcBorders>
              <w:top w:val="single" w:sz="4" w:space="0" w:color="auto"/>
              <w:left w:val="single" w:sz="4" w:space="0" w:color="auto"/>
              <w:bottom w:val="single" w:sz="4" w:space="0" w:color="auto"/>
              <w:right w:val="nil"/>
            </w:tcBorders>
            <w:shd w:val="clear" w:color="000000" w:fill="000000"/>
            <w:noWrap/>
            <w:vAlign w:val="bottom"/>
            <w:hideMark/>
          </w:tcPr>
          <w:p w14:paraId="27A1EB4B" w14:textId="77777777" w:rsidR="00080DE9" w:rsidRPr="00080DE9" w:rsidRDefault="00080DE9" w:rsidP="00080DE9">
            <w:pPr>
              <w:rPr>
                <w:rFonts w:cs="Arial"/>
                <w:color w:val="FFFFFF"/>
                <w:sz w:val="20"/>
                <w:szCs w:val="20"/>
                <w:lang w:eastAsia="en-GB"/>
              </w:rPr>
            </w:pPr>
            <w:r w:rsidRPr="00080DE9">
              <w:rPr>
                <w:rFonts w:cs="Arial"/>
                <w:color w:val="FFFFFF"/>
                <w:sz w:val="20"/>
                <w:szCs w:val="20"/>
                <w:lang w:eastAsia="en-GB"/>
              </w:rPr>
              <w:t> </w:t>
            </w:r>
          </w:p>
        </w:tc>
        <w:tc>
          <w:tcPr>
            <w:tcW w:w="976" w:type="dxa"/>
            <w:tcBorders>
              <w:top w:val="single" w:sz="4" w:space="0" w:color="auto"/>
              <w:left w:val="nil"/>
              <w:bottom w:val="single" w:sz="4" w:space="0" w:color="auto"/>
              <w:right w:val="nil"/>
            </w:tcBorders>
            <w:shd w:val="clear" w:color="000000" w:fill="000000"/>
            <w:noWrap/>
            <w:vAlign w:val="bottom"/>
            <w:hideMark/>
          </w:tcPr>
          <w:p w14:paraId="09CC5EF0" w14:textId="77777777" w:rsidR="00080DE9" w:rsidRPr="00080DE9" w:rsidRDefault="00080DE9" w:rsidP="00080DE9">
            <w:pPr>
              <w:jc w:val="center"/>
              <w:rPr>
                <w:rFonts w:cs="Arial"/>
                <w:b/>
                <w:bCs/>
                <w:color w:val="FFFFFF"/>
                <w:lang w:eastAsia="en-GB"/>
              </w:rPr>
            </w:pPr>
            <w:r w:rsidRPr="00080DE9">
              <w:rPr>
                <w:rFonts w:cs="Arial"/>
                <w:b/>
                <w:bCs/>
                <w:color w:val="FFFFFF"/>
                <w:lang w:eastAsia="en-GB"/>
              </w:rPr>
              <w:t> </w:t>
            </w:r>
          </w:p>
        </w:tc>
        <w:tc>
          <w:tcPr>
            <w:tcW w:w="3756" w:type="dxa"/>
            <w:tcBorders>
              <w:top w:val="single" w:sz="4" w:space="0" w:color="auto"/>
              <w:left w:val="nil"/>
              <w:bottom w:val="single" w:sz="4" w:space="0" w:color="auto"/>
              <w:right w:val="nil"/>
            </w:tcBorders>
            <w:shd w:val="clear" w:color="000000" w:fill="000000"/>
            <w:noWrap/>
            <w:vAlign w:val="bottom"/>
            <w:hideMark/>
          </w:tcPr>
          <w:p w14:paraId="0062C3A1" w14:textId="77777777" w:rsidR="00080DE9" w:rsidRPr="00080DE9" w:rsidRDefault="00080DE9" w:rsidP="00080DE9">
            <w:pPr>
              <w:rPr>
                <w:rFonts w:cs="Arial"/>
                <w:color w:val="FFFFFF"/>
                <w:sz w:val="20"/>
                <w:szCs w:val="20"/>
                <w:lang w:eastAsia="en-GB"/>
              </w:rPr>
            </w:pPr>
            <w:r w:rsidRPr="00080DE9">
              <w:rPr>
                <w:rFonts w:cs="Arial"/>
                <w:color w:val="FFFFFF"/>
                <w:sz w:val="20"/>
                <w:szCs w:val="20"/>
                <w:lang w:eastAsia="en-GB"/>
              </w:rPr>
              <w:t> </w:t>
            </w:r>
          </w:p>
        </w:tc>
        <w:tc>
          <w:tcPr>
            <w:tcW w:w="1076" w:type="dxa"/>
            <w:tcBorders>
              <w:top w:val="single" w:sz="4" w:space="0" w:color="auto"/>
              <w:left w:val="nil"/>
              <w:bottom w:val="single" w:sz="4" w:space="0" w:color="auto"/>
              <w:right w:val="nil"/>
            </w:tcBorders>
            <w:shd w:val="clear" w:color="000000" w:fill="000000"/>
            <w:noWrap/>
            <w:vAlign w:val="bottom"/>
            <w:hideMark/>
          </w:tcPr>
          <w:p w14:paraId="67F7B1EE" w14:textId="77777777" w:rsidR="00080DE9" w:rsidRPr="00080DE9" w:rsidRDefault="00080DE9" w:rsidP="00080DE9">
            <w:pPr>
              <w:rPr>
                <w:rFonts w:cs="Arial"/>
                <w:color w:val="FFFFFF"/>
                <w:sz w:val="20"/>
                <w:szCs w:val="20"/>
                <w:lang w:eastAsia="en-GB"/>
              </w:rPr>
            </w:pPr>
            <w:r w:rsidRPr="00080DE9">
              <w:rPr>
                <w:rFonts w:cs="Arial"/>
                <w:color w:val="FFFFFF"/>
                <w:sz w:val="20"/>
                <w:szCs w:val="20"/>
                <w:lang w:eastAsia="en-GB"/>
              </w:rPr>
              <w:t> </w:t>
            </w:r>
          </w:p>
        </w:tc>
        <w:tc>
          <w:tcPr>
            <w:tcW w:w="976" w:type="dxa"/>
            <w:tcBorders>
              <w:top w:val="single" w:sz="4" w:space="0" w:color="auto"/>
              <w:left w:val="nil"/>
              <w:bottom w:val="single" w:sz="4" w:space="0" w:color="auto"/>
              <w:right w:val="nil"/>
            </w:tcBorders>
            <w:shd w:val="clear" w:color="000000" w:fill="000000"/>
            <w:noWrap/>
            <w:vAlign w:val="bottom"/>
            <w:hideMark/>
          </w:tcPr>
          <w:p w14:paraId="2471EB61" w14:textId="77777777" w:rsidR="00080DE9" w:rsidRPr="00080DE9" w:rsidRDefault="00080DE9" w:rsidP="00080DE9">
            <w:pPr>
              <w:rPr>
                <w:rFonts w:cs="Arial"/>
                <w:color w:val="FFFFFF"/>
                <w:sz w:val="20"/>
                <w:szCs w:val="20"/>
                <w:lang w:eastAsia="en-GB"/>
              </w:rPr>
            </w:pPr>
            <w:r w:rsidRPr="00080DE9">
              <w:rPr>
                <w:rFonts w:cs="Arial"/>
                <w:color w:val="FFFFFF"/>
                <w:sz w:val="20"/>
                <w:szCs w:val="20"/>
                <w:lang w:eastAsia="en-GB"/>
              </w:rPr>
              <w:t> </w:t>
            </w:r>
          </w:p>
        </w:tc>
      </w:tr>
      <w:tr w:rsidR="00080DE9" w:rsidRPr="00080DE9" w14:paraId="4B3C4A9E" w14:textId="77777777" w:rsidTr="00080DE9">
        <w:trPr>
          <w:trHeight w:val="310"/>
          <w:jc w:val="center"/>
        </w:trPr>
        <w:tc>
          <w:tcPr>
            <w:tcW w:w="968" w:type="dxa"/>
            <w:tcBorders>
              <w:top w:val="nil"/>
              <w:left w:val="single" w:sz="4" w:space="0" w:color="auto"/>
              <w:bottom w:val="nil"/>
              <w:right w:val="nil"/>
            </w:tcBorders>
            <w:shd w:val="clear" w:color="000000" w:fill="000000"/>
            <w:noWrap/>
            <w:vAlign w:val="bottom"/>
            <w:hideMark/>
          </w:tcPr>
          <w:p w14:paraId="0E0A9474" w14:textId="77777777" w:rsidR="00080DE9" w:rsidRPr="00080DE9" w:rsidRDefault="00080DE9" w:rsidP="00080DE9">
            <w:pPr>
              <w:rPr>
                <w:rFonts w:cs="Arial"/>
                <w:color w:val="FFFFFF"/>
                <w:lang w:eastAsia="en-GB"/>
              </w:rPr>
            </w:pPr>
            <w:r w:rsidRPr="00080DE9">
              <w:rPr>
                <w:rFonts w:cs="Arial"/>
                <w:color w:val="FFFFFF"/>
                <w:lang w:eastAsia="en-GB"/>
              </w:rPr>
              <w:t> </w:t>
            </w:r>
          </w:p>
        </w:tc>
        <w:tc>
          <w:tcPr>
            <w:tcW w:w="976" w:type="dxa"/>
            <w:tcBorders>
              <w:top w:val="nil"/>
              <w:left w:val="nil"/>
              <w:bottom w:val="nil"/>
              <w:right w:val="nil"/>
            </w:tcBorders>
            <w:shd w:val="clear" w:color="000000" w:fill="000000"/>
            <w:noWrap/>
            <w:vAlign w:val="bottom"/>
            <w:hideMark/>
          </w:tcPr>
          <w:p w14:paraId="46EDEBAD" w14:textId="77777777" w:rsidR="00080DE9" w:rsidRPr="00080DE9" w:rsidRDefault="00080DE9" w:rsidP="00080DE9">
            <w:pPr>
              <w:jc w:val="center"/>
              <w:rPr>
                <w:rFonts w:cs="Arial"/>
                <w:b/>
                <w:bCs/>
                <w:color w:val="FFFFFF"/>
                <w:sz w:val="22"/>
                <w:szCs w:val="22"/>
                <w:lang w:eastAsia="en-GB"/>
              </w:rPr>
            </w:pPr>
            <w:r w:rsidRPr="00080DE9">
              <w:rPr>
                <w:rFonts w:cs="Arial"/>
                <w:b/>
                <w:bCs/>
                <w:color w:val="FFFFFF"/>
                <w:sz w:val="22"/>
                <w:szCs w:val="22"/>
                <w:lang w:eastAsia="en-GB"/>
              </w:rPr>
              <w:t>31 March</w:t>
            </w:r>
          </w:p>
        </w:tc>
        <w:tc>
          <w:tcPr>
            <w:tcW w:w="3756" w:type="dxa"/>
            <w:tcBorders>
              <w:top w:val="nil"/>
              <w:left w:val="nil"/>
              <w:bottom w:val="nil"/>
              <w:right w:val="nil"/>
            </w:tcBorders>
            <w:shd w:val="clear" w:color="000000" w:fill="000000"/>
            <w:noWrap/>
            <w:vAlign w:val="bottom"/>
            <w:hideMark/>
          </w:tcPr>
          <w:p w14:paraId="307714E7" w14:textId="77777777" w:rsidR="00080DE9" w:rsidRPr="00080DE9" w:rsidRDefault="00080DE9" w:rsidP="00080DE9">
            <w:pPr>
              <w:rPr>
                <w:rFonts w:cs="Arial"/>
                <w:color w:val="FFFFFF"/>
                <w:sz w:val="22"/>
                <w:szCs w:val="22"/>
                <w:lang w:eastAsia="en-GB"/>
              </w:rPr>
            </w:pPr>
            <w:r w:rsidRPr="00080DE9">
              <w:rPr>
                <w:rFonts w:cs="Arial"/>
                <w:color w:val="FFFFFF"/>
                <w:sz w:val="22"/>
                <w:szCs w:val="22"/>
                <w:lang w:eastAsia="en-GB"/>
              </w:rPr>
              <w:t> </w:t>
            </w:r>
          </w:p>
        </w:tc>
        <w:tc>
          <w:tcPr>
            <w:tcW w:w="1076" w:type="dxa"/>
            <w:tcBorders>
              <w:top w:val="nil"/>
              <w:left w:val="nil"/>
              <w:bottom w:val="nil"/>
              <w:right w:val="nil"/>
            </w:tcBorders>
            <w:shd w:val="clear" w:color="000000" w:fill="000000"/>
            <w:noWrap/>
            <w:vAlign w:val="bottom"/>
            <w:hideMark/>
          </w:tcPr>
          <w:p w14:paraId="6369BF94" w14:textId="77777777" w:rsidR="00080DE9" w:rsidRPr="00080DE9" w:rsidRDefault="00080DE9" w:rsidP="00080DE9">
            <w:pPr>
              <w:jc w:val="center"/>
              <w:rPr>
                <w:rFonts w:cs="Arial"/>
                <w:b/>
                <w:bCs/>
                <w:color w:val="FFFFFF"/>
                <w:sz w:val="22"/>
                <w:szCs w:val="22"/>
                <w:lang w:eastAsia="en-GB"/>
              </w:rPr>
            </w:pPr>
            <w:r w:rsidRPr="00080DE9">
              <w:rPr>
                <w:rFonts w:cs="Arial"/>
                <w:b/>
                <w:bCs/>
                <w:color w:val="FFFFFF"/>
                <w:sz w:val="22"/>
                <w:szCs w:val="22"/>
                <w:lang w:eastAsia="en-GB"/>
              </w:rPr>
              <w:t>31 March</w:t>
            </w:r>
          </w:p>
        </w:tc>
        <w:tc>
          <w:tcPr>
            <w:tcW w:w="976" w:type="dxa"/>
            <w:tcBorders>
              <w:top w:val="nil"/>
              <w:left w:val="nil"/>
              <w:bottom w:val="nil"/>
              <w:right w:val="single" w:sz="4" w:space="0" w:color="auto"/>
            </w:tcBorders>
            <w:shd w:val="clear" w:color="000000" w:fill="000000"/>
            <w:noWrap/>
            <w:vAlign w:val="bottom"/>
            <w:hideMark/>
          </w:tcPr>
          <w:p w14:paraId="6AE76C8D" w14:textId="77777777" w:rsidR="00080DE9" w:rsidRPr="00080DE9" w:rsidRDefault="00080DE9" w:rsidP="00080DE9">
            <w:pPr>
              <w:rPr>
                <w:rFonts w:cs="Arial"/>
                <w:color w:val="FFFFFF"/>
                <w:lang w:eastAsia="en-GB"/>
              </w:rPr>
            </w:pPr>
            <w:r w:rsidRPr="00080DE9">
              <w:rPr>
                <w:rFonts w:cs="Arial"/>
                <w:color w:val="FFFFFF"/>
                <w:lang w:eastAsia="en-GB"/>
              </w:rPr>
              <w:t> </w:t>
            </w:r>
          </w:p>
        </w:tc>
      </w:tr>
      <w:tr w:rsidR="00080DE9" w:rsidRPr="00080DE9" w14:paraId="48E95132" w14:textId="77777777" w:rsidTr="00080DE9">
        <w:trPr>
          <w:trHeight w:val="300"/>
          <w:jc w:val="center"/>
        </w:trPr>
        <w:tc>
          <w:tcPr>
            <w:tcW w:w="968" w:type="dxa"/>
            <w:tcBorders>
              <w:top w:val="nil"/>
              <w:left w:val="single" w:sz="4" w:space="0" w:color="auto"/>
              <w:bottom w:val="nil"/>
              <w:right w:val="nil"/>
            </w:tcBorders>
            <w:shd w:val="clear" w:color="000000" w:fill="000000"/>
            <w:noWrap/>
            <w:vAlign w:val="bottom"/>
            <w:hideMark/>
          </w:tcPr>
          <w:p w14:paraId="630770BA" w14:textId="77777777" w:rsidR="00080DE9" w:rsidRPr="00080DE9" w:rsidRDefault="00080DE9" w:rsidP="00080DE9">
            <w:pPr>
              <w:rPr>
                <w:rFonts w:cs="Arial"/>
                <w:color w:val="FFFFFF"/>
                <w:lang w:eastAsia="en-GB"/>
              </w:rPr>
            </w:pPr>
            <w:r w:rsidRPr="00080DE9">
              <w:rPr>
                <w:rFonts w:cs="Arial"/>
                <w:color w:val="FFFFFF"/>
                <w:lang w:eastAsia="en-GB"/>
              </w:rPr>
              <w:t> </w:t>
            </w:r>
          </w:p>
        </w:tc>
        <w:tc>
          <w:tcPr>
            <w:tcW w:w="976" w:type="dxa"/>
            <w:tcBorders>
              <w:top w:val="nil"/>
              <w:left w:val="nil"/>
              <w:bottom w:val="nil"/>
              <w:right w:val="nil"/>
            </w:tcBorders>
            <w:shd w:val="clear" w:color="000000" w:fill="000000"/>
            <w:noWrap/>
            <w:vAlign w:val="bottom"/>
            <w:hideMark/>
          </w:tcPr>
          <w:p w14:paraId="2F7C8DE7" w14:textId="77777777" w:rsidR="00080DE9" w:rsidRPr="00080DE9" w:rsidRDefault="00080DE9" w:rsidP="00080DE9">
            <w:pPr>
              <w:jc w:val="center"/>
              <w:rPr>
                <w:rFonts w:cs="Arial"/>
                <w:b/>
                <w:bCs/>
                <w:color w:val="FFFFFF"/>
                <w:sz w:val="22"/>
                <w:szCs w:val="22"/>
                <w:lang w:eastAsia="en-GB"/>
              </w:rPr>
            </w:pPr>
            <w:r w:rsidRPr="00080DE9">
              <w:rPr>
                <w:rFonts w:cs="Arial"/>
                <w:b/>
                <w:bCs/>
                <w:color w:val="FFFFFF"/>
                <w:sz w:val="22"/>
                <w:szCs w:val="22"/>
                <w:lang w:eastAsia="en-GB"/>
              </w:rPr>
              <w:t>2022</w:t>
            </w:r>
          </w:p>
        </w:tc>
        <w:tc>
          <w:tcPr>
            <w:tcW w:w="3756" w:type="dxa"/>
            <w:tcBorders>
              <w:top w:val="nil"/>
              <w:left w:val="nil"/>
              <w:bottom w:val="nil"/>
              <w:right w:val="nil"/>
            </w:tcBorders>
            <w:shd w:val="clear" w:color="000000" w:fill="000000"/>
            <w:noWrap/>
            <w:vAlign w:val="bottom"/>
            <w:hideMark/>
          </w:tcPr>
          <w:p w14:paraId="585C93D5" w14:textId="77777777" w:rsidR="00080DE9" w:rsidRPr="00080DE9" w:rsidRDefault="00080DE9" w:rsidP="00080DE9">
            <w:pPr>
              <w:rPr>
                <w:rFonts w:cs="Arial"/>
                <w:color w:val="FFFFFF"/>
                <w:sz w:val="22"/>
                <w:szCs w:val="22"/>
                <w:lang w:eastAsia="en-GB"/>
              </w:rPr>
            </w:pPr>
            <w:r w:rsidRPr="00080DE9">
              <w:rPr>
                <w:rFonts w:cs="Arial"/>
                <w:color w:val="FFFFFF"/>
                <w:sz w:val="22"/>
                <w:szCs w:val="22"/>
                <w:lang w:eastAsia="en-GB"/>
              </w:rPr>
              <w:t> </w:t>
            </w:r>
          </w:p>
        </w:tc>
        <w:tc>
          <w:tcPr>
            <w:tcW w:w="1076" w:type="dxa"/>
            <w:tcBorders>
              <w:top w:val="nil"/>
              <w:left w:val="nil"/>
              <w:bottom w:val="nil"/>
              <w:right w:val="nil"/>
            </w:tcBorders>
            <w:shd w:val="clear" w:color="000000" w:fill="000000"/>
            <w:noWrap/>
            <w:vAlign w:val="bottom"/>
            <w:hideMark/>
          </w:tcPr>
          <w:p w14:paraId="72A04611" w14:textId="77777777" w:rsidR="00080DE9" w:rsidRPr="00080DE9" w:rsidRDefault="00080DE9" w:rsidP="00080DE9">
            <w:pPr>
              <w:jc w:val="center"/>
              <w:rPr>
                <w:rFonts w:cs="Arial"/>
                <w:b/>
                <w:bCs/>
                <w:color w:val="FFFFFF"/>
                <w:sz w:val="22"/>
                <w:szCs w:val="22"/>
                <w:lang w:eastAsia="en-GB"/>
              </w:rPr>
            </w:pPr>
            <w:r w:rsidRPr="00080DE9">
              <w:rPr>
                <w:rFonts w:cs="Arial"/>
                <w:b/>
                <w:bCs/>
                <w:color w:val="FFFFFF"/>
                <w:sz w:val="22"/>
                <w:szCs w:val="22"/>
                <w:lang w:eastAsia="en-GB"/>
              </w:rPr>
              <w:t>2023</w:t>
            </w:r>
          </w:p>
        </w:tc>
        <w:tc>
          <w:tcPr>
            <w:tcW w:w="976" w:type="dxa"/>
            <w:tcBorders>
              <w:top w:val="nil"/>
              <w:left w:val="nil"/>
              <w:bottom w:val="nil"/>
              <w:right w:val="single" w:sz="4" w:space="0" w:color="auto"/>
            </w:tcBorders>
            <w:shd w:val="clear" w:color="000000" w:fill="000000"/>
            <w:noWrap/>
            <w:vAlign w:val="bottom"/>
            <w:hideMark/>
          </w:tcPr>
          <w:p w14:paraId="09ACE567" w14:textId="77777777" w:rsidR="00080DE9" w:rsidRPr="00080DE9" w:rsidRDefault="00080DE9" w:rsidP="00080DE9">
            <w:pPr>
              <w:rPr>
                <w:rFonts w:cs="Arial"/>
                <w:color w:val="FFFFFF"/>
                <w:lang w:eastAsia="en-GB"/>
              </w:rPr>
            </w:pPr>
            <w:r w:rsidRPr="00080DE9">
              <w:rPr>
                <w:rFonts w:cs="Arial"/>
                <w:color w:val="FFFFFF"/>
                <w:lang w:eastAsia="en-GB"/>
              </w:rPr>
              <w:t> </w:t>
            </w:r>
          </w:p>
        </w:tc>
      </w:tr>
      <w:tr w:rsidR="00080DE9" w:rsidRPr="00080DE9" w14:paraId="21D723EC" w14:textId="77777777" w:rsidTr="00080DE9">
        <w:trPr>
          <w:trHeight w:val="300"/>
          <w:jc w:val="center"/>
        </w:trPr>
        <w:tc>
          <w:tcPr>
            <w:tcW w:w="968" w:type="dxa"/>
            <w:tcBorders>
              <w:top w:val="nil"/>
              <w:left w:val="single" w:sz="4" w:space="0" w:color="auto"/>
              <w:bottom w:val="nil"/>
              <w:right w:val="nil"/>
            </w:tcBorders>
            <w:shd w:val="clear" w:color="000000" w:fill="000000"/>
            <w:noWrap/>
            <w:vAlign w:val="bottom"/>
            <w:hideMark/>
          </w:tcPr>
          <w:p w14:paraId="39DCCE85" w14:textId="77777777" w:rsidR="00080DE9" w:rsidRPr="00080DE9" w:rsidRDefault="00080DE9" w:rsidP="00080DE9">
            <w:pPr>
              <w:rPr>
                <w:rFonts w:cs="Arial"/>
                <w:color w:val="FFFFFF"/>
                <w:lang w:eastAsia="en-GB"/>
              </w:rPr>
            </w:pPr>
            <w:r w:rsidRPr="00080DE9">
              <w:rPr>
                <w:rFonts w:cs="Arial"/>
                <w:color w:val="FFFFFF"/>
                <w:lang w:eastAsia="en-GB"/>
              </w:rPr>
              <w:t> </w:t>
            </w:r>
          </w:p>
        </w:tc>
        <w:tc>
          <w:tcPr>
            <w:tcW w:w="976" w:type="dxa"/>
            <w:tcBorders>
              <w:top w:val="nil"/>
              <w:left w:val="nil"/>
              <w:bottom w:val="nil"/>
              <w:right w:val="nil"/>
            </w:tcBorders>
            <w:shd w:val="clear" w:color="000000" w:fill="000000"/>
            <w:noWrap/>
            <w:vAlign w:val="bottom"/>
            <w:hideMark/>
          </w:tcPr>
          <w:p w14:paraId="66EB989C" w14:textId="77777777" w:rsidR="00080DE9" w:rsidRPr="00080DE9" w:rsidRDefault="00080DE9" w:rsidP="00080DE9">
            <w:pPr>
              <w:jc w:val="center"/>
              <w:rPr>
                <w:rFonts w:cs="Arial"/>
                <w:b/>
                <w:bCs/>
                <w:color w:val="FFFFFF"/>
                <w:sz w:val="22"/>
                <w:szCs w:val="22"/>
                <w:lang w:eastAsia="en-GB"/>
              </w:rPr>
            </w:pPr>
            <w:r w:rsidRPr="00080DE9">
              <w:rPr>
                <w:rFonts w:cs="Arial"/>
                <w:b/>
                <w:bCs/>
                <w:color w:val="FFFFFF"/>
                <w:sz w:val="22"/>
                <w:szCs w:val="22"/>
                <w:lang w:eastAsia="en-GB"/>
              </w:rPr>
              <w:t> </w:t>
            </w:r>
          </w:p>
        </w:tc>
        <w:tc>
          <w:tcPr>
            <w:tcW w:w="3756" w:type="dxa"/>
            <w:tcBorders>
              <w:top w:val="nil"/>
              <w:left w:val="nil"/>
              <w:bottom w:val="nil"/>
              <w:right w:val="nil"/>
            </w:tcBorders>
            <w:shd w:val="clear" w:color="000000" w:fill="000000"/>
            <w:noWrap/>
            <w:vAlign w:val="bottom"/>
            <w:hideMark/>
          </w:tcPr>
          <w:p w14:paraId="774A7FC5" w14:textId="77777777" w:rsidR="00080DE9" w:rsidRPr="00080DE9" w:rsidRDefault="00080DE9" w:rsidP="00080DE9">
            <w:pPr>
              <w:rPr>
                <w:rFonts w:cs="Arial"/>
                <w:color w:val="FFFFFF"/>
                <w:sz w:val="22"/>
                <w:szCs w:val="22"/>
                <w:lang w:eastAsia="en-GB"/>
              </w:rPr>
            </w:pPr>
            <w:r w:rsidRPr="00080DE9">
              <w:rPr>
                <w:rFonts w:cs="Arial"/>
                <w:color w:val="FFFFFF"/>
                <w:sz w:val="22"/>
                <w:szCs w:val="22"/>
                <w:lang w:eastAsia="en-GB"/>
              </w:rPr>
              <w:t> </w:t>
            </w:r>
          </w:p>
        </w:tc>
        <w:tc>
          <w:tcPr>
            <w:tcW w:w="1076" w:type="dxa"/>
            <w:tcBorders>
              <w:top w:val="nil"/>
              <w:left w:val="nil"/>
              <w:bottom w:val="nil"/>
              <w:right w:val="nil"/>
            </w:tcBorders>
            <w:shd w:val="clear" w:color="000000" w:fill="000000"/>
            <w:noWrap/>
            <w:vAlign w:val="bottom"/>
            <w:hideMark/>
          </w:tcPr>
          <w:p w14:paraId="0014A660" w14:textId="77777777" w:rsidR="00080DE9" w:rsidRPr="00080DE9" w:rsidRDefault="00080DE9" w:rsidP="00080DE9">
            <w:pPr>
              <w:jc w:val="center"/>
              <w:rPr>
                <w:rFonts w:cs="Arial"/>
                <w:b/>
                <w:bCs/>
                <w:color w:val="FFFFFF"/>
                <w:sz w:val="22"/>
                <w:szCs w:val="22"/>
                <w:lang w:eastAsia="en-GB"/>
              </w:rPr>
            </w:pPr>
            <w:r w:rsidRPr="00080DE9">
              <w:rPr>
                <w:rFonts w:cs="Arial"/>
                <w:b/>
                <w:bCs/>
                <w:color w:val="FFFFFF"/>
                <w:sz w:val="22"/>
                <w:szCs w:val="22"/>
                <w:lang w:eastAsia="en-GB"/>
              </w:rPr>
              <w:t> </w:t>
            </w:r>
          </w:p>
        </w:tc>
        <w:tc>
          <w:tcPr>
            <w:tcW w:w="976" w:type="dxa"/>
            <w:tcBorders>
              <w:top w:val="nil"/>
              <w:left w:val="nil"/>
              <w:bottom w:val="nil"/>
              <w:right w:val="single" w:sz="4" w:space="0" w:color="auto"/>
            </w:tcBorders>
            <w:shd w:val="clear" w:color="000000" w:fill="000000"/>
            <w:noWrap/>
            <w:vAlign w:val="bottom"/>
            <w:hideMark/>
          </w:tcPr>
          <w:p w14:paraId="333F6374" w14:textId="77777777" w:rsidR="00080DE9" w:rsidRPr="00080DE9" w:rsidRDefault="00080DE9" w:rsidP="00080DE9">
            <w:pPr>
              <w:rPr>
                <w:rFonts w:cs="Arial"/>
                <w:color w:val="FFFFFF"/>
                <w:lang w:eastAsia="en-GB"/>
              </w:rPr>
            </w:pPr>
            <w:r w:rsidRPr="00080DE9">
              <w:rPr>
                <w:rFonts w:cs="Arial"/>
                <w:color w:val="FFFFFF"/>
                <w:lang w:eastAsia="en-GB"/>
              </w:rPr>
              <w:t> </w:t>
            </w:r>
          </w:p>
        </w:tc>
      </w:tr>
      <w:tr w:rsidR="00080DE9" w:rsidRPr="00080DE9" w14:paraId="2912A4AF" w14:textId="77777777" w:rsidTr="00080DE9">
        <w:trPr>
          <w:trHeight w:val="310"/>
          <w:jc w:val="center"/>
        </w:trPr>
        <w:tc>
          <w:tcPr>
            <w:tcW w:w="968" w:type="dxa"/>
            <w:tcBorders>
              <w:top w:val="nil"/>
              <w:left w:val="single" w:sz="4" w:space="0" w:color="auto"/>
              <w:bottom w:val="nil"/>
              <w:right w:val="nil"/>
            </w:tcBorders>
            <w:shd w:val="clear" w:color="000000" w:fill="000000"/>
            <w:noWrap/>
            <w:vAlign w:val="bottom"/>
            <w:hideMark/>
          </w:tcPr>
          <w:p w14:paraId="5589E07C" w14:textId="77777777" w:rsidR="00080DE9" w:rsidRPr="00080DE9" w:rsidRDefault="00080DE9" w:rsidP="00080DE9">
            <w:pPr>
              <w:rPr>
                <w:rFonts w:cs="Arial"/>
                <w:color w:val="FFFFFF"/>
                <w:lang w:eastAsia="en-GB"/>
              </w:rPr>
            </w:pPr>
            <w:r w:rsidRPr="00080DE9">
              <w:rPr>
                <w:rFonts w:cs="Arial"/>
                <w:color w:val="FFFFFF"/>
                <w:lang w:eastAsia="en-GB"/>
              </w:rPr>
              <w:t> </w:t>
            </w:r>
          </w:p>
        </w:tc>
        <w:tc>
          <w:tcPr>
            <w:tcW w:w="976" w:type="dxa"/>
            <w:tcBorders>
              <w:top w:val="nil"/>
              <w:left w:val="nil"/>
              <w:bottom w:val="nil"/>
              <w:right w:val="nil"/>
            </w:tcBorders>
            <w:shd w:val="clear" w:color="000000" w:fill="000000"/>
            <w:noWrap/>
            <w:vAlign w:val="bottom"/>
            <w:hideMark/>
          </w:tcPr>
          <w:p w14:paraId="2575E764" w14:textId="77777777" w:rsidR="00080DE9" w:rsidRPr="00080DE9" w:rsidRDefault="00080DE9" w:rsidP="00080DE9">
            <w:pPr>
              <w:jc w:val="center"/>
              <w:rPr>
                <w:rFonts w:cs="Arial"/>
                <w:b/>
                <w:bCs/>
                <w:color w:val="FFFFFF"/>
                <w:sz w:val="22"/>
                <w:szCs w:val="22"/>
                <w:lang w:eastAsia="en-GB"/>
              </w:rPr>
            </w:pPr>
            <w:r w:rsidRPr="00080DE9">
              <w:rPr>
                <w:rFonts w:cs="Arial"/>
                <w:b/>
                <w:bCs/>
                <w:color w:val="FFFFFF"/>
                <w:sz w:val="22"/>
                <w:szCs w:val="22"/>
                <w:lang w:eastAsia="en-GB"/>
              </w:rPr>
              <w:t>£000</w:t>
            </w:r>
          </w:p>
        </w:tc>
        <w:tc>
          <w:tcPr>
            <w:tcW w:w="3756" w:type="dxa"/>
            <w:tcBorders>
              <w:top w:val="nil"/>
              <w:left w:val="nil"/>
              <w:bottom w:val="nil"/>
              <w:right w:val="nil"/>
            </w:tcBorders>
            <w:shd w:val="clear" w:color="000000" w:fill="000000"/>
            <w:noWrap/>
            <w:vAlign w:val="bottom"/>
            <w:hideMark/>
          </w:tcPr>
          <w:p w14:paraId="373AA1D9" w14:textId="77777777" w:rsidR="00080DE9" w:rsidRPr="00080DE9" w:rsidRDefault="00080DE9" w:rsidP="00080DE9">
            <w:pPr>
              <w:rPr>
                <w:rFonts w:cs="Arial"/>
                <w:color w:val="FFFFFF"/>
                <w:sz w:val="22"/>
                <w:szCs w:val="22"/>
                <w:lang w:eastAsia="en-GB"/>
              </w:rPr>
            </w:pPr>
            <w:r w:rsidRPr="00080DE9">
              <w:rPr>
                <w:rFonts w:cs="Arial"/>
                <w:color w:val="FFFFFF"/>
                <w:sz w:val="22"/>
                <w:szCs w:val="22"/>
                <w:lang w:eastAsia="en-GB"/>
              </w:rPr>
              <w:t> </w:t>
            </w:r>
          </w:p>
        </w:tc>
        <w:tc>
          <w:tcPr>
            <w:tcW w:w="1076" w:type="dxa"/>
            <w:tcBorders>
              <w:top w:val="nil"/>
              <w:left w:val="nil"/>
              <w:bottom w:val="nil"/>
              <w:right w:val="nil"/>
            </w:tcBorders>
            <w:shd w:val="clear" w:color="000000" w:fill="000000"/>
            <w:noWrap/>
            <w:vAlign w:val="bottom"/>
            <w:hideMark/>
          </w:tcPr>
          <w:p w14:paraId="5F5FD659" w14:textId="77777777" w:rsidR="00080DE9" w:rsidRPr="00080DE9" w:rsidRDefault="00080DE9" w:rsidP="00080DE9">
            <w:pPr>
              <w:jc w:val="center"/>
              <w:rPr>
                <w:rFonts w:cs="Arial"/>
                <w:b/>
                <w:bCs/>
                <w:color w:val="FFFFFF"/>
                <w:sz w:val="22"/>
                <w:szCs w:val="22"/>
                <w:lang w:eastAsia="en-GB"/>
              </w:rPr>
            </w:pPr>
            <w:r w:rsidRPr="00080DE9">
              <w:rPr>
                <w:rFonts w:cs="Arial"/>
                <w:b/>
                <w:bCs/>
                <w:color w:val="FFFFFF"/>
                <w:sz w:val="22"/>
                <w:szCs w:val="22"/>
                <w:lang w:eastAsia="en-GB"/>
              </w:rPr>
              <w:t>£000</w:t>
            </w:r>
          </w:p>
        </w:tc>
        <w:tc>
          <w:tcPr>
            <w:tcW w:w="976" w:type="dxa"/>
            <w:tcBorders>
              <w:top w:val="nil"/>
              <w:left w:val="nil"/>
              <w:bottom w:val="nil"/>
              <w:right w:val="single" w:sz="4" w:space="0" w:color="auto"/>
            </w:tcBorders>
            <w:shd w:val="clear" w:color="000000" w:fill="000000"/>
            <w:noWrap/>
            <w:vAlign w:val="bottom"/>
            <w:hideMark/>
          </w:tcPr>
          <w:p w14:paraId="7AAF1056" w14:textId="77777777" w:rsidR="00080DE9" w:rsidRPr="00080DE9" w:rsidRDefault="00080DE9" w:rsidP="00080DE9">
            <w:pPr>
              <w:rPr>
                <w:rFonts w:cs="Arial"/>
                <w:color w:val="FFFFFF"/>
                <w:lang w:eastAsia="en-GB"/>
              </w:rPr>
            </w:pPr>
            <w:r w:rsidRPr="00080DE9">
              <w:rPr>
                <w:rFonts w:cs="Arial"/>
                <w:color w:val="FFFFFF"/>
                <w:lang w:eastAsia="en-GB"/>
              </w:rPr>
              <w:t> </w:t>
            </w:r>
          </w:p>
        </w:tc>
      </w:tr>
      <w:tr w:rsidR="00080DE9" w:rsidRPr="00080DE9" w14:paraId="4C81D5D6" w14:textId="77777777" w:rsidTr="00080DE9">
        <w:trPr>
          <w:trHeight w:val="300"/>
          <w:jc w:val="center"/>
        </w:trPr>
        <w:tc>
          <w:tcPr>
            <w:tcW w:w="968" w:type="dxa"/>
            <w:tcBorders>
              <w:top w:val="nil"/>
              <w:left w:val="single" w:sz="4" w:space="0" w:color="auto"/>
              <w:bottom w:val="nil"/>
              <w:right w:val="nil"/>
            </w:tcBorders>
            <w:shd w:val="clear" w:color="auto" w:fill="auto"/>
            <w:noWrap/>
            <w:vAlign w:val="bottom"/>
            <w:hideMark/>
          </w:tcPr>
          <w:p w14:paraId="4B44A7B6" w14:textId="77777777" w:rsidR="00080DE9" w:rsidRPr="00080DE9" w:rsidRDefault="00080DE9" w:rsidP="00080DE9">
            <w:pPr>
              <w:rPr>
                <w:rFonts w:cs="Arial"/>
                <w:lang w:eastAsia="en-GB"/>
              </w:rPr>
            </w:pPr>
            <w:r w:rsidRPr="00080DE9">
              <w:rPr>
                <w:rFonts w:cs="Arial"/>
                <w:lang w:eastAsia="en-GB"/>
              </w:rPr>
              <w:t> </w:t>
            </w:r>
          </w:p>
        </w:tc>
        <w:tc>
          <w:tcPr>
            <w:tcW w:w="976" w:type="dxa"/>
            <w:tcBorders>
              <w:top w:val="nil"/>
              <w:left w:val="nil"/>
              <w:bottom w:val="nil"/>
              <w:right w:val="nil"/>
            </w:tcBorders>
            <w:shd w:val="clear" w:color="auto" w:fill="auto"/>
            <w:noWrap/>
            <w:vAlign w:val="bottom"/>
            <w:hideMark/>
          </w:tcPr>
          <w:p w14:paraId="23E2DEAA" w14:textId="77777777" w:rsidR="00080DE9" w:rsidRPr="00080DE9" w:rsidRDefault="00080DE9" w:rsidP="00080DE9">
            <w:pPr>
              <w:rPr>
                <w:rFonts w:cs="Arial"/>
                <w:lang w:eastAsia="en-GB"/>
              </w:rPr>
            </w:pPr>
          </w:p>
        </w:tc>
        <w:tc>
          <w:tcPr>
            <w:tcW w:w="3756" w:type="dxa"/>
            <w:tcBorders>
              <w:top w:val="nil"/>
              <w:left w:val="nil"/>
              <w:bottom w:val="nil"/>
              <w:right w:val="nil"/>
            </w:tcBorders>
            <w:shd w:val="clear" w:color="auto" w:fill="auto"/>
            <w:noWrap/>
            <w:vAlign w:val="bottom"/>
            <w:hideMark/>
          </w:tcPr>
          <w:p w14:paraId="5184E8AA" w14:textId="77777777" w:rsidR="00080DE9" w:rsidRPr="00080DE9" w:rsidRDefault="00080DE9" w:rsidP="00080DE9">
            <w:pPr>
              <w:jc w:val="right"/>
              <w:rPr>
                <w:rFonts w:ascii="Times New Roman" w:hAnsi="Times New Roman"/>
                <w:sz w:val="20"/>
                <w:szCs w:val="20"/>
                <w:lang w:eastAsia="en-GB"/>
              </w:rPr>
            </w:pPr>
          </w:p>
        </w:tc>
        <w:tc>
          <w:tcPr>
            <w:tcW w:w="1076" w:type="dxa"/>
            <w:tcBorders>
              <w:top w:val="nil"/>
              <w:left w:val="nil"/>
              <w:bottom w:val="nil"/>
              <w:right w:val="nil"/>
            </w:tcBorders>
            <w:shd w:val="clear" w:color="auto" w:fill="auto"/>
            <w:noWrap/>
            <w:vAlign w:val="bottom"/>
            <w:hideMark/>
          </w:tcPr>
          <w:p w14:paraId="72DE917B" w14:textId="77777777" w:rsidR="00080DE9" w:rsidRPr="00080DE9" w:rsidRDefault="00080DE9" w:rsidP="00080DE9">
            <w:pPr>
              <w:rPr>
                <w:rFonts w:ascii="Times New Roman" w:hAnsi="Times New Roman"/>
                <w:sz w:val="20"/>
                <w:szCs w:val="20"/>
                <w:lang w:eastAsia="en-GB"/>
              </w:rPr>
            </w:pPr>
          </w:p>
        </w:tc>
        <w:tc>
          <w:tcPr>
            <w:tcW w:w="976" w:type="dxa"/>
            <w:tcBorders>
              <w:top w:val="nil"/>
              <w:left w:val="nil"/>
              <w:bottom w:val="nil"/>
              <w:right w:val="single" w:sz="4" w:space="0" w:color="auto"/>
            </w:tcBorders>
            <w:shd w:val="clear" w:color="auto" w:fill="auto"/>
            <w:noWrap/>
            <w:vAlign w:val="bottom"/>
            <w:hideMark/>
          </w:tcPr>
          <w:p w14:paraId="5F7FFFB6" w14:textId="77777777" w:rsidR="00080DE9" w:rsidRPr="00080DE9" w:rsidRDefault="00080DE9" w:rsidP="00080DE9">
            <w:pPr>
              <w:rPr>
                <w:rFonts w:cs="Arial"/>
                <w:lang w:eastAsia="en-GB"/>
              </w:rPr>
            </w:pPr>
            <w:r w:rsidRPr="00080DE9">
              <w:rPr>
                <w:rFonts w:cs="Arial"/>
                <w:lang w:eastAsia="en-GB"/>
              </w:rPr>
              <w:t> </w:t>
            </w:r>
          </w:p>
        </w:tc>
      </w:tr>
      <w:tr w:rsidR="00080DE9" w:rsidRPr="00080DE9" w14:paraId="409C4918" w14:textId="77777777" w:rsidTr="00080DE9">
        <w:trPr>
          <w:trHeight w:val="300"/>
          <w:jc w:val="center"/>
        </w:trPr>
        <w:tc>
          <w:tcPr>
            <w:tcW w:w="968" w:type="dxa"/>
            <w:tcBorders>
              <w:top w:val="nil"/>
              <w:left w:val="single" w:sz="4" w:space="0" w:color="auto"/>
              <w:bottom w:val="nil"/>
              <w:right w:val="nil"/>
            </w:tcBorders>
            <w:shd w:val="clear" w:color="000000" w:fill="FFFFFF"/>
            <w:noWrap/>
            <w:vAlign w:val="bottom"/>
            <w:hideMark/>
          </w:tcPr>
          <w:p w14:paraId="2BF56216" w14:textId="77777777" w:rsidR="00080DE9" w:rsidRPr="00080DE9" w:rsidRDefault="00080DE9" w:rsidP="00080DE9">
            <w:pPr>
              <w:rPr>
                <w:rFonts w:cs="Arial"/>
                <w:lang w:eastAsia="en-GB"/>
              </w:rPr>
            </w:pPr>
            <w:r w:rsidRPr="00080DE9">
              <w:rPr>
                <w:rFonts w:cs="Arial"/>
                <w:lang w:eastAsia="en-GB"/>
              </w:rPr>
              <w:t> </w:t>
            </w:r>
          </w:p>
        </w:tc>
        <w:tc>
          <w:tcPr>
            <w:tcW w:w="976" w:type="dxa"/>
            <w:tcBorders>
              <w:top w:val="nil"/>
              <w:left w:val="nil"/>
              <w:bottom w:val="nil"/>
              <w:right w:val="nil"/>
            </w:tcBorders>
            <w:shd w:val="clear" w:color="000000" w:fill="FFFFFF"/>
            <w:noWrap/>
            <w:vAlign w:val="bottom"/>
            <w:hideMark/>
          </w:tcPr>
          <w:p w14:paraId="7FC0BCAE" w14:textId="77777777" w:rsidR="00080DE9" w:rsidRPr="00080DE9" w:rsidRDefault="00080DE9" w:rsidP="00080DE9">
            <w:pPr>
              <w:jc w:val="right"/>
              <w:rPr>
                <w:rFonts w:cs="Arial"/>
                <w:lang w:eastAsia="en-GB"/>
              </w:rPr>
            </w:pPr>
            <w:r w:rsidRPr="00080DE9">
              <w:rPr>
                <w:rFonts w:cs="Arial"/>
                <w:lang w:eastAsia="en-GB"/>
              </w:rPr>
              <w:t>(22)</w:t>
            </w:r>
          </w:p>
        </w:tc>
        <w:tc>
          <w:tcPr>
            <w:tcW w:w="3756" w:type="dxa"/>
            <w:tcBorders>
              <w:top w:val="nil"/>
              <w:left w:val="nil"/>
              <w:bottom w:val="nil"/>
              <w:right w:val="nil"/>
            </w:tcBorders>
            <w:shd w:val="clear" w:color="000000" w:fill="FFFFFF"/>
            <w:noWrap/>
            <w:vAlign w:val="bottom"/>
            <w:hideMark/>
          </w:tcPr>
          <w:p w14:paraId="2013657C" w14:textId="77777777" w:rsidR="00080DE9" w:rsidRPr="00080DE9" w:rsidRDefault="00080DE9" w:rsidP="00080DE9">
            <w:pPr>
              <w:rPr>
                <w:rFonts w:cs="Arial"/>
                <w:b/>
                <w:bCs/>
                <w:lang w:eastAsia="en-GB"/>
              </w:rPr>
            </w:pPr>
            <w:r w:rsidRPr="00080DE9">
              <w:rPr>
                <w:rFonts w:cs="Arial"/>
                <w:b/>
                <w:bCs/>
                <w:lang w:eastAsia="en-GB"/>
              </w:rPr>
              <w:t>Impairment for Bad Debts</w:t>
            </w:r>
          </w:p>
        </w:tc>
        <w:tc>
          <w:tcPr>
            <w:tcW w:w="1076" w:type="dxa"/>
            <w:tcBorders>
              <w:top w:val="nil"/>
              <w:left w:val="nil"/>
              <w:bottom w:val="nil"/>
              <w:right w:val="nil"/>
            </w:tcBorders>
            <w:shd w:val="clear" w:color="000000" w:fill="FFFFFF"/>
            <w:noWrap/>
            <w:vAlign w:val="bottom"/>
            <w:hideMark/>
          </w:tcPr>
          <w:p w14:paraId="23290CB5" w14:textId="77777777" w:rsidR="00080DE9" w:rsidRPr="00080DE9" w:rsidRDefault="00080DE9" w:rsidP="00080DE9">
            <w:pPr>
              <w:jc w:val="right"/>
              <w:rPr>
                <w:rFonts w:cs="Arial"/>
                <w:lang w:eastAsia="en-GB"/>
              </w:rPr>
            </w:pPr>
            <w:r w:rsidRPr="00080DE9">
              <w:rPr>
                <w:rFonts w:cs="Arial"/>
                <w:lang w:eastAsia="en-GB"/>
              </w:rPr>
              <w:t>(24)</w:t>
            </w:r>
          </w:p>
        </w:tc>
        <w:tc>
          <w:tcPr>
            <w:tcW w:w="976" w:type="dxa"/>
            <w:tcBorders>
              <w:top w:val="nil"/>
              <w:left w:val="nil"/>
              <w:bottom w:val="nil"/>
              <w:right w:val="single" w:sz="4" w:space="0" w:color="auto"/>
            </w:tcBorders>
            <w:shd w:val="clear" w:color="000000" w:fill="FFFFFF"/>
            <w:noWrap/>
            <w:vAlign w:val="bottom"/>
            <w:hideMark/>
          </w:tcPr>
          <w:p w14:paraId="78D93A3E" w14:textId="77777777" w:rsidR="00080DE9" w:rsidRPr="00080DE9" w:rsidRDefault="00080DE9" w:rsidP="00080DE9">
            <w:pPr>
              <w:rPr>
                <w:rFonts w:cs="Arial"/>
                <w:lang w:eastAsia="en-GB"/>
              </w:rPr>
            </w:pPr>
            <w:r w:rsidRPr="00080DE9">
              <w:rPr>
                <w:rFonts w:cs="Arial"/>
                <w:lang w:eastAsia="en-GB"/>
              </w:rPr>
              <w:t> </w:t>
            </w:r>
          </w:p>
        </w:tc>
      </w:tr>
      <w:tr w:rsidR="00080DE9" w:rsidRPr="00080DE9" w14:paraId="2A841A9C" w14:textId="77777777" w:rsidTr="00080DE9">
        <w:trPr>
          <w:trHeight w:val="300"/>
          <w:jc w:val="center"/>
        </w:trPr>
        <w:tc>
          <w:tcPr>
            <w:tcW w:w="968" w:type="dxa"/>
            <w:tcBorders>
              <w:top w:val="nil"/>
              <w:left w:val="single" w:sz="4" w:space="0" w:color="auto"/>
              <w:bottom w:val="nil"/>
              <w:right w:val="nil"/>
            </w:tcBorders>
            <w:shd w:val="clear" w:color="000000" w:fill="FFFFFF"/>
            <w:noWrap/>
            <w:vAlign w:val="bottom"/>
            <w:hideMark/>
          </w:tcPr>
          <w:p w14:paraId="46ACFF33" w14:textId="77777777" w:rsidR="00080DE9" w:rsidRPr="00080DE9" w:rsidRDefault="00080DE9" w:rsidP="00080DE9">
            <w:pPr>
              <w:rPr>
                <w:rFonts w:cs="Arial"/>
                <w:lang w:eastAsia="en-GB"/>
              </w:rPr>
            </w:pPr>
            <w:r w:rsidRPr="00080DE9">
              <w:rPr>
                <w:rFonts w:cs="Arial"/>
                <w:lang w:eastAsia="en-GB"/>
              </w:rPr>
              <w:t> </w:t>
            </w:r>
          </w:p>
        </w:tc>
        <w:tc>
          <w:tcPr>
            <w:tcW w:w="976" w:type="dxa"/>
            <w:tcBorders>
              <w:top w:val="nil"/>
              <w:left w:val="nil"/>
              <w:bottom w:val="nil"/>
              <w:right w:val="nil"/>
            </w:tcBorders>
            <w:shd w:val="clear" w:color="000000" w:fill="FFFFFF"/>
            <w:noWrap/>
            <w:vAlign w:val="bottom"/>
            <w:hideMark/>
          </w:tcPr>
          <w:p w14:paraId="75C72D6D" w14:textId="77777777" w:rsidR="00080DE9" w:rsidRPr="00080DE9" w:rsidRDefault="00080DE9" w:rsidP="00080DE9">
            <w:pPr>
              <w:jc w:val="right"/>
              <w:rPr>
                <w:rFonts w:cs="Arial"/>
                <w:b/>
                <w:bCs/>
                <w:lang w:eastAsia="en-GB"/>
              </w:rPr>
            </w:pPr>
            <w:r w:rsidRPr="00080DE9">
              <w:rPr>
                <w:rFonts w:cs="Arial"/>
                <w:b/>
                <w:bCs/>
                <w:lang w:eastAsia="en-GB"/>
              </w:rPr>
              <w:t> </w:t>
            </w:r>
          </w:p>
        </w:tc>
        <w:tc>
          <w:tcPr>
            <w:tcW w:w="3756" w:type="dxa"/>
            <w:tcBorders>
              <w:top w:val="nil"/>
              <w:left w:val="nil"/>
              <w:bottom w:val="nil"/>
              <w:right w:val="nil"/>
            </w:tcBorders>
            <w:shd w:val="clear" w:color="000000" w:fill="FFFFFF"/>
            <w:noWrap/>
            <w:vAlign w:val="bottom"/>
            <w:hideMark/>
          </w:tcPr>
          <w:p w14:paraId="7526AFFF" w14:textId="77777777" w:rsidR="00080DE9" w:rsidRPr="00080DE9" w:rsidRDefault="00080DE9" w:rsidP="00080DE9">
            <w:pPr>
              <w:rPr>
                <w:rFonts w:cs="Arial"/>
                <w:b/>
                <w:bCs/>
                <w:lang w:eastAsia="en-GB"/>
              </w:rPr>
            </w:pPr>
            <w:r w:rsidRPr="00080DE9">
              <w:rPr>
                <w:rFonts w:cs="Arial"/>
                <w:b/>
                <w:bCs/>
                <w:lang w:eastAsia="en-GB"/>
              </w:rPr>
              <w:t>Prepayments &amp; Accrued Income</w:t>
            </w:r>
          </w:p>
        </w:tc>
        <w:tc>
          <w:tcPr>
            <w:tcW w:w="1076" w:type="dxa"/>
            <w:tcBorders>
              <w:top w:val="nil"/>
              <w:left w:val="nil"/>
              <w:bottom w:val="nil"/>
              <w:right w:val="nil"/>
            </w:tcBorders>
            <w:shd w:val="clear" w:color="000000" w:fill="FFFFFF"/>
            <w:noWrap/>
            <w:vAlign w:val="bottom"/>
            <w:hideMark/>
          </w:tcPr>
          <w:p w14:paraId="683ABE26" w14:textId="77777777" w:rsidR="00080DE9" w:rsidRPr="00080DE9" w:rsidRDefault="00080DE9" w:rsidP="00080DE9">
            <w:pPr>
              <w:jc w:val="right"/>
              <w:rPr>
                <w:rFonts w:cs="Arial"/>
                <w:b/>
                <w:bCs/>
                <w:lang w:eastAsia="en-GB"/>
              </w:rPr>
            </w:pPr>
            <w:r w:rsidRPr="00080DE9">
              <w:rPr>
                <w:rFonts w:cs="Arial"/>
                <w:b/>
                <w:bCs/>
                <w:lang w:eastAsia="en-GB"/>
              </w:rPr>
              <w:t> </w:t>
            </w:r>
          </w:p>
        </w:tc>
        <w:tc>
          <w:tcPr>
            <w:tcW w:w="976" w:type="dxa"/>
            <w:tcBorders>
              <w:top w:val="nil"/>
              <w:left w:val="nil"/>
              <w:bottom w:val="nil"/>
              <w:right w:val="single" w:sz="4" w:space="0" w:color="auto"/>
            </w:tcBorders>
            <w:shd w:val="clear" w:color="000000" w:fill="FFFFFF"/>
            <w:noWrap/>
            <w:vAlign w:val="bottom"/>
            <w:hideMark/>
          </w:tcPr>
          <w:p w14:paraId="309DA307" w14:textId="77777777" w:rsidR="00080DE9" w:rsidRPr="00080DE9" w:rsidRDefault="00080DE9" w:rsidP="00080DE9">
            <w:pPr>
              <w:rPr>
                <w:rFonts w:cs="Arial"/>
                <w:lang w:eastAsia="en-GB"/>
              </w:rPr>
            </w:pPr>
            <w:r w:rsidRPr="00080DE9">
              <w:rPr>
                <w:rFonts w:cs="Arial"/>
                <w:lang w:eastAsia="en-GB"/>
              </w:rPr>
              <w:t> </w:t>
            </w:r>
          </w:p>
        </w:tc>
      </w:tr>
      <w:tr w:rsidR="00080DE9" w:rsidRPr="00080DE9" w14:paraId="3C83C11A" w14:textId="77777777" w:rsidTr="00080DE9">
        <w:trPr>
          <w:trHeight w:val="300"/>
          <w:jc w:val="center"/>
        </w:trPr>
        <w:tc>
          <w:tcPr>
            <w:tcW w:w="968" w:type="dxa"/>
            <w:tcBorders>
              <w:top w:val="nil"/>
              <w:left w:val="single" w:sz="4" w:space="0" w:color="auto"/>
              <w:bottom w:val="nil"/>
              <w:right w:val="nil"/>
            </w:tcBorders>
            <w:shd w:val="clear" w:color="000000" w:fill="FFFFFF"/>
            <w:noWrap/>
            <w:vAlign w:val="bottom"/>
            <w:hideMark/>
          </w:tcPr>
          <w:p w14:paraId="28FDAF0F" w14:textId="77777777" w:rsidR="00080DE9" w:rsidRPr="00080DE9" w:rsidRDefault="00080DE9" w:rsidP="00080DE9">
            <w:pPr>
              <w:rPr>
                <w:rFonts w:cs="Arial"/>
                <w:lang w:eastAsia="en-GB"/>
              </w:rPr>
            </w:pPr>
            <w:r w:rsidRPr="00080DE9">
              <w:rPr>
                <w:rFonts w:cs="Arial"/>
                <w:lang w:eastAsia="en-GB"/>
              </w:rPr>
              <w:t> </w:t>
            </w:r>
          </w:p>
        </w:tc>
        <w:tc>
          <w:tcPr>
            <w:tcW w:w="976" w:type="dxa"/>
            <w:tcBorders>
              <w:top w:val="nil"/>
              <w:left w:val="nil"/>
              <w:bottom w:val="nil"/>
              <w:right w:val="nil"/>
            </w:tcBorders>
            <w:shd w:val="clear" w:color="000000" w:fill="FFFFFF"/>
            <w:noWrap/>
            <w:vAlign w:val="bottom"/>
            <w:hideMark/>
          </w:tcPr>
          <w:p w14:paraId="2731AADE" w14:textId="77777777" w:rsidR="00080DE9" w:rsidRPr="00080DE9" w:rsidRDefault="00080DE9" w:rsidP="00080DE9">
            <w:pPr>
              <w:jc w:val="right"/>
              <w:rPr>
                <w:rFonts w:cs="Arial"/>
                <w:b/>
                <w:bCs/>
                <w:lang w:eastAsia="en-GB"/>
              </w:rPr>
            </w:pPr>
            <w:r w:rsidRPr="00080DE9">
              <w:rPr>
                <w:rFonts w:cs="Arial"/>
                <w:b/>
                <w:bCs/>
                <w:lang w:eastAsia="en-GB"/>
              </w:rPr>
              <w:t> </w:t>
            </w:r>
          </w:p>
        </w:tc>
        <w:tc>
          <w:tcPr>
            <w:tcW w:w="3756" w:type="dxa"/>
            <w:tcBorders>
              <w:top w:val="nil"/>
              <w:left w:val="nil"/>
              <w:bottom w:val="nil"/>
              <w:right w:val="nil"/>
            </w:tcBorders>
            <w:shd w:val="clear" w:color="000000" w:fill="FFFFFF"/>
            <w:noWrap/>
            <w:vAlign w:val="bottom"/>
            <w:hideMark/>
          </w:tcPr>
          <w:p w14:paraId="3774C703" w14:textId="77777777" w:rsidR="00080DE9" w:rsidRPr="00080DE9" w:rsidRDefault="00080DE9" w:rsidP="00080DE9">
            <w:pPr>
              <w:rPr>
                <w:rFonts w:cs="Arial"/>
                <w:b/>
                <w:bCs/>
                <w:lang w:eastAsia="en-GB"/>
              </w:rPr>
            </w:pPr>
            <w:r w:rsidRPr="00080DE9">
              <w:rPr>
                <w:rFonts w:cs="Arial"/>
                <w:b/>
                <w:bCs/>
                <w:lang w:eastAsia="en-GB"/>
              </w:rPr>
              <w:t> </w:t>
            </w:r>
          </w:p>
        </w:tc>
        <w:tc>
          <w:tcPr>
            <w:tcW w:w="1076" w:type="dxa"/>
            <w:tcBorders>
              <w:top w:val="nil"/>
              <w:left w:val="nil"/>
              <w:bottom w:val="nil"/>
              <w:right w:val="nil"/>
            </w:tcBorders>
            <w:shd w:val="clear" w:color="000000" w:fill="FFFFFF"/>
            <w:noWrap/>
            <w:vAlign w:val="bottom"/>
            <w:hideMark/>
          </w:tcPr>
          <w:p w14:paraId="1603990E" w14:textId="77777777" w:rsidR="00080DE9" w:rsidRPr="00080DE9" w:rsidRDefault="00080DE9" w:rsidP="00080DE9">
            <w:pPr>
              <w:jc w:val="right"/>
              <w:rPr>
                <w:rFonts w:cs="Arial"/>
                <w:b/>
                <w:bCs/>
                <w:lang w:eastAsia="en-GB"/>
              </w:rPr>
            </w:pPr>
            <w:r w:rsidRPr="00080DE9">
              <w:rPr>
                <w:rFonts w:cs="Arial"/>
                <w:b/>
                <w:bCs/>
                <w:lang w:eastAsia="en-GB"/>
              </w:rPr>
              <w:t> </w:t>
            </w:r>
          </w:p>
        </w:tc>
        <w:tc>
          <w:tcPr>
            <w:tcW w:w="976" w:type="dxa"/>
            <w:tcBorders>
              <w:top w:val="nil"/>
              <w:left w:val="nil"/>
              <w:bottom w:val="nil"/>
              <w:right w:val="single" w:sz="4" w:space="0" w:color="auto"/>
            </w:tcBorders>
            <w:shd w:val="clear" w:color="000000" w:fill="FFFFFF"/>
            <w:noWrap/>
            <w:vAlign w:val="bottom"/>
            <w:hideMark/>
          </w:tcPr>
          <w:p w14:paraId="23137532" w14:textId="77777777" w:rsidR="00080DE9" w:rsidRPr="00080DE9" w:rsidRDefault="00080DE9" w:rsidP="00080DE9">
            <w:pPr>
              <w:rPr>
                <w:rFonts w:cs="Arial"/>
                <w:lang w:eastAsia="en-GB"/>
              </w:rPr>
            </w:pPr>
            <w:r w:rsidRPr="00080DE9">
              <w:rPr>
                <w:rFonts w:cs="Arial"/>
                <w:lang w:eastAsia="en-GB"/>
              </w:rPr>
              <w:t> </w:t>
            </w:r>
          </w:p>
        </w:tc>
      </w:tr>
      <w:tr w:rsidR="00080DE9" w:rsidRPr="00080DE9" w14:paraId="5FAD9812" w14:textId="77777777" w:rsidTr="00080DE9">
        <w:trPr>
          <w:trHeight w:val="300"/>
          <w:jc w:val="center"/>
        </w:trPr>
        <w:tc>
          <w:tcPr>
            <w:tcW w:w="968" w:type="dxa"/>
            <w:tcBorders>
              <w:top w:val="nil"/>
              <w:left w:val="single" w:sz="4" w:space="0" w:color="auto"/>
              <w:bottom w:val="nil"/>
              <w:right w:val="nil"/>
            </w:tcBorders>
            <w:shd w:val="clear" w:color="000000" w:fill="FFFFFF"/>
            <w:noWrap/>
            <w:vAlign w:val="bottom"/>
            <w:hideMark/>
          </w:tcPr>
          <w:p w14:paraId="2593D64B" w14:textId="77777777" w:rsidR="00080DE9" w:rsidRPr="00080DE9" w:rsidRDefault="00080DE9" w:rsidP="00080DE9">
            <w:pPr>
              <w:rPr>
                <w:rFonts w:cs="Arial"/>
                <w:lang w:eastAsia="en-GB"/>
              </w:rPr>
            </w:pPr>
            <w:r w:rsidRPr="00080DE9">
              <w:rPr>
                <w:rFonts w:cs="Arial"/>
                <w:lang w:eastAsia="en-GB"/>
              </w:rPr>
              <w:t> </w:t>
            </w:r>
          </w:p>
        </w:tc>
        <w:tc>
          <w:tcPr>
            <w:tcW w:w="976" w:type="dxa"/>
            <w:tcBorders>
              <w:top w:val="nil"/>
              <w:left w:val="nil"/>
              <w:bottom w:val="nil"/>
              <w:right w:val="nil"/>
            </w:tcBorders>
            <w:shd w:val="clear" w:color="000000" w:fill="FFFFFF"/>
            <w:noWrap/>
            <w:vAlign w:val="bottom"/>
            <w:hideMark/>
          </w:tcPr>
          <w:p w14:paraId="3390B88A" w14:textId="77777777" w:rsidR="00080DE9" w:rsidRPr="00080DE9" w:rsidRDefault="00080DE9" w:rsidP="00080DE9">
            <w:pPr>
              <w:jc w:val="right"/>
              <w:rPr>
                <w:rFonts w:cs="Arial"/>
                <w:b/>
                <w:bCs/>
                <w:lang w:eastAsia="en-GB"/>
              </w:rPr>
            </w:pPr>
            <w:r w:rsidRPr="00080DE9">
              <w:rPr>
                <w:rFonts w:cs="Arial"/>
                <w:b/>
                <w:bCs/>
                <w:lang w:eastAsia="en-GB"/>
              </w:rPr>
              <w:t> </w:t>
            </w:r>
          </w:p>
        </w:tc>
        <w:tc>
          <w:tcPr>
            <w:tcW w:w="3756" w:type="dxa"/>
            <w:tcBorders>
              <w:top w:val="nil"/>
              <w:left w:val="nil"/>
              <w:bottom w:val="nil"/>
              <w:right w:val="nil"/>
            </w:tcBorders>
            <w:shd w:val="clear" w:color="000000" w:fill="FFFFFF"/>
            <w:noWrap/>
            <w:vAlign w:val="bottom"/>
            <w:hideMark/>
          </w:tcPr>
          <w:p w14:paraId="52044FF0" w14:textId="77777777" w:rsidR="00080DE9" w:rsidRPr="00080DE9" w:rsidRDefault="00080DE9" w:rsidP="00080DE9">
            <w:pPr>
              <w:rPr>
                <w:rFonts w:cs="Arial"/>
                <w:b/>
                <w:bCs/>
                <w:lang w:eastAsia="en-GB"/>
              </w:rPr>
            </w:pPr>
            <w:r w:rsidRPr="00080DE9">
              <w:rPr>
                <w:rFonts w:cs="Arial"/>
                <w:b/>
                <w:bCs/>
                <w:lang w:eastAsia="en-GB"/>
              </w:rPr>
              <w:t> </w:t>
            </w:r>
          </w:p>
        </w:tc>
        <w:tc>
          <w:tcPr>
            <w:tcW w:w="1076" w:type="dxa"/>
            <w:tcBorders>
              <w:top w:val="nil"/>
              <w:left w:val="nil"/>
              <w:bottom w:val="nil"/>
              <w:right w:val="nil"/>
            </w:tcBorders>
            <w:shd w:val="clear" w:color="000000" w:fill="FFFFFF"/>
            <w:noWrap/>
            <w:vAlign w:val="bottom"/>
            <w:hideMark/>
          </w:tcPr>
          <w:p w14:paraId="0A7B80CF" w14:textId="77777777" w:rsidR="00080DE9" w:rsidRPr="00080DE9" w:rsidRDefault="00080DE9" w:rsidP="00080DE9">
            <w:pPr>
              <w:jc w:val="right"/>
              <w:rPr>
                <w:rFonts w:cs="Arial"/>
                <w:b/>
                <w:bCs/>
                <w:lang w:eastAsia="en-GB"/>
              </w:rPr>
            </w:pPr>
            <w:r w:rsidRPr="00080DE9">
              <w:rPr>
                <w:rFonts w:cs="Arial"/>
                <w:b/>
                <w:bCs/>
                <w:lang w:eastAsia="en-GB"/>
              </w:rPr>
              <w:t> </w:t>
            </w:r>
          </w:p>
        </w:tc>
        <w:tc>
          <w:tcPr>
            <w:tcW w:w="976" w:type="dxa"/>
            <w:tcBorders>
              <w:top w:val="nil"/>
              <w:left w:val="nil"/>
              <w:bottom w:val="nil"/>
              <w:right w:val="single" w:sz="4" w:space="0" w:color="auto"/>
            </w:tcBorders>
            <w:shd w:val="clear" w:color="000000" w:fill="FFFFFF"/>
            <w:noWrap/>
            <w:vAlign w:val="bottom"/>
            <w:hideMark/>
          </w:tcPr>
          <w:p w14:paraId="3F0937C7" w14:textId="77777777" w:rsidR="00080DE9" w:rsidRPr="00080DE9" w:rsidRDefault="00080DE9" w:rsidP="00080DE9">
            <w:pPr>
              <w:rPr>
                <w:rFonts w:cs="Arial"/>
                <w:lang w:eastAsia="en-GB"/>
              </w:rPr>
            </w:pPr>
            <w:r w:rsidRPr="00080DE9">
              <w:rPr>
                <w:rFonts w:cs="Arial"/>
                <w:lang w:eastAsia="en-GB"/>
              </w:rPr>
              <w:t> </w:t>
            </w:r>
          </w:p>
        </w:tc>
      </w:tr>
      <w:tr w:rsidR="00080DE9" w:rsidRPr="00080DE9" w14:paraId="53398569" w14:textId="77777777" w:rsidTr="00080DE9">
        <w:trPr>
          <w:trHeight w:val="300"/>
          <w:jc w:val="center"/>
        </w:trPr>
        <w:tc>
          <w:tcPr>
            <w:tcW w:w="968" w:type="dxa"/>
            <w:tcBorders>
              <w:top w:val="nil"/>
              <w:left w:val="single" w:sz="4" w:space="0" w:color="auto"/>
              <w:bottom w:val="nil"/>
              <w:right w:val="nil"/>
            </w:tcBorders>
            <w:shd w:val="clear" w:color="000000" w:fill="FFFFFF"/>
            <w:noWrap/>
            <w:vAlign w:val="bottom"/>
            <w:hideMark/>
          </w:tcPr>
          <w:p w14:paraId="21AFCF05" w14:textId="77777777" w:rsidR="00080DE9" w:rsidRPr="00080DE9" w:rsidRDefault="00080DE9" w:rsidP="00080DE9">
            <w:pPr>
              <w:rPr>
                <w:rFonts w:cs="Arial"/>
                <w:lang w:eastAsia="en-GB"/>
              </w:rPr>
            </w:pPr>
            <w:r w:rsidRPr="00080DE9">
              <w:rPr>
                <w:rFonts w:cs="Arial"/>
                <w:lang w:eastAsia="en-GB"/>
              </w:rPr>
              <w:t> </w:t>
            </w:r>
          </w:p>
        </w:tc>
        <w:tc>
          <w:tcPr>
            <w:tcW w:w="976" w:type="dxa"/>
            <w:tcBorders>
              <w:top w:val="nil"/>
              <w:left w:val="nil"/>
              <w:bottom w:val="nil"/>
              <w:right w:val="nil"/>
            </w:tcBorders>
            <w:shd w:val="clear" w:color="000000" w:fill="FFFFFF"/>
            <w:noWrap/>
            <w:vAlign w:val="bottom"/>
            <w:hideMark/>
          </w:tcPr>
          <w:p w14:paraId="70A5BC8B" w14:textId="77777777" w:rsidR="00080DE9" w:rsidRPr="00080DE9" w:rsidRDefault="00080DE9" w:rsidP="00080DE9">
            <w:pPr>
              <w:jc w:val="right"/>
              <w:rPr>
                <w:rFonts w:cs="Arial"/>
                <w:lang w:eastAsia="en-GB"/>
              </w:rPr>
            </w:pPr>
            <w:r w:rsidRPr="00080DE9">
              <w:rPr>
                <w:rFonts w:cs="Arial"/>
                <w:lang w:eastAsia="en-GB"/>
              </w:rPr>
              <w:t>68</w:t>
            </w:r>
          </w:p>
        </w:tc>
        <w:tc>
          <w:tcPr>
            <w:tcW w:w="3756" w:type="dxa"/>
            <w:tcBorders>
              <w:top w:val="nil"/>
              <w:left w:val="nil"/>
              <w:bottom w:val="nil"/>
              <w:right w:val="nil"/>
            </w:tcBorders>
            <w:shd w:val="clear" w:color="000000" w:fill="FFFFFF"/>
            <w:noWrap/>
            <w:vAlign w:val="bottom"/>
            <w:hideMark/>
          </w:tcPr>
          <w:p w14:paraId="213F1683" w14:textId="77777777" w:rsidR="00080DE9" w:rsidRPr="00080DE9" w:rsidRDefault="00080DE9" w:rsidP="00080DE9">
            <w:pPr>
              <w:rPr>
                <w:rFonts w:cs="Arial"/>
                <w:lang w:eastAsia="en-GB"/>
              </w:rPr>
            </w:pPr>
            <w:r w:rsidRPr="00080DE9">
              <w:rPr>
                <w:rFonts w:cs="Arial"/>
                <w:lang w:eastAsia="en-GB"/>
              </w:rPr>
              <w:t xml:space="preserve">    Local Authorities</w:t>
            </w:r>
          </w:p>
        </w:tc>
        <w:tc>
          <w:tcPr>
            <w:tcW w:w="1076" w:type="dxa"/>
            <w:tcBorders>
              <w:top w:val="nil"/>
              <w:left w:val="nil"/>
              <w:bottom w:val="nil"/>
              <w:right w:val="nil"/>
            </w:tcBorders>
            <w:shd w:val="clear" w:color="000000" w:fill="FFFFFF"/>
            <w:noWrap/>
            <w:vAlign w:val="bottom"/>
            <w:hideMark/>
          </w:tcPr>
          <w:p w14:paraId="0C4F565E" w14:textId="77777777" w:rsidR="00080DE9" w:rsidRPr="00080DE9" w:rsidRDefault="00080DE9" w:rsidP="00080DE9">
            <w:pPr>
              <w:jc w:val="right"/>
              <w:rPr>
                <w:rFonts w:cs="Arial"/>
                <w:lang w:eastAsia="en-GB"/>
              </w:rPr>
            </w:pPr>
            <w:r w:rsidRPr="00080DE9">
              <w:rPr>
                <w:rFonts w:cs="Arial"/>
                <w:lang w:eastAsia="en-GB"/>
              </w:rPr>
              <w:t>0</w:t>
            </w:r>
          </w:p>
        </w:tc>
        <w:tc>
          <w:tcPr>
            <w:tcW w:w="976" w:type="dxa"/>
            <w:tcBorders>
              <w:top w:val="nil"/>
              <w:left w:val="nil"/>
              <w:bottom w:val="nil"/>
              <w:right w:val="single" w:sz="4" w:space="0" w:color="auto"/>
            </w:tcBorders>
            <w:shd w:val="clear" w:color="000000" w:fill="FFFFFF"/>
            <w:noWrap/>
            <w:vAlign w:val="bottom"/>
            <w:hideMark/>
          </w:tcPr>
          <w:p w14:paraId="5AB0FF28" w14:textId="77777777" w:rsidR="00080DE9" w:rsidRPr="00080DE9" w:rsidRDefault="00080DE9" w:rsidP="00080DE9">
            <w:pPr>
              <w:rPr>
                <w:rFonts w:cs="Arial"/>
                <w:lang w:eastAsia="en-GB"/>
              </w:rPr>
            </w:pPr>
            <w:r w:rsidRPr="00080DE9">
              <w:rPr>
                <w:rFonts w:cs="Arial"/>
                <w:lang w:eastAsia="en-GB"/>
              </w:rPr>
              <w:t> </w:t>
            </w:r>
          </w:p>
        </w:tc>
      </w:tr>
      <w:tr w:rsidR="00080DE9" w:rsidRPr="00080DE9" w14:paraId="39E4D939" w14:textId="77777777" w:rsidTr="00080DE9">
        <w:trPr>
          <w:trHeight w:val="300"/>
          <w:jc w:val="center"/>
        </w:trPr>
        <w:tc>
          <w:tcPr>
            <w:tcW w:w="968" w:type="dxa"/>
            <w:tcBorders>
              <w:top w:val="nil"/>
              <w:left w:val="single" w:sz="4" w:space="0" w:color="auto"/>
              <w:bottom w:val="nil"/>
              <w:right w:val="nil"/>
            </w:tcBorders>
            <w:shd w:val="clear" w:color="000000" w:fill="FFFFFF"/>
            <w:noWrap/>
            <w:vAlign w:val="bottom"/>
            <w:hideMark/>
          </w:tcPr>
          <w:p w14:paraId="60BFEBDA" w14:textId="77777777" w:rsidR="00080DE9" w:rsidRPr="00080DE9" w:rsidRDefault="00080DE9" w:rsidP="00080DE9">
            <w:pPr>
              <w:rPr>
                <w:rFonts w:cs="Arial"/>
                <w:lang w:eastAsia="en-GB"/>
              </w:rPr>
            </w:pPr>
            <w:r w:rsidRPr="00080DE9">
              <w:rPr>
                <w:rFonts w:cs="Arial"/>
                <w:lang w:eastAsia="en-GB"/>
              </w:rPr>
              <w:t> </w:t>
            </w:r>
          </w:p>
        </w:tc>
        <w:tc>
          <w:tcPr>
            <w:tcW w:w="976" w:type="dxa"/>
            <w:tcBorders>
              <w:top w:val="nil"/>
              <w:left w:val="nil"/>
              <w:bottom w:val="nil"/>
              <w:right w:val="nil"/>
            </w:tcBorders>
            <w:shd w:val="clear" w:color="000000" w:fill="FFFFFF"/>
            <w:noWrap/>
            <w:vAlign w:val="bottom"/>
            <w:hideMark/>
          </w:tcPr>
          <w:p w14:paraId="3DC7FAD0" w14:textId="77777777" w:rsidR="00080DE9" w:rsidRPr="00080DE9" w:rsidRDefault="00080DE9" w:rsidP="00080DE9">
            <w:pPr>
              <w:jc w:val="right"/>
              <w:rPr>
                <w:rFonts w:cs="Arial"/>
                <w:lang w:eastAsia="en-GB"/>
              </w:rPr>
            </w:pPr>
            <w:r w:rsidRPr="00080DE9">
              <w:rPr>
                <w:rFonts w:cs="Arial"/>
                <w:lang w:eastAsia="en-GB"/>
              </w:rPr>
              <w:t>175</w:t>
            </w:r>
          </w:p>
        </w:tc>
        <w:tc>
          <w:tcPr>
            <w:tcW w:w="3756" w:type="dxa"/>
            <w:tcBorders>
              <w:top w:val="nil"/>
              <w:left w:val="nil"/>
              <w:bottom w:val="nil"/>
              <w:right w:val="nil"/>
            </w:tcBorders>
            <w:shd w:val="clear" w:color="000000" w:fill="FFFFFF"/>
            <w:noWrap/>
            <w:vAlign w:val="bottom"/>
            <w:hideMark/>
          </w:tcPr>
          <w:p w14:paraId="3BEDD7A0" w14:textId="77777777" w:rsidR="00080DE9" w:rsidRPr="00080DE9" w:rsidRDefault="00080DE9" w:rsidP="00080DE9">
            <w:pPr>
              <w:rPr>
                <w:rFonts w:cs="Arial"/>
                <w:lang w:eastAsia="en-GB"/>
              </w:rPr>
            </w:pPr>
            <w:r w:rsidRPr="00080DE9">
              <w:rPr>
                <w:rFonts w:cs="Arial"/>
                <w:lang w:eastAsia="en-GB"/>
              </w:rPr>
              <w:t xml:space="preserve">    Other</w:t>
            </w:r>
          </w:p>
        </w:tc>
        <w:tc>
          <w:tcPr>
            <w:tcW w:w="1076" w:type="dxa"/>
            <w:tcBorders>
              <w:top w:val="nil"/>
              <w:left w:val="nil"/>
              <w:bottom w:val="nil"/>
              <w:right w:val="nil"/>
            </w:tcBorders>
            <w:shd w:val="clear" w:color="000000" w:fill="FFFFFF"/>
            <w:noWrap/>
            <w:vAlign w:val="bottom"/>
            <w:hideMark/>
          </w:tcPr>
          <w:p w14:paraId="2E75FBB4" w14:textId="77777777" w:rsidR="00080DE9" w:rsidRPr="00080DE9" w:rsidRDefault="00080DE9" w:rsidP="00080DE9">
            <w:pPr>
              <w:jc w:val="right"/>
              <w:rPr>
                <w:rFonts w:cs="Arial"/>
                <w:lang w:eastAsia="en-GB"/>
              </w:rPr>
            </w:pPr>
            <w:r w:rsidRPr="00080DE9">
              <w:rPr>
                <w:rFonts w:cs="Arial"/>
                <w:lang w:eastAsia="en-GB"/>
              </w:rPr>
              <w:t>187</w:t>
            </w:r>
          </w:p>
        </w:tc>
        <w:tc>
          <w:tcPr>
            <w:tcW w:w="976" w:type="dxa"/>
            <w:tcBorders>
              <w:top w:val="nil"/>
              <w:left w:val="nil"/>
              <w:bottom w:val="nil"/>
              <w:right w:val="single" w:sz="4" w:space="0" w:color="auto"/>
            </w:tcBorders>
            <w:shd w:val="clear" w:color="000000" w:fill="FFFFFF"/>
            <w:noWrap/>
            <w:vAlign w:val="bottom"/>
            <w:hideMark/>
          </w:tcPr>
          <w:p w14:paraId="7F45F56A" w14:textId="77777777" w:rsidR="00080DE9" w:rsidRPr="00080DE9" w:rsidRDefault="00080DE9" w:rsidP="00080DE9">
            <w:pPr>
              <w:rPr>
                <w:rFonts w:cs="Arial"/>
                <w:lang w:eastAsia="en-GB"/>
              </w:rPr>
            </w:pPr>
            <w:r w:rsidRPr="00080DE9">
              <w:rPr>
                <w:rFonts w:cs="Arial"/>
                <w:lang w:eastAsia="en-GB"/>
              </w:rPr>
              <w:t> </w:t>
            </w:r>
          </w:p>
        </w:tc>
      </w:tr>
      <w:tr w:rsidR="00080DE9" w:rsidRPr="00080DE9" w14:paraId="0912BC32" w14:textId="77777777" w:rsidTr="00080DE9">
        <w:trPr>
          <w:trHeight w:val="300"/>
          <w:jc w:val="center"/>
        </w:trPr>
        <w:tc>
          <w:tcPr>
            <w:tcW w:w="968" w:type="dxa"/>
            <w:tcBorders>
              <w:top w:val="nil"/>
              <w:left w:val="single" w:sz="4" w:space="0" w:color="auto"/>
              <w:bottom w:val="nil"/>
              <w:right w:val="nil"/>
            </w:tcBorders>
            <w:shd w:val="clear" w:color="000000" w:fill="FFFFFF"/>
            <w:noWrap/>
            <w:vAlign w:val="bottom"/>
            <w:hideMark/>
          </w:tcPr>
          <w:p w14:paraId="1B6E20F9" w14:textId="77777777" w:rsidR="00080DE9" w:rsidRPr="00080DE9" w:rsidRDefault="00080DE9" w:rsidP="00080DE9">
            <w:pPr>
              <w:rPr>
                <w:rFonts w:cs="Arial"/>
                <w:lang w:eastAsia="en-GB"/>
              </w:rPr>
            </w:pPr>
            <w:r w:rsidRPr="00080DE9">
              <w:rPr>
                <w:rFonts w:cs="Arial"/>
                <w:lang w:eastAsia="en-GB"/>
              </w:rPr>
              <w:t> </w:t>
            </w:r>
          </w:p>
        </w:tc>
        <w:tc>
          <w:tcPr>
            <w:tcW w:w="976" w:type="dxa"/>
            <w:tcBorders>
              <w:top w:val="nil"/>
              <w:left w:val="nil"/>
              <w:bottom w:val="nil"/>
              <w:right w:val="nil"/>
            </w:tcBorders>
            <w:shd w:val="clear" w:color="000000" w:fill="FFFFFF"/>
            <w:noWrap/>
            <w:vAlign w:val="bottom"/>
            <w:hideMark/>
          </w:tcPr>
          <w:p w14:paraId="6AF3ABF3" w14:textId="77777777" w:rsidR="00080DE9" w:rsidRPr="00080DE9" w:rsidRDefault="00080DE9" w:rsidP="00080DE9">
            <w:pPr>
              <w:jc w:val="right"/>
              <w:rPr>
                <w:rFonts w:cs="Arial"/>
                <w:lang w:eastAsia="en-GB"/>
              </w:rPr>
            </w:pPr>
            <w:r w:rsidRPr="00080DE9">
              <w:rPr>
                <w:rFonts w:cs="Arial"/>
                <w:lang w:eastAsia="en-GB"/>
              </w:rPr>
              <w:t> </w:t>
            </w:r>
          </w:p>
        </w:tc>
        <w:tc>
          <w:tcPr>
            <w:tcW w:w="3756" w:type="dxa"/>
            <w:tcBorders>
              <w:top w:val="nil"/>
              <w:left w:val="nil"/>
              <w:bottom w:val="nil"/>
              <w:right w:val="nil"/>
            </w:tcBorders>
            <w:shd w:val="clear" w:color="000000" w:fill="FFFFFF"/>
            <w:noWrap/>
            <w:vAlign w:val="bottom"/>
            <w:hideMark/>
          </w:tcPr>
          <w:p w14:paraId="21186BA9" w14:textId="77777777" w:rsidR="00080DE9" w:rsidRPr="00080DE9" w:rsidRDefault="00080DE9" w:rsidP="00080DE9">
            <w:pPr>
              <w:rPr>
                <w:rFonts w:cs="Arial"/>
                <w:b/>
                <w:bCs/>
                <w:lang w:eastAsia="en-GB"/>
              </w:rPr>
            </w:pPr>
            <w:r w:rsidRPr="00080DE9">
              <w:rPr>
                <w:rFonts w:cs="Arial"/>
                <w:b/>
                <w:bCs/>
                <w:lang w:eastAsia="en-GB"/>
              </w:rPr>
              <w:t>Debtors</w:t>
            </w:r>
          </w:p>
        </w:tc>
        <w:tc>
          <w:tcPr>
            <w:tcW w:w="1076" w:type="dxa"/>
            <w:tcBorders>
              <w:top w:val="nil"/>
              <w:left w:val="nil"/>
              <w:bottom w:val="nil"/>
              <w:right w:val="nil"/>
            </w:tcBorders>
            <w:shd w:val="clear" w:color="000000" w:fill="FFFFFF"/>
            <w:noWrap/>
            <w:vAlign w:val="bottom"/>
            <w:hideMark/>
          </w:tcPr>
          <w:p w14:paraId="40E6F8E7" w14:textId="77777777" w:rsidR="00080DE9" w:rsidRPr="00080DE9" w:rsidRDefault="00080DE9" w:rsidP="00080DE9">
            <w:pPr>
              <w:jc w:val="right"/>
              <w:rPr>
                <w:rFonts w:cs="Arial"/>
                <w:lang w:eastAsia="en-GB"/>
              </w:rPr>
            </w:pPr>
            <w:r w:rsidRPr="00080DE9">
              <w:rPr>
                <w:rFonts w:cs="Arial"/>
                <w:lang w:eastAsia="en-GB"/>
              </w:rPr>
              <w:t> </w:t>
            </w:r>
          </w:p>
        </w:tc>
        <w:tc>
          <w:tcPr>
            <w:tcW w:w="976" w:type="dxa"/>
            <w:tcBorders>
              <w:top w:val="nil"/>
              <w:left w:val="nil"/>
              <w:bottom w:val="nil"/>
              <w:right w:val="single" w:sz="4" w:space="0" w:color="auto"/>
            </w:tcBorders>
            <w:shd w:val="clear" w:color="000000" w:fill="FFFFFF"/>
            <w:noWrap/>
            <w:vAlign w:val="bottom"/>
            <w:hideMark/>
          </w:tcPr>
          <w:p w14:paraId="77E78CD5" w14:textId="77777777" w:rsidR="00080DE9" w:rsidRPr="00080DE9" w:rsidRDefault="00080DE9" w:rsidP="00080DE9">
            <w:pPr>
              <w:rPr>
                <w:rFonts w:cs="Arial"/>
                <w:lang w:eastAsia="en-GB"/>
              </w:rPr>
            </w:pPr>
            <w:r w:rsidRPr="00080DE9">
              <w:rPr>
                <w:rFonts w:cs="Arial"/>
                <w:lang w:eastAsia="en-GB"/>
              </w:rPr>
              <w:t> </w:t>
            </w:r>
          </w:p>
        </w:tc>
      </w:tr>
      <w:tr w:rsidR="00080DE9" w:rsidRPr="00080DE9" w14:paraId="714EC139" w14:textId="77777777" w:rsidTr="00080DE9">
        <w:trPr>
          <w:trHeight w:val="300"/>
          <w:jc w:val="center"/>
        </w:trPr>
        <w:tc>
          <w:tcPr>
            <w:tcW w:w="968" w:type="dxa"/>
            <w:tcBorders>
              <w:top w:val="nil"/>
              <w:left w:val="single" w:sz="4" w:space="0" w:color="auto"/>
              <w:bottom w:val="nil"/>
              <w:right w:val="nil"/>
            </w:tcBorders>
            <w:shd w:val="clear" w:color="000000" w:fill="FFFFFF"/>
            <w:noWrap/>
            <w:vAlign w:val="bottom"/>
            <w:hideMark/>
          </w:tcPr>
          <w:p w14:paraId="2ECA8489" w14:textId="77777777" w:rsidR="00080DE9" w:rsidRPr="00080DE9" w:rsidRDefault="00080DE9" w:rsidP="00080DE9">
            <w:pPr>
              <w:rPr>
                <w:rFonts w:cs="Arial"/>
                <w:lang w:eastAsia="en-GB"/>
              </w:rPr>
            </w:pPr>
            <w:r w:rsidRPr="00080DE9">
              <w:rPr>
                <w:rFonts w:cs="Arial"/>
                <w:lang w:eastAsia="en-GB"/>
              </w:rPr>
              <w:t> </w:t>
            </w:r>
          </w:p>
        </w:tc>
        <w:tc>
          <w:tcPr>
            <w:tcW w:w="976" w:type="dxa"/>
            <w:tcBorders>
              <w:top w:val="nil"/>
              <w:left w:val="nil"/>
              <w:bottom w:val="nil"/>
              <w:right w:val="nil"/>
            </w:tcBorders>
            <w:shd w:val="clear" w:color="000000" w:fill="FFFFFF"/>
            <w:noWrap/>
            <w:vAlign w:val="bottom"/>
            <w:hideMark/>
          </w:tcPr>
          <w:p w14:paraId="2A4B425B" w14:textId="77777777" w:rsidR="00080DE9" w:rsidRPr="00080DE9" w:rsidRDefault="00080DE9" w:rsidP="00080DE9">
            <w:pPr>
              <w:jc w:val="right"/>
              <w:rPr>
                <w:rFonts w:cs="Arial"/>
                <w:lang w:eastAsia="en-GB"/>
              </w:rPr>
            </w:pPr>
            <w:r w:rsidRPr="00080DE9">
              <w:rPr>
                <w:rFonts w:cs="Arial"/>
                <w:lang w:eastAsia="en-GB"/>
              </w:rPr>
              <w:t>603</w:t>
            </w:r>
          </w:p>
        </w:tc>
        <w:tc>
          <w:tcPr>
            <w:tcW w:w="3756" w:type="dxa"/>
            <w:tcBorders>
              <w:top w:val="nil"/>
              <w:left w:val="nil"/>
              <w:bottom w:val="nil"/>
              <w:right w:val="nil"/>
            </w:tcBorders>
            <w:shd w:val="clear" w:color="000000" w:fill="FFFFFF"/>
            <w:noWrap/>
            <w:vAlign w:val="bottom"/>
            <w:hideMark/>
          </w:tcPr>
          <w:p w14:paraId="243D5495" w14:textId="77777777" w:rsidR="00080DE9" w:rsidRPr="00080DE9" w:rsidRDefault="00080DE9" w:rsidP="00080DE9">
            <w:pPr>
              <w:rPr>
                <w:rFonts w:cs="Arial"/>
                <w:lang w:eastAsia="en-GB"/>
              </w:rPr>
            </w:pPr>
            <w:r w:rsidRPr="00080DE9">
              <w:rPr>
                <w:rFonts w:cs="Arial"/>
                <w:lang w:eastAsia="en-GB"/>
              </w:rPr>
              <w:t xml:space="preserve">    Government Departments</w:t>
            </w:r>
          </w:p>
        </w:tc>
        <w:tc>
          <w:tcPr>
            <w:tcW w:w="1076" w:type="dxa"/>
            <w:tcBorders>
              <w:top w:val="nil"/>
              <w:left w:val="nil"/>
              <w:bottom w:val="nil"/>
              <w:right w:val="nil"/>
            </w:tcBorders>
            <w:shd w:val="clear" w:color="000000" w:fill="FFFFFF"/>
            <w:noWrap/>
            <w:vAlign w:val="bottom"/>
            <w:hideMark/>
          </w:tcPr>
          <w:p w14:paraId="5FE2A275" w14:textId="77777777" w:rsidR="00080DE9" w:rsidRPr="00080DE9" w:rsidRDefault="00080DE9" w:rsidP="00080DE9">
            <w:pPr>
              <w:jc w:val="right"/>
              <w:rPr>
                <w:rFonts w:cs="Arial"/>
                <w:lang w:eastAsia="en-GB"/>
              </w:rPr>
            </w:pPr>
            <w:r w:rsidRPr="00080DE9">
              <w:rPr>
                <w:rFonts w:cs="Arial"/>
                <w:lang w:eastAsia="en-GB"/>
              </w:rPr>
              <w:t>1,368</w:t>
            </w:r>
          </w:p>
        </w:tc>
        <w:tc>
          <w:tcPr>
            <w:tcW w:w="976" w:type="dxa"/>
            <w:tcBorders>
              <w:top w:val="nil"/>
              <w:left w:val="nil"/>
              <w:bottom w:val="nil"/>
              <w:right w:val="single" w:sz="4" w:space="0" w:color="auto"/>
            </w:tcBorders>
            <w:shd w:val="clear" w:color="000000" w:fill="FFFFFF"/>
            <w:noWrap/>
            <w:vAlign w:val="bottom"/>
            <w:hideMark/>
          </w:tcPr>
          <w:p w14:paraId="147F438A" w14:textId="77777777" w:rsidR="00080DE9" w:rsidRPr="00080DE9" w:rsidRDefault="00080DE9" w:rsidP="00080DE9">
            <w:pPr>
              <w:rPr>
                <w:rFonts w:cs="Arial"/>
                <w:lang w:eastAsia="en-GB"/>
              </w:rPr>
            </w:pPr>
            <w:r w:rsidRPr="00080DE9">
              <w:rPr>
                <w:rFonts w:cs="Arial"/>
                <w:lang w:eastAsia="en-GB"/>
              </w:rPr>
              <w:t> </w:t>
            </w:r>
          </w:p>
        </w:tc>
      </w:tr>
      <w:tr w:rsidR="00080DE9" w:rsidRPr="00080DE9" w14:paraId="3FCD5447" w14:textId="77777777" w:rsidTr="00080DE9">
        <w:trPr>
          <w:trHeight w:val="300"/>
          <w:jc w:val="center"/>
        </w:trPr>
        <w:tc>
          <w:tcPr>
            <w:tcW w:w="968" w:type="dxa"/>
            <w:tcBorders>
              <w:top w:val="nil"/>
              <w:left w:val="single" w:sz="4" w:space="0" w:color="auto"/>
              <w:bottom w:val="nil"/>
              <w:right w:val="nil"/>
            </w:tcBorders>
            <w:shd w:val="clear" w:color="000000" w:fill="FFFFFF"/>
            <w:noWrap/>
            <w:vAlign w:val="bottom"/>
            <w:hideMark/>
          </w:tcPr>
          <w:p w14:paraId="75579B78" w14:textId="77777777" w:rsidR="00080DE9" w:rsidRPr="00080DE9" w:rsidRDefault="00080DE9" w:rsidP="00080DE9">
            <w:pPr>
              <w:rPr>
                <w:rFonts w:cs="Arial"/>
                <w:lang w:eastAsia="en-GB"/>
              </w:rPr>
            </w:pPr>
            <w:r w:rsidRPr="00080DE9">
              <w:rPr>
                <w:rFonts w:cs="Arial"/>
                <w:lang w:eastAsia="en-GB"/>
              </w:rPr>
              <w:t> </w:t>
            </w:r>
          </w:p>
        </w:tc>
        <w:tc>
          <w:tcPr>
            <w:tcW w:w="976" w:type="dxa"/>
            <w:tcBorders>
              <w:top w:val="nil"/>
              <w:left w:val="nil"/>
              <w:bottom w:val="nil"/>
              <w:right w:val="nil"/>
            </w:tcBorders>
            <w:shd w:val="clear" w:color="000000" w:fill="FFFFFF"/>
            <w:noWrap/>
            <w:vAlign w:val="bottom"/>
            <w:hideMark/>
          </w:tcPr>
          <w:p w14:paraId="3CF43CDC" w14:textId="77777777" w:rsidR="00080DE9" w:rsidRPr="00080DE9" w:rsidRDefault="00080DE9" w:rsidP="00080DE9">
            <w:pPr>
              <w:jc w:val="right"/>
              <w:rPr>
                <w:rFonts w:cs="Arial"/>
                <w:lang w:eastAsia="en-GB"/>
              </w:rPr>
            </w:pPr>
            <w:r w:rsidRPr="00080DE9">
              <w:rPr>
                <w:rFonts w:cs="Arial"/>
                <w:lang w:eastAsia="en-GB"/>
              </w:rPr>
              <w:t>20</w:t>
            </w:r>
          </w:p>
        </w:tc>
        <w:tc>
          <w:tcPr>
            <w:tcW w:w="3756" w:type="dxa"/>
            <w:tcBorders>
              <w:top w:val="nil"/>
              <w:left w:val="nil"/>
              <w:bottom w:val="nil"/>
              <w:right w:val="nil"/>
            </w:tcBorders>
            <w:shd w:val="clear" w:color="000000" w:fill="FFFFFF"/>
            <w:noWrap/>
            <w:vAlign w:val="bottom"/>
            <w:hideMark/>
          </w:tcPr>
          <w:p w14:paraId="00CF9DEA" w14:textId="77777777" w:rsidR="00080DE9" w:rsidRPr="00080DE9" w:rsidRDefault="00080DE9" w:rsidP="00080DE9">
            <w:pPr>
              <w:rPr>
                <w:rFonts w:cs="Arial"/>
                <w:lang w:eastAsia="en-GB"/>
              </w:rPr>
            </w:pPr>
            <w:r w:rsidRPr="00080DE9">
              <w:rPr>
                <w:rFonts w:cs="Arial"/>
                <w:lang w:eastAsia="en-GB"/>
              </w:rPr>
              <w:t xml:space="preserve">    Local Authorities</w:t>
            </w:r>
          </w:p>
        </w:tc>
        <w:tc>
          <w:tcPr>
            <w:tcW w:w="1076" w:type="dxa"/>
            <w:tcBorders>
              <w:top w:val="nil"/>
              <w:left w:val="nil"/>
              <w:bottom w:val="nil"/>
              <w:right w:val="nil"/>
            </w:tcBorders>
            <w:shd w:val="clear" w:color="000000" w:fill="FFFFFF"/>
            <w:noWrap/>
            <w:vAlign w:val="bottom"/>
            <w:hideMark/>
          </w:tcPr>
          <w:p w14:paraId="37E9D341" w14:textId="77777777" w:rsidR="00080DE9" w:rsidRPr="00080DE9" w:rsidRDefault="00080DE9" w:rsidP="00080DE9">
            <w:pPr>
              <w:jc w:val="right"/>
              <w:rPr>
                <w:rFonts w:cs="Arial"/>
                <w:lang w:eastAsia="en-GB"/>
              </w:rPr>
            </w:pPr>
            <w:r w:rsidRPr="00080DE9">
              <w:rPr>
                <w:rFonts w:cs="Arial"/>
                <w:lang w:eastAsia="en-GB"/>
              </w:rPr>
              <w:t>22</w:t>
            </w:r>
          </w:p>
        </w:tc>
        <w:tc>
          <w:tcPr>
            <w:tcW w:w="976" w:type="dxa"/>
            <w:tcBorders>
              <w:top w:val="nil"/>
              <w:left w:val="nil"/>
              <w:bottom w:val="nil"/>
              <w:right w:val="single" w:sz="4" w:space="0" w:color="auto"/>
            </w:tcBorders>
            <w:shd w:val="clear" w:color="000000" w:fill="FFFFFF"/>
            <w:noWrap/>
            <w:vAlign w:val="bottom"/>
            <w:hideMark/>
          </w:tcPr>
          <w:p w14:paraId="205A35C4" w14:textId="77777777" w:rsidR="00080DE9" w:rsidRPr="00080DE9" w:rsidRDefault="00080DE9" w:rsidP="00080DE9">
            <w:pPr>
              <w:rPr>
                <w:rFonts w:cs="Arial"/>
                <w:lang w:eastAsia="en-GB"/>
              </w:rPr>
            </w:pPr>
            <w:r w:rsidRPr="00080DE9">
              <w:rPr>
                <w:rFonts w:cs="Arial"/>
                <w:lang w:eastAsia="en-GB"/>
              </w:rPr>
              <w:t> </w:t>
            </w:r>
          </w:p>
        </w:tc>
      </w:tr>
      <w:tr w:rsidR="00080DE9" w:rsidRPr="00080DE9" w14:paraId="34E99579" w14:textId="77777777" w:rsidTr="00080DE9">
        <w:trPr>
          <w:trHeight w:val="300"/>
          <w:jc w:val="center"/>
        </w:trPr>
        <w:tc>
          <w:tcPr>
            <w:tcW w:w="968" w:type="dxa"/>
            <w:tcBorders>
              <w:top w:val="nil"/>
              <w:left w:val="single" w:sz="4" w:space="0" w:color="auto"/>
              <w:bottom w:val="nil"/>
              <w:right w:val="nil"/>
            </w:tcBorders>
            <w:shd w:val="clear" w:color="000000" w:fill="FFFFFF"/>
            <w:noWrap/>
            <w:vAlign w:val="bottom"/>
            <w:hideMark/>
          </w:tcPr>
          <w:p w14:paraId="43270AD9" w14:textId="77777777" w:rsidR="00080DE9" w:rsidRPr="00080DE9" w:rsidRDefault="00080DE9" w:rsidP="00080DE9">
            <w:pPr>
              <w:rPr>
                <w:rFonts w:cs="Arial"/>
                <w:lang w:eastAsia="en-GB"/>
              </w:rPr>
            </w:pPr>
            <w:r w:rsidRPr="00080DE9">
              <w:rPr>
                <w:rFonts w:cs="Arial"/>
                <w:lang w:eastAsia="en-GB"/>
              </w:rPr>
              <w:t> </w:t>
            </w:r>
          </w:p>
        </w:tc>
        <w:tc>
          <w:tcPr>
            <w:tcW w:w="976" w:type="dxa"/>
            <w:tcBorders>
              <w:top w:val="nil"/>
              <w:left w:val="nil"/>
              <w:bottom w:val="single" w:sz="4" w:space="0" w:color="auto"/>
              <w:right w:val="nil"/>
            </w:tcBorders>
            <w:shd w:val="clear" w:color="000000" w:fill="FFFFFF"/>
            <w:noWrap/>
            <w:vAlign w:val="bottom"/>
            <w:hideMark/>
          </w:tcPr>
          <w:p w14:paraId="4BD8059E" w14:textId="77777777" w:rsidR="00080DE9" w:rsidRPr="00080DE9" w:rsidRDefault="00080DE9" w:rsidP="00080DE9">
            <w:pPr>
              <w:jc w:val="right"/>
              <w:rPr>
                <w:rFonts w:cs="Arial"/>
                <w:lang w:eastAsia="en-GB"/>
              </w:rPr>
            </w:pPr>
            <w:r w:rsidRPr="00080DE9">
              <w:rPr>
                <w:rFonts w:cs="Arial"/>
                <w:lang w:eastAsia="en-GB"/>
              </w:rPr>
              <w:t>273</w:t>
            </w:r>
          </w:p>
        </w:tc>
        <w:tc>
          <w:tcPr>
            <w:tcW w:w="3756" w:type="dxa"/>
            <w:tcBorders>
              <w:top w:val="nil"/>
              <w:left w:val="nil"/>
              <w:bottom w:val="nil"/>
              <w:right w:val="nil"/>
            </w:tcBorders>
            <w:shd w:val="clear" w:color="000000" w:fill="FFFFFF"/>
            <w:noWrap/>
            <w:vAlign w:val="bottom"/>
            <w:hideMark/>
          </w:tcPr>
          <w:p w14:paraId="395C4F9F" w14:textId="77777777" w:rsidR="00080DE9" w:rsidRPr="00080DE9" w:rsidRDefault="00080DE9" w:rsidP="00080DE9">
            <w:pPr>
              <w:rPr>
                <w:rFonts w:cs="Arial"/>
                <w:lang w:eastAsia="en-GB"/>
              </w:rPr>
            </w:pPr>
            <w:r w:rsidRPr="00080DE9">
              <w:rPr>
                <w:rFonts w:cs="Arial"/>
                <w:lang w:eastAsia="en-GB"/>
              </w:rPr>
              <w:t xml:space="preserve">    Other</w:t>
            </w:r>
          </w:p>
        </w:tc>
        <w:tc>
          <w:tcPr>
            <w:tcW w:w="1076" w:type="dxa"/>
            <w:tcBorders>
              <w:top w:val="nil"/>
              <w:left w:val="nil"/>
              <w:bottom w:val="nil"/>
              <w:right w:val="nil"/>
            </w:tcBorders>
            <w:shd w:val="clear" w:color="000000" w:fill="FFFFFF"/>
            <w:noWrap/>
            <w:vAlign w:val="bottom"/>
            <w:hideMark/>
          </w:tcPr>
          <w:p w14:paraId="25675CB5" w14:textId="6B4DD5CB" w:rsidR="00080DE9" w:rsidRPr="00080DE9" w:rsidRDefault="00080DE9" w:rsidP="00080DE9">
            <w:pPr>
              <w:jc w:val="right"/>
              <w:rPr>
                <w:rFonts w:cs="Arial"/>
                <w:lang w:eastAsia="en-GB"/>
              </w:rPr>
            </w:pPr>
            <w:r w:rsidRPr="00080DE9">
              <w:rPr>
                <w:rFonts w:cs="Arial"/>
                <w:lang w:eastAsia="en-GB"/>
              </w:rPr>
              <w:t>7</w:t>
            </w:r>
            <w:r w:rsidR="009B5637">
              <w:rPr>
                <w:rFonts w:cs="Arial"/>
                <w:lang w:eastAsia="en-GB"/>
              </w:rPr>
              <w:t>65</w:t>
            </w:r>
          </w:p>
        </w:tc>
        <w:tc>
          <w:tcPr>
            <w:tcW w:w="976" w:type="dxa"/>
            <w:tcBorders>
              <w:top w:val="nil"/>
              <w:left w:val="nil"/>
              <w:bottom w:val="nil"/>
              <w:right w:val="single" w:sz="4" w:space="0" w:color="auto"/>
            </w:tcBorders>
            <w:shd w:val="clear" w:color="000000" w:fill="FFFFFF"/>
            <w:noWrap/>
            <w:vAlign w:val="bottom"/>
            <w:hideMark/>
          </w:tcPr>
          <w:p w14:paraId="095C4C59" w14:textId="77777777" w:rsidR="00080DE9" w:rsidRPr="00080DE9" w:rsidRDefault="00080DE9" w:rsidP="00080DE9">
            <w:pPr>
              <w:rPr>
                <w:rFonts w:cs="Arial"/>
                <w:lang w:eastAsia="en-GB"/>
              </w:rPr>
            </w:pPr>
            <w:r w:rsidRPr="00080DE9">
              <w:rPr>
                <w:rFonts w:cs="Arial"/>
                <w:lang w:eastAsia="en-GB"/>
              </w:rPr>
              <w:t> </w:t>
            </w:r>
          </w:p>
        </w:tc>
      </w:tr>
      <w:tr w:rsidR="00080DE9" w:rsidRPr="00080DE9" w14:paraId="5C4DEFC2" w14:textId="77777777" w:rsidTr="00080DE9">
        <w:trPr>
          <w:trHeight w:val="310"/>
          <w:jc w:val="center"/>
        </w:trPr>
        <w:tc>
          <w:tcPr>
            <w:tcW w:w="968" w:type="dxa"/>
            <w:tcBorders>
              <w:top w:val="nil"/>
              <w:left w:val="single" w:sz="4" w:space="0" w:color="auto"/>
              <w:bottom w:val="nil"/>
              <w:right w:val="nil"/>
            </w:tcBorders>
            <w:shd w:val="clear" w:color="000000" w:fill="FFFFFF"/>
            <w:noWrap/>
            <w:vAlign w:val="bottom"/>
            <w:hideMark/>
          </w:tcPr>
          <w:p w14:paraId="00182411" w14:textId="77777777" w:rsidR="00080DE9" w:rsidRPr="00080DE9" w:rsidRDefault="00080DE9" w:rsidP="00080DE9">
            <w:pPr>
              <w:rPr>
                <w:rFonts w:cs="Arial"/>
                <w:lang w:eastAsia="en-GB"/>
              </w:rPr>
            </w:pPr>
            <w:r w:rsidRPr="00080DE9">
              <w:rPr>
                <w:rFonts w:cs="Arial"/>
                <w:lang w:eastAsia="en-GB"/>
              </w:rPr>
              <w:t> </w:t>
            </w:r>
          </w:p>
        </w:tc>
        <w:tc>
          <w:tcPr>
            <w:tcW w:w="976" w:type="dxa"/>
            <w:tcBorders>
              <w:top w:val="nil"/>
              <w:left w:val="nil"/>
              <w:bottom w:val="double" w:sz="6" w:space="0" w:color="auto"/>
              <w:right w:val="nil"/>
            </w:tcBorders>
            <w:shd w:val="clear" w:color="000000" w:fill="FFFFFF"/>
            <w:noWrap/>
            <w:vAlign w:val="bottom"/>
            <w:hideMark/>
          </w:tcPr>
          <w:p w14:paraId="392C633D" w14:textId="77777777" w:rsidR="00080DE9" w:rsidRPr="00080DE9" w:rsidRDefault="00080DE9" w:rsidP="00080DE9">
            <w:pPr>
              <w:jc w:val="right"/>
              <w:rPr>
                <w:rFonts w:cs="Arial"/>
                <w:b/>
                <w:bCs/>
                <w:lang w:eastAsia="en-GB"/>
              </w:rPr>
            </w:pPr>
            <w:r w:rsidRPr="00080DE9">
              <w:rPr>
                <w:rFonts w:cs="Arial"/>
                <w:b/>
                <w:bCs/>
                <w:lang w:eastAsia="en-GB"/>
              </w:rPr>
              <w:t>1,117</w:t>
            </w:r>
          </w:p>
        </w:tc>
        <w:tc>
          <w:tcPr>
            <w:tcW w:w="3756" w:type="dxa"/>
            <w:tcBorders>
              <w:top w:val="nil"/>
              <w:left w:val="nil"/>
              <w:bottom w:val="nil"/>
              <w:right w:val="nil"/>
            </w:tcBorders>
            <w:shd w:val="clear" w:color="000000" w:fill="FFFFFF"/>
            <w:noWrap/>
            <w:vAlign w:val="bottom"/>
            <w:hideMark/>
          </w:tcPr>
          <w:p w14:paraId="76E7E470" w14:textId="77777777" w:rsidR="00080DE9" w:rsidRPr="00080DE9" w:rsidRDefault="00080DE9" w:rsidP="00080DE9">
            <w:pPr>
              <w:rPr>
                <w:rFonts w:cs="Arial"/>
                <w:lang w:eastAsia="en-GB"/>
              </w:rPr>
            </w:pPr>
            <w:r w:rsidRPr="00080DE9">
              <w:rPr>
                <w:rFonts w:cs="Arial"/>
                <w:lang w:eastAsia="en-GB"/>
              </w:rPr>
              <w:t> </w:t>
            </w:r>
          </w:p>
        </w:tc>
        <w:tc>
          <w:tcPr>
            <w:tcW w:w="1076" w:type="dxa"/>
            <w:tcBorders>
              <w:top w:val="single" w:sz="4" w:space="0" w:color="auto"/>
              <w:left w:val="nil"/>
              <w:bottom w:val="double" w:sz="6" w:space="0" w:color="auto"/>
              <w:right w:val="nil"/>
            </w:tcBorders>
            <w:shd w:val="clear" w:color="000000" w:fill="FFFFFF"/>
            <w:noWrap/>
            <w:vAlign w:val="bottom"/>
            <w:hideMark/>
          </w:tcPr>
          <w:p w14:paraId="39339CE4" w14:textId="7D8243E9" w:rsidR="00080DE9" w:rsidRPr="00080DE9" w:rsidRDefault="00080DE9" w:rsidP="00080DE9">
            <w:pPr>
              <w:jc w:val="right"/>
              <w:rPr>
                <w:rFonts w:cs="Arial"/>
                <w:b/>
                <w:bCs/>
                <w:lang w:eastAsia="en-GB"/>
              </w:rPr>
            </w:pPr>
            <w:r w:rsidRPr="00080DE9">
              <w:rPr>
                <w:rFonts w:cs="Arial"/>
                <w:b/>
                <w:bCs/>
                <w:lang w:eastAsia="en-GB"/>
              </w:rPr>
              <w:t>2,</w:t>
            </w:r>
            <w:r w:rsidR="00404B1C">
              <w:rPr>
                <w:rFonts w:cs="Arial"/>
                <w:b/>
                <w:bCs/>
                <w:lang w:eastAsia="en-GB"/>
              </w:rPr>
              <w:t>3</w:t>
            </w:r>
            <w:r w:rsidR="009B5637">
              <w:rPr>
                <w:rFonts w:cs="Arial"/>
                <w:b/>
                <w:bCs/>
                <w:lang w:eastAsia="en-GB"/>
              </w:rPr>
              <w:t>18</w:t>
            </w:r>
          </w:p>
        </w:tc>
        <w:tc>
          <w:tcPr>
            <w:tcW w:w="976" w:type="dxa"/>
            <w:tcBorders>
              <w:top w:val="nil"/>
              <w:left w:val="nil"/>
              <w:bottom w:val="nil"/>
              <w:right w:val="single" w:sz="4" w:space="0" w:color="auto"/>
            </w:tcBorders>
            <w:shd w:val="clear" w:color="000000" w:fill="FFFFFF"/>
            <w:noWrap/>
            <w:vAlign w:val="bottom"/>
            <w:hideMark/>
          </w:tcPr>
          <w:p w14:paraId="0C16A894" w14:textId="77777777" w:rsidR="00080DE9" w:rsidRPr="00080DE9" w:rsidRDefault="00080DE9" w:rsidP="00080DE9">
            <w:pPr>
              <w:rPr>
                <w:rFonts w:cs="Arial"/>
                <w:lang w:eastAsia="en-GB"/>
              </w:rPr>
            </w:pPr>
            <w:r w:rsidRPr="00080DE9">
              <w:rPr>
                <w:rFonts w:cs="Arial"/>
                <w:lang w:eastAsia="en-GB"/>
              </w:rPr>
              <w:t> </w:t>
            </w:r>
          </w:p>
        </w:tc>
      </w:tr>
      <w:tr w:rsidR="00080DE9" w:rsidRPr="00080DE9" w14:paraId="66347CBC" w14:textId="77777777" w:rsidTr="00080DE9">
        <w:trPr>
          <w:trHeight w:val="310"/>
          <w:jc w:val="center"/>
        </w:trPr>
        <w:tc>
          <w:tcPr>
            <w:tcW w:w="968" w:type="dxa"/>
            <w:tcBorders>
              <w:top w:val="nil"/>
              <w:left w:val="single" w:sz="4" w:space="0" w:color="auto"/>
              <w:bottom w:val="single" w:sz="4" w:space="0" w:color="auto"/>
              <w:right w:val="nil"/>
            </w:tcBorders>
            <w:shd w:val="clear" w:color="000000" w:fill="FFFFFF"/>
            <w:noWrap/>
            <w:vAlign w:val="bottom"/>
            <w:hideMark/>
          </w:tcPr>
          <w:p w14:paraId="34F3D5F2" w14:textId="77777777" w:rsidR="00080DE9" w:rsidRPr="00080DE9" w:rsidRDefault="00080DE9" w:rsidP="00080DE9">
            <w:pPr>
              <w:rPr>
                <w:rFonts w:cs="Arial"/>
                <w:lang w:eastAsia="en-GB"/>
              </w:rPr>
            </w:pPr>
            <w:r w:rsidRPr="00080DE9">
              <w:rPr>
                <w:rFonts w:cs="Arial"/>
                <w:lang w:eastAsia="en-GB"/>
              </w:rPr>
              <w:t> </w:t>
            </w:r>
          </w:p>
        </w:tc>
        <w:tc>
          <w:tcPr>
            <w:tcW w:w="976" w:type="dxa"/>
            <w:tcBorders>
              <w:top w:val="nil"/>
              <w:left w:val="nil"/>
              <w:bottom w:val="single" w:sz="4" w:space="0" w:color="auto"/>
              <w:right w:val="nil"/>
            </w:tcBorders>
            <w:shd w:val="clear" w:color="000000" w:fill="FFFFFF"/>
            <w:noWrap/>
            <w:vAlign w:val="bottom"/>
            <w:hideMark/>
          </w:tcPr>
          <w:p w14:paraId="0963710B" w14:textId="77777777" w:rsidR="00080DE9" w:rsidRPr="00080DE9" w:rsidRDefault="00080DE9" w:rsidP="00080DE9">
            <w:pPr>
              <w:rPr>
                <w:rFonts w:cs="Arial"/>
                <w:lang w:eastAsia="en-GB"/>
              </w:rPr>
            </w:pPr>
            <w:r w:rsidRPr="00080DE9">
              <w:rPr>
                <w:rFonts w:cs="Arial"/>
                <w:lang w:eastAsia="en-GB"/>
              </w:rPr>
              <w:t> </w:t>
            </w:r>
          </w:p>
        </w:tc>
        <w:tc>
          <w:tcPr>
            <w:tcW w:w="3756" w:type="dxa"/>
            <w:tcBorders>
              <w:top w:val="nil"/>
              <w:left w:val="nil"/>
              <w:bottom w:val="single" w:sz="4" w:space="0" w:color="auto"/>
              <w:right w:val="nil"/>
            </w:tcBorders>
            <w:shd w:val="clear" w:color="000000" w:fill="FFFFFF"/>
            <w:noWrap/>
            <w:vAlign w:val="bottom"/>
            <w:hideMark/>
          </w:tcPr>
          <w:p w14:paraId="46F47B74" w14:textId="77777777" w:rsidR="00080DE9" w:rsidRPr="00080DE9" w:rsidRDefault="00080DE9" w:rsidP="00080DE9">
            <w:pPr>
              <w:rPr>
                <w:rFonts w:cs="Arial"/>
                <w:lang w:eastAsia="en-GB"/>
              </w:rPr>
            </w:pPr>
            <w:r w:rsidRPr="00080DE9">
              <w:rPr>
                <w:rFonts w:cs="Arial"/>
                <w:lang w:eastAsia="en-GB"/>
              </w:rPr>
              <w:t> </w:t>
            </w:r>
          </w:p>
        </w:tc>
        <w:tc>
          <w:tcPr>
            <w:tcW w:w="1076" w:type="dxa"/>
            <w:tcBorders>
              <w:top w:val="nil"/>
              <w:left w:val="nil"/>
              <w:bottom w:val="single" w:sz="4" w:space="0" w:color="auto"/>
              <w:right w:val="nil"/>
            </w:tcBorders>
            <w:shd w:val="clear" w:color="000000" w:fill="FFFFFF"/>
            <w:noWrap/>
            <w:vAlign w:val="bottom"/>
            <w:hideMark/>
          </w:tcPr>
          <w:p w14:paraId="2C30DD6B" w14:textId="77777777" w:rsidR="00080DE9" w:rsidRPr="00080DE9" w:rsidRDefault="00080DE9" w:rsidP="00080DE9">
            <w:pPr>
              <w:rPr>
                <w:rFonts w:cs="Arial"/>
                <w:lang w:eastAsia="en-GB"/>
              </w:rPr>
            </w:pPr>
            <w:r w:rsidRPr="00080DE9">
              <w:rPr>
                <w:rFonts w:cs="Arial"/>
                <w:lang w:eastAsia="en-GB"/>
              </w:rPr>
              <w:t> </w:t>
            </w:r>
          </w:p>
        </w:tc>
        <w:tc>
          <w:tcPr>
            <w:tcW w:w="976" w:type="dxa"/>
            <w:tcBorders>
              <w:top w:val="nil"/>
              <w:left w:val="nil"/>
              <w:bottom w:val="single" w:sz="4" w:space="0" w:color="auto"/>
              <w:right w:val="single" w:sz="4" w:space="0" w:color="auto"/>
            </w:tcBorders>
            <w:shd w:val="clear" w:color="000000" w:fill="FFFFFF"/>
            <w:noWrap/>
            <w:vAlign w:val="bottom"/>
            <w:hideMark/>
          </w:tcPr>
          <w:p w14:paraId="69AB2843" w14:textId="77777777" w:rsidR="00080DE9" w:rsidRPr="00080DE9" w:rsidRDefault="00080DE9" w:rsidP="00080DE9">
            <w:pPr>
              <w:rPr>
                <w:rFonts w:cs="Arial"/>
                <w:lang w:eastAsia="en-GB"/>
              </w:rPr>
            </w:pPr>
            <w:r w:rsidRPr="00080DE9">
              <w:rPr>
                <w:rFonts w:cs="Arial"/>
                <w:lang w:eastAsia="en-GB"/>
              </w:rPr>
              <w:t> </w:t>
            </w:r>
          </w:p>
        </w:tc>
      </w:tr>
    </w:tbl>
    <w:p w14:paraId="5A0DD179" w14:textId="77777777" w:rsidR="00080DE9" w:rsidRPr="00080DE9" w:rsidRDefault="00080DE9" w:rsidP="00080DE9">
      <w:pPr>
        <w:rPr>
          <w:highlight w:val="yellow"/>
        </w:rPr>
      </w:pPr>
    </w:p>
    <w:p w14:paraId="485A48C8" w14:textId="77777777" w:rsidR="00E00863" w:rsidRPr="004D5CA8" w:rsidRDefault="00E00863" w:rsidP="006D2EED">
      <w:pPr>
        <w:rPr>
          <w:highlight w:val="yellow"/>
        </w:rPr>
      </w:pPr>
    </w:p>
    <w:p w14:paraId="485A48C9" w14:textId="47E8AB60" w:rsidR="0004325B" w:rsidRPr="004D5CA8" w:rsidRDefault="0004325B" w:rsidP="005C4E2E">
      <w:pPr>
        <w:jc w:val="center"/>
        <w:rPr>
          <w:highlight w:val="yellow"/>
        </w:rPr>
      </w:pPr>
      <w:bookmarkStart w:id="238" w:name="_MON_1369728082"/>
      <w:bookmarkStart w:id="239" w:name="_MON_1372668351"/>
      <w:bookmarkStart w:id="240" w:name="_MON_1372668405"/>
      <w:bookmarkStart w:id="241" w:name="_MON_1372668412"/>
      <w:bookmarkStart w:id="242" w:name="_MON_1372668596"/>
      <w:bookmarkStart w:id="243" w:name="_MON_1372668946"/>
      <w:bookmarkStart w:id="244" w:name="_MON_1395564797"/>
      <w:bookmarkStart w:id="245" w:name="_MON_1401094776"/>
      <w:bookmarkStart w:id="246" w:name="_MON_1401259298"/>
      <w:bookmarkStart w:id="247" w:name="_MON_1401537083"/>
      <w:bookmarkStart w:id="248" w:name="_MON_1401539413"/>
      <w:bookmarkStart w:id="249" w:name="_MON_1429981880"/>
      <w:bookmarkStart w:id="250" w:name="_MON_1431795898"/>
      <w:bookmarkStart w:id="251" w:name="_MON_1362489570"/>
      <w:bookmarkStart w:id="252" w:name="_MON_1363761556"/>
      <w:bookmarkStart w:id="253" w:name="_MON_1364128834"/>
      <w:bookmarkStart w:id="254" w:name="_MON_1364128916"/>
      <w:bookmarkStart w:id="255" w:name="_MON_1368530041"/>
      <w:bookmarkStart w:id="256" w:name="_MON_1368531242"/>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485A48CA" w14:textId="6BE816B2" w:rsidR="00663AC7" w:rsidRPr="004D5CA8" w:rsidRDefault="00663AC7" w:rsidP="005C4E2E">
      <w:pPr>
        <w:jc w:val="center"/>
        <w:rPr>
          <w:highlight w:val="yellow"/>
        </w:rPr>
      </w:pPr>
    </w:p>
    <w:p w14:paraId="485A48CB" w14:textId="78D286F9" w:rsidR="00E00863" w:rsidRDefault="00B144D1" w:rsidP="00CF3182">
      <w:pPr>
        <w:pStyle w:val="Subtitle"/>
        <w:numPr>
          <w:ilvl w:val="0"/>
          <w:numId w:val="0"/>
        </w:numPr>
        <w:tabs>
          <w:tab w:val="left" w:pos="-709"/>
          <w:tab w:val="left" w:pos="-284"/>
          <w:tab w:val="left" w:pos="-142"/>
          <w:tab w:val="left" w:pos="567"/>
        </w:tabs>
        <w:spacing w:line="240" w:lineRule="atLeast"/>
        <w:ind w:right="680"/>
        <w:rPr>
          <w:rFonts w:ascii="Arial" w:eastAsia="Times New Roman" w:hAnsi="Arial"/>
          <w:b/>
          <w:i w:val="0"/>
          <w:iCs w:val="0"/>
          <w:spacing w:val="0"/>
          <w:sz w:val="23"/>
          <w:szCs w:val="23"/>
          <w:highlight w:val="yellow"/>
          <w:u w:val="none"/>
          <w:lang w:eastAsia="en-US"/>
        </w:rPr>
      </w:pPr>
      <w:r w:rsidRPr="004D5CA8">
        <w:rPr>
          <w:rFonts w:ascii="Arial" w:eastAsia="Times New Roman" w:hAnsi="Arial"/>
          <w:b/>
          <w:i w:val="0"/>
          <w:iCs w:val="0"/>
          <w:spacing w:val="0"/>
          <w:sz w:val="23"/>
          <w:szCs w:val="23"/>
          <w:highlight w:val="yellow"/>
          <w:u w:val="none"/>
        </w:rPr>
        <w:br w:type="page"/>
      </w:r>
      <w:r w:rsidR="00CF3182" w:rsidRPr="0063006B">
        <w:rPr>
          <w:rFonts w:ascii="Arial" w:eastAsia="Times New Roman" w:hAnsi="Arial"/>
          <w:b/>
          <w:i w:val="0"/>
          <w:iCs w:val="0"/>
          <w:spacing w:val="0"/>
          <w:sz w:val="23"/>
          <w:szCs w:val="23"/>
          <w:u w:val="none"/>
        </w:rPr>
        <w:lastRenderedPageBreak/>
        <w:t>2</w:t>
      </w:r>
      <w:r w:rsidR="00FB3A44" w:rsidRPr="0063006B">
        <w:rPr>
          <w:rFonts w:ascii="Arial" w:eastAsia="Times New Roman" w:hAnsi="Arial"/>
          <w:b/>
          <w:i w:val="0"/>
          <w:iCs w:val="0"/>
          <w:spacing w:val="0"/>
          <w:sz w:val="23"/>
          <w:szCs w:val="23"/>
          <w:u w:val="none"/>
        </w:rPr>
        <w:t>8</w:t>
      </w:r>
      <w:r w:rsidR="00203DC8" w:rsidRPr="0063006B">
        <w:rPr>
          <w:rFonts w:ascii="Arial" w:eastAsia="Times New Roman" w:hAnsi="Arial"/>
          <w:b/>
          <w:i w:val="0"/>
          <w:iCs w:val="0"/>
          <w:spacing w:val="0"/>
          <w:sz w:val="23"/>
          <w:szCs w:val="23"/>
          <w:u w:val="none"/>
        </w:rPr>
        <w:t>.</w:t>
      </w:r>
      <w:r w:rsidR="00203DC8" w:rsidRPr="0063006B">
        <w:rPr>
          <w:rFonts w:ascii="Arial" w:eastAsia="Times New Roman" w:hAnsi="Arial"/>
          <w:b/>
          <w:i w:val="0"/>
          <w:iCs w:val="0"/>
          <w:spacing w:val="0"/>
          <w:sz w:val="23"/>
          <w:szCs w:val="23"/>
          <w:u w:val="none"/>
        </w:rPr>
        <w:tab/>
      </w:r>
      <w:r w:rsidR="00203DC8" w:rsidRPr="0063006B">
        <w:rPr>
          <w:rFonts w:ascii="Arial" w:eastAsia="Times New Roman" w:hAnsi="Arial"/>
          <w:b/>
          <w:i w:val="0"/>
          <w:iCs w:val="0"/>
          <w:spacing w:val="0"/>
          <w:sz w:val="23"/>
          <w:szCs w:val="23"/>
          <w:u w:val="none"/>
          <w:lang w:eastAsia="en-US"/>
        </w:rPr>
        <w:t>S</w:t>
      </w:r>
      <w:r w:rsidR="00E00863" w:rsidRPr="0063006B">
        <w:rPr>
          <w:rFonts w:ascii="Arial" w:eastAsia="Times New Roman" w:hAnsi="Arial"/>
          <w:b/>
          <w:i w:val="0"/>
          <w:iCs w:val="0"/>
          <w:spacing w:val="0"/>
          <w:sz w:val="23"/>
          <w:szCs w:val="23"/>
          <w:u w:val="none"/>
          <w:lang w:eastAsia="en-US"/>
        </w:rPr>
        <w:t xml:space="preserve">hort Term Creditors </w:t>
      </w:r>
      <w:r w:rsidR="007D68CF" w:rsidRPr="0063006B">
        <w:rPr>
          <w:rFonts w:ascii="Arial" w:eastAsia="Times New Roman" w:hAnsi="Arial"/>
          <w:b/>
          <w:i w:val="0"/>
          <w:iCs w:val="0"/>
          <w:spacing w:val="0"/>
          <w:sz w:val="23"/>
          <w:szCs w:val="23"/>
          <w:u w:val="none"/>
          <w:lang w:eastAsia="en-US"/>
        </w:rPr>
        <w:t>and</w:t>
      </w:r>
      <w:r w:rsidR="00E00863" w:rsidRPr="0063006B">
        <w:rPr>
          <w:rFonts w:ascii="Arial" w:eastAsia="Times New Roman" w:hAnsi="Arial"/>
          <w:b/>
          <w:i w:val="0"/>
          <w:iCs w:val="0"/>
          <w:spacing w:val="0"/>
          <w:sz w:val="23"/>
          <w:szCs w:val="23"/>
          <w:u w:val="none"/>
          <w:lang w:eastAsia="en-US"/>
        </w:rPr>
        <w:t xml:space="preserve"> Receipts in Advance</w:t>
      </w:r>
      <w:r w:rsidR="0063006B">
        <w:rPr>
          <w:rFonts w:ascii="Arial" w:eastAsia="Times New Roman" w:hAnsi="Arial"/>
          <w:b/>
          <w:i w:val="0"/>
          <w:iCs w:val="0"/>
          <w:spacing w:val="0"/>
          <w:sz w:val="23"/>
          <w:szCs w:val="23"/>
          <w:u w:val="none"/>
          <w:lang w:eastAsia="en-US"/>
        </w:rPr>
        <w:t xml:space="preserve"> </w:t>
      </w:r>
    </w:p>
    <w:p w14:paraId="60B41B15" w14:textId="77777777" w:rsidR="0063006B" w:rsidRDefault="0063006B" w:rsidP="0063006B">
      <w:pPr>
        <w:rPr>
          <w:highlight w:val="yellow"/>
        </w:rPr>
      </w:pPr>
    </w:p>
    <w:tbl>
      <w:tblPr>
        <w:tblW w:w="6568" w:type="dxa"/>
        <w:jc w:val="center"/>
        <w:tblLook w:val="04A0" w:firstRow="1" w:lastRow="0" w:firstColumn="1" w:lastColumn="0" w:noHBand="0" w:noVBand="1"/>
      </w:tblPr>
      <w:tblGrid>
        <w:gridCol w:w="1176"/>
        <w:gridCol w:w="3176"/>
        <w:gridCol w:w="2216"/>
      </w:tblGrid>
      <w:tr w:rsidR="0063006B" w:rsidRPr="0063006B" w14:paraId="0A189EB0" w14:textId="77777777" w:rsidTr="0063006B">
        <w:trPr>
          <w:trHeight w:val="310"/>
          <w:jc w:val="center"/>
        </w:trPr>
        <w:tc>
          <w:tcPr>
            <w:tcW w:w="1176" w:type="dxa"/>
            <w:tcBorders>
              <w:top w:val="single" w:sz="4" w:space="0" w:color="auto"/>
              <w:left w:val="single" w:sz="4" w:space="0" w:color="auto"/>
              <w:bottom w:val="single" w:sz="4" w:space="0" w:color="auto"/>
              <w:right w:val="nil"/>
            </w:tcBorders>
            <w:shd w:val="clear" w:color="000000" w:fill="000000"/>
            <w:noWrap/>
            <w:vAlign w:val="bottom"/>
            <w:hideMark/>
          </w:tcPr>
          <w:p w14:paraId="7AB450DD" w14:textId="77777777" w:rsidR="0063006B" w:rsidRPr="0063006B" w:rsidRDefault="0063006B" w:rsidP="0063006B">
            <w:pPr>
              <w:rPr>
                <w:rFonts w:ascii="Calibri" w:hAnsi="Calibri" w:cs="Calibri"/>
                <w:color w:val="000000"/>
                <w:sz w:val="22"/>
                <w:szCs w:val="22"/>
                <w:lang w:eastAsia="en-GB"/>
              </w:rPr>
            </w:pPr>
            <w:r w:rsidRPr="0063006B">
              <w:rPr>
                <w:rFonts w:ascii="Calibri" w:hAnsi="Calibri" w:cs="Calibri"/>
                <w:color w:val="000000"/>
                <w:sz w:val="22"/>
                <w:szCs w:val="22"/>
                <w:lang w:eastAsia="en-GB"/>
              </w:rPr>
              <w:t> </w:t>
            </w:r>
          </w:p>
        </w:tc>
        <w:tc>
          <w:tcPr>
            <w:tcW w:w="3176" w:type="dxa"/>
            <w:tcBorders>
              <w:top w:val="single" w:sz="4" w:space="0" w:color="auto"/>
              <w:left w:val="nil"/>
              <w:bottom w:val="single" w:sz="4" w:space="0" w:color="auto"/>
              <w:right w:val="nil"/>
            </w:tcBorders>
            <w:shd w:val="clear" w:color="000000" w:fill="000000"/>
            <w:noWrap/>
            <w:vAlign w:val="bottom"/>
            <w:hideMark/>
          </w:tcPr>
          <w:p w14:paraId="728F30BC" w14:textId="77777777" w:rsidR="0063006B" w:rsidRPr="0063006B" w:rsidRDefault="0063006B" w:rsidP="0063006B">
            <w:pPr>
              <w:rPr>
                <w:rFonts w:ascii="Calibri" w:hAnsi="Calibri" w:cs="Calibri"/>
                <w:color w:val="000000"/>
                <w:sz w:val="22"/>
                <w:szCs w:val="22"/>
                <w:lang w:eastAsia="en-GB"/>
              </w:rPr>
            </w:pPr>
            <w:r w:rsidRPr="0063006B">
              <w:rPr>
                <w:rFonts w:ascii="Calibri" w:hAnsi="Calibri" w:cs="Calibri"/>
                <w:color w:val="000000"/>
                <w:sz w:val="22"/>
                <w:szCs w:val="22"/>
                <w:lang w:eastAsia="en-GB"/>
              </w:rPr>
              <w:t> </w:t>
            </w:r>
          </w:p>
        </w:tc>
        <w:tc>
          <w:tcPr>
            <w:tcW w:w="2216" w:type="dxa"/>
            <w:tcBorders>
              <w:top w:val="single" w:sz="4" w:space="0" w:color="auto"/>
              <w:left w:val="nil"/>
              <w:bottom w:val="single" w:sz="4" w:space="0" w:color="auto"/>
              <w:right w:val="single" w:sz="4" w:space="0" w:color="auto"/>
            </w:tcBorders>
            <w:shd w:val="clear" w:color="000000" w:fill="000000"/>
            <w:noWrap/>
            <w:vAlign w:val="bottom"/>
            <w:hideMark/>
          </w:tcPr>
          <w:p w14:paraId="7A4D7F46" w14:textId="77777777" w:rsidR="0063006B" w:rsidRPr="0063006B" w:rsidRDefault="0063006B" w:rsidP="0063006B">
            <w:pPr>
              <w:rPr>
                <w:rFonts w:ascii="Calibri" w:hAnsi="Calibri" w:cs="Calibri"/>
                <w:color w:val="000000"/>
                <w:sz w:val="22"/>
                <w:szCs w:val="22"/>
                <w:lang w:eastAsia="en-GB"/>
              </w:rPr>
            </w:pPr>
            <w:r w:rsidRPr="0063006B">
              <w:rPr>
                <w:rFonts w:ascii="Calibri" w:hAnsi="Calibri" w:cs="Calibri"/>
                <w:color w:val="000000"/>
                <w:sz w:val="22"/>
                <w:szCs w:val="22"/>
                <w:lang w:eastAsia="en-GB"/>
              </w:rPr>
              <w:t> </w:t>
            </w:r>
          </w:p>
        </w:tc>
      </w:tr>
      <w:tr w:rsidR="0063006B" w:rsidRPr="0063006B" w14:paraId="4879AEC8" w14:textId="77777777" w:rsidTr="0063006B">
        <w:trPr>
          <w:trHeight w:val="300"/>
          <w:jc w:val="center"/>
        </w:trPr>
        <w:tc>
          <w:tcPr>
            <w:tcW w:w="1176" w:type="dxa"/>
            <w:tcBorders>
              <w:top w:val="nil"/>
              <w:left w:val="single" w:sz="4" w:space="0" w:color="auto"/>
              <w:bottom w:val="nil"/>
              <w:right w:val="nil"/>
            </w:tcBorders>
            <w:shd w:val="clear" w:color="000000" w:fill="000000"/>
            <w:noWrap/>
            <w:vAlign w:val="bottom"/>
            <w:hideMark/>
          </w:tcPr>
          <w:p w14:paraId="417C64C8" w14:textId="77777777" w:rsidR="0063006B" w:rsidRPr="0063006B" w:rsidRDefault="0063006B" w:rsidP="0063006B">
            <w:pPr>
              <w:jc w:val="center"/>
              <w:rPr>
                <w:rFonts w:cs="Arial"/>
                <w:b/>
                <w:bCs/>
                <w:color w:val="FFFFFF"/>
                <w:sz w:val="22"/>
                <w:szCs w:val="22"/>
                <w:lang w:eastAsia="en-GB"/>
              </w:rPr>
            </w:pPr>
            <w:r w:rsidRPr="0063006B">
              <w:rPr>
                <w:rFonts w:cs="Arial"/>
                <w:b/>
                <w:bCs/>
                <w:color w:val="FFFFFF"/>
                <w:sz w:val="22"/>
                <w:szCs w:val="22"/>
                <w:lang w:eastAsia="en-GB"/>
              </w:rPr>
              <w:t xml:space="preserve">31 March </w:t>
            </w:r>
          </w:p>
        </w:tc>
        <w:tc>
          <w:tcPr>
            <w:tcW w:w="3176" w:type="dxa"/>
            <w:tcBorders>
              <w:top w:val="nil"/>
              <w:left w:val="nil"/>
              <w:bottom w:val="nil"/>
              <w:right w:val="nil"/>
            </w:tcBorders>
            <w:shd w:val="clear" w:color="000000" w:fill="000000"/>
            <w:noWrap/>
            <w:vAlign w:val="bottom"/>
            <w:hideMark/>
          </w:tcPr>
          <w:p w14:paraId="5C333362" w14:textId="77777777" w:rsidR="0063006B" w:rsidRPr="0063006B" w:rsidRDefault="0063006B" w:rsidP="0063006B">
            <w:pPr>
              <w:rPr>
                <w:rFonts w:cs="Arial"/>
                <w:color w:val="FFFFFF"/>
                <w:sz w:val="22"/>
                <w:szCs w:val="22"/>
                <w:lang w:eastAsia="en-GB"/>
              </w:rPr>
            </w:pPr>
            <w:r w:rsidRPr="0063006B">
              <w:rPr>
                <w:rFonts w:cs="Arial"/>
                <w:color w:val="FFFFFF"/>
                <w:sz w:val="22"/>
                <w:szCs w:val="22"/>
                <w:lang w:eastAsia="en-GB"/>
              </w:rPr>
              <w:t> </w:t>
            </w:r>
          </w:p>
        </w:tc>
        <w:tc>
          <w:tcPr>
            <w:tcW w:w="2216" w:type="dxa"/>
            <w:tcBorders>
              <w:top w:val="nil"/>
              <w:left w:val="nil"/>
              <w:bottom w:val="nil"/>
              <w:right w:val="single" w:sz="4" w:space="0" w:color="auto"/>
            </w:tcBorders>
            <w:shd w:val="clear" w:color="000000" w:fill="000000"/>
            <w:noWrap/>
            <w:vAlign w:val="bottom"/>
            <w:hideMark/>
          </w:tcPr>
          <w:p w14:paraId="33471191" w14:textId="77777777" w:rsidR="0063006B" w:rsidRPr="0063006B" w:rsidRDefault="0063006B" w:rsidP="0063006B">
            <w:pPr>
              <w:jc w:val="center"/>
              <w:rPr>
                <w:rFonts w:cs="Arial"/>
                <w:b/>
                <w:bCs/>
                <w:color w:val="FFFFFF"/>
                <w:sz w:val="22"/>
                <w:szCs w:val="22"/>
                <w:lang w:eastAsia="en-GB"/>
              </w:rPr>
            </w:pPr>
            <w:r w:rsidRPr="0063006B">
              <w:rPr>
                <w:rFonts w:cs="Arial"/>
                <w:b/>
                <w:bCs/>
                <w:color w:val="FFFFFF"/>
                <w:sz w:val="22"/>
                <w:szCs w:val="22"/>
                <w:lang w:eastAsia="en-GB"/>
              </w:rPr>
              <w:t xml:space="preserve">31 March </w:t>
            </w:r>
          </w:p>
        </w:tc>
      </w:tr>
      <w:tr w:rsidR="0063006B" w:rsidRPr="0063006B" w14:paraId="26521F7D" w14:textId="77777777" w:rsidTr="0063006B">
        <w:trPr>
          <w:trHeight w:val="300"/>
          <w:jc w:val="center"/>
        </w:trPr>
        <w:tc>
          <w:tcPr>
            <w:tcW w:w="1176" w:type="dxa"/>
            <w:tcBorders>
              <w:top w:val="nil"/>
              <w:left w:val="single" w:sz="4" w:space="0" w:color="auto"/>
              <w:bottom w:val="nil"/>
              <w:right w:val="nil"/>
            </w:tcBorders>
            <w:shd w:val="clear" w:color="000000" w:fill="000000"/>
            <w:noWrap/>
            <w:vAlign w:val="bottom"/>
            <w:hideMark/>
          </w:tcPr>
          <w:p w14:paraId="660488D9" w14:textId="77777777" w:rsidR="0063006B" w:rsidRPr="0063006B" w:rsidRDefault="0063006B" w:rsidP="0063006B">
            <w:pPr>
              <w:jc w:val="center"/>
              <w:rPr>
                <w:rFonts w:cs="Arial"/>
                <w:b/>
                <w:bCs/>
                <w:color w:val="FFFFFF"/>
                <w:sz w:val="22"/>
                <w:szCs w:val="22"/>
                <w:lang w:eastAsia="en-GB"/>
              </w:rPr>
            </w:pPr>
            <w:r w:rsidRPr="0063006B">
              <w:rPr>
                <w:rFonts w:cs="Arial"/>
                <w:b/>
                <w:bCs/>
                <w:color w:val="FFFFFF"/>
                <w:sz w:val="22"/>
                <w:szCs w:val="22"/>
                <w:lang w:eastAsia="en-GB"/>
              </w:rPr>
              <w:t>2022</w:t>
            </w:r>
          </w:p>
        </w:tc>
        <w:tc>
          <w:tcPr>
            <w:tcW w:w="3176" w:type="dxa"/>
            <w:tcBorders>
              <w:top w:val="nil"/>
              <w:left w:val="nil"/>
              <w:bottom w:val="nil"/>
              <w:right w:val="nil"/>
            </w:tcBorders>
            <w:shd w:val="clear" w:color="000000" w:fill="000000"/>
            <w:noWrap/>
            <w:vAlign w:val="bottom"/>
            <w:hideMark/>
          </w:tcPr>
          <w:p w14:paraId="5702D08F" w14:textId="77777777" w:rsidR="0063006B" w:rsidRPr="0063006B" w:rsidRDefault="0063006B" w:rsidP="0063006B">
            <w:pPr>
              <w:rPr>
                <w:rFonts w:cs="Arial"/>
                <w:color w:val="FFFFFF"/>
                <w:sz w:val="22"/>
                <w:szCs w:val="22"/>
                <w:lang w:eastAsia="en-GB"/>
              </w:rPr>
            </w:pPr>
            <w:r w:rsidRPr="0063006B">
              <w:rPr>
                <w:rFonts w:cs="Arial"/>
                <w:color w:val="FFFFFF"/>
                <w:sz w:val="22"/>
                <w:szCs w:val="22"/>
                <w:lang w:eastAsia="en-GB"/>
              </w:rPr>
              <w:t> </w:t>
            </w:r>
          </w:p>
        </w:tc>
        <w:tc>
          <w:tcPr>
            <w:tcW w:w="2216" w:type="dxa"/>
            <w:tcBorders>
              <w:top w:val="nil"/>
              <w:left w:val="nil"/>
              <w:bottom w:val="nil"/>
              <w:right w:val="single" w:sz="4" w:space="0" w:color="auto"/>
            </w:tcBorders>
            <w:shd w:val="clear" w:color="000000" w:fill="000000"/>
            <w:noWrap/>
            <w:vAlign w:val="bottom"/>
            <w:hideMark/>
          </w:tcPr>
          <w:p w14:paraId="2207F516" w14:textId="77777777" w:rsidR="0063006B" w:rsidRPr="0063006B" w:rsidRDefault="0063006B" w:rsidP="0063006B">
            <w:pPr>
              <w:jc w:val="center"/>
              <w:rPr>
                <w:rFonts w:cs="Arial"/>
                <w:b/>
                <w:bCs/>
                <w:color w:val="FFFFFF"/>
                <w:sz w:val="22"/>
                <w:szCs w:val="22"/>
                <w:lang w:eastAsia="en-GB"/>
              </w:rPr>
            </w:pPr>
            <w:r w:rsidRPr="0063006B">
              <w:rPr>
                <w:rFonts w:cs="Arial"/>
                <w:b/>
                <w:bCs/>
                <w:color w:val="FFFFFF"/>
                <w:sz w:val="22"/>
                <w:szCs w:val="22"/>
                <w:lang w:eastAsia="en-GB"/>
              </w:rPr>
              <w:t>2023</w:t>
            </w:r>
          </w:p>
        </w:tc>
      </w:tr>
      <w:tr w:rsidR="0063006B" w:rsidRPr="0063006B" w14:paraId="6E94772E" w14:textId="77777777" w:rsidTr="0063006B">
        <w:trPr>
          <w:trHeight w:val="310"/>
          <w:jc w:val="center"/>
        </w:trPr>
        <w:tc>
          <w:tcPr>
            <w:tcW w:w="1176" w:type="dxa"/>
            <w:tcBorders>
              <w:top w:val="nil"/>
              <w:left w:val="single" w:sz="4" w:space="0" w:color="auto"/>
              <w:bottom w:val="nil"/>
              <w:right w:val="nil"/>
            </w:tcBorders>
            <w:shd w:val="clear" w:color="000000" w:fill="000000"/>
            <w:noWrap/>
            <w:vAlign w:val="bottom"/>
            <w:hideMark/>
          </w:tcPr>
          <w:p w14:paraId="7DF6C1D3" w14:textId="77777777" w:rsidR="0063006B" w:rsidRPr="0063006B" w:rsidRDefault="0063006B" w:rsidP="0063006B">
            <w:pPr>
              <w:jc w:val="center"/>
              <w:rPr>
                <w:rFonts w:cs="Arial"/>
                <w:b/>
                <w:bCs/>
                <w:color w:val="FFFFFF"/>
                <w:sz w:val="22"/>
                <w:szCs w:val="22"/>
                <w:lang w:eastAsia="en-GB"/>
              </w:rPr>
            </w:pPr>
            <w:r w:rsidRPr="0063006B">
              <w:rPr>
                <w:rFonts w:cs="Arial"/>
                <w:b/>
                <w:bCs/>
                <w:color w:val="FFFFFF"/>
                <w:sz w:val="22"/>
                <w:szCs w:val="22"/>
                <w:lang w:eastAsia="en-GB"/>
              </w:rPr>
              <w:t>£000</w:t>
            </w:r>
          </w:p>
        </w:tc>
        <w:tc>
          <w:tcPr>
            <w:tcW w:w="3176" w:type="dxa"/>
            <w:tcBorders>
              <w:top w:val="nil"/>
              <w:left w:val="nil"/>
              <w:bottom w:val="nil"/>
              <w:right w:val="nil"/>
            </w:tcBorders>
            <w:shd w:val="clear" w:color="000000" w:fill="000000"/>
            <w:noWrap/>
            <w:vAlign w:val="bottom"/>
            <w:hideMark/>
          </w:tcPr>
          <w:p w14:paraId="7E76B1E3" w14:textId="77777777" w:rsidR="0063006B" w:rsidRPr="0063006B" w:rsidRDefault="0063006B" w:rsidP="0063006B">
            <w:pPr>
              <w:rPr>
                <w:rFonts w:cs="Arial"/>
                <w:color w:val="FFFFFF"/>
                <w:sz w:val="22"/>
                <w:szCs w:val="22"/>
                <w:lang w:eastAsia="en-GB"/>
              </w:rPr>
            </w:pPr>
            <w:r w:rsidRPr="0063006B">
              <w:rPr>
                <w:rFonts w:cs="Arial"/>
                <w:color w:val="FFFFFF"/>
                <w:sz w:val="22"/>
                <w:szCs w:val="22"/>
                <w:lang w:eastAsia="en-GB"/>
              </w:rPr>
              <w:t> </w:t>
            </w:r>
          </w:p>
        </w:tc>
        <w:tc>
          <w:tcPr>
            <w:tcW w:w="2216" w:type="dxa"/>
            <w:tcBorders>
              <w:top w:val="nil"/>
              <w:left w:val="nil"/>
              <w:bottom w:val="nil"/>
              <w:right w:val="single" w:sz="4" w:space="0" w:color="auto"/>
            </w:tcBorders>
            <w:shd w:val="clear" w:color="000000" w:fill="000000"/>
            <w:noWrap/>
            <w:vAlign w:val="bottom"/>
            <w:hideMark/>
          </w:tcPr>
          <w:p w14:paraId="2A934395" w14:textId="77777777" w:rsidR="0063006B" w:rsidRPr="0063006B" w:rsidRDefault="0063006B" w:rsidP="0063006B">
            <w:pPr>
              <w:jc w:val="center"/>
              <w:rPr>
                <w:rFonts w:cs="Arial"/>
                <w:b/>
                <w:bCs/>
                <w:color w:val="FFFFFF"/>
                <w:sz w:val="22"/>
                <w:szCs w:val="22"/>
                <w:lang w:eastAsia="en-GB"/>
              </w:rPr>
            </w:pPr>
            <w:r w:rsidRPr="0063006B">
              <w:rPr>
                <w:rFonts w:cs="Arial"/>
                <w:b/>
                <w:bCs/>
                <w:color w:val="FFFFFF"/>
                <w:sz w:val="22"/>
                <w:szCs w:val="22"/>
                <w:lang w:eastAsia="en-GB"/>
              </w:rPr>
              <w:t>£000</w:t>
            </w:r>
          </w:p>
        </w:tc>
      </w:tr>
      <w:tr w:rsidR="0063006B" w:rsidRPr="0063006B" w14:paraId="2429B839" w14:textId="77777777" w:rsidTr="0063006B">
        <w:trPr>
          <w:trHeight w:val="300"/>
          <w:jc w:val="center"/>
        </w:trPr>
        <w:tc>
          <w:tcPr>
            <w:tcW w:w="1176" w:type="dxa"/>
            <w:tcBorders>
              <w:top w:val="nil"/>
              <w:left w:val="single" w:sz="4" w:space="0" w:color="auto"/>
              <w:bottom w:val="nil"/>
              <w:right w:val="nil"/>
            </w:tcBorders>
            <w:shd w:val="clear" w:color="000000" w:fill="FFFFFF"/>
            <w:noWrap/>
            <w:vAlign w:val="bottom"/>
            <w:hideMark/>
          </w:tcPr>
          <w:p w14:paraId="1907EFDD" w14:textId="77777777" w:rsidR="0063006B" w:rsidRPr="0063006B" w:rsidRDefault="0063006B" w:rsidP="0063006B">
            <w:pPr>
              <w:jc w:val="right"/>
              <w:rPr>
                <w:rFonts w:cs="Arial"/>
                <w:lang w:eastAsia="en-GB"/>
              </w:rPr>
            </w:pPr>
            <w:r w:rsidRPr="0063006B">
              <w:rPr>
                <w:rFonts w:cs="Arial"/>
                <w:lang w:eastAsia="en-GB"/>
              </w:rPr>
              <w:t> </w:t>
            </w:r>
          </w:p>
        </w:tc>
        <w:tc>
          <w:tcPr>
            <w:tcW w:w="3176" w:type="dxa"/>
            <w:tcBorders>
              <w:top w:val="nil"/>
              <w:left w:val="nil"/>
              <w:bottom w:val="nil"/>
              <w:right w:val="nil"/>
            </w:tcBorders>
            <w:shd w:val="clear" w:color="000000" w:fill="FFFFFF"/>
            <w:noWrap/>
            <w:vAlign w:val="bottom"/>
            <w:hideMark/>
          </w:tcPr>
          <w:p w14:paraId="6089AEE0" w14:textId="77777777" w:rsidR="0063006B" w:rsidRPr="0063006B" w:rsidRDefault="0063006B" w:rsidP="0063006B">
            <w:pPr>
              <w:rPr>
                <w:rFonts w:cs="Arial"/>
                <w:lang w:eastAsia="en-GB"/>
              </w:rPr>
            </w:pPr>
            <w:r w:rsidRPr="0063006B">
              <w:rPr>
                <w:rFonts w:cs="Arial"/>
                <w:lang w:eastAsia="en-GB"/>
              </w:rPr>
              <w:t> </w:t>
            </w:r>
          </w:p>
        </w:tc>
        <w:tc>
          <w:tcPr>
            <w:tcW w:w="2216" w:type="dxa"/>
            <w:tcBorders>
              <w:top w:val="nil"/>
              <w:left w:val="nil"/>
              <w:bottom w:val="nil"/>
              <w:right w:val="single" w:sz="4" w:space="0" w:color="auto"/>
            </w:tcBorders>
            <w:shd w:val="clear" w:color="000000" w:fill="FFFFFF"/>
            <w:noWrap/>
            <w:vAlign w:val="bottom"/>
            <w:hideMark/>
          </w:tcPr>
          <w:p w14:paraId="1D06AD0E" w14:textId="77777777" w:rsidR="0063006B" w:rsidRPr="0063006B" w:rsidRDefault="0063006B" w:rsidP="0063006B">
            <w:pPr>
              <w:jc w:val="right"/>
              <w:rPr>
                <w:rFonts w:cs="Arial"/>
                <w:lang w:eastAsia="en-GB"/>
              </w:rPr>
            </w:pPr>
            <w:r w:rsidRPr="0063006B">
              <w:rPr>
                <w:rFonts w:cs="Arial"/>
                <w:lang w:eastAsia="en-GB"/>
              </w:rPr>
              <w:t> </w:t>
            </w:r>
          </w:p>
        </w:tc>
      </w:tr>
      <w:tr w:rsidR="0063006B" w:rsidRPr="0063006B" w14:paraId="4D63E2F4" w14:textId="77777777" w:rsidTr="0063006B">
        <w:trPr>
          <w:trHeight w:val="300"/>
          <w:jc w:val="center"/>
        </w:trPr>
        <w:tc>
          <w:tcPr>
            <w:tcW w:w="1176" w:type="dxa"/>
            <w:tcBorders>
              <w:top w:val="nil"/>
              <w:left w:val="single" w:sz="4" w:space="0" w:color="auto"/>
              <w:bottom w:val="nil"/>
              <w:right w:val="nil"/>
            </w:tcBorders>
            <w:shd w:val="clear" w:color="000000" w:fill="FFFFFF"/>
            <w:noWrap/>
            <w:vAlign w:val="bottom"/>
            <w:hideMark/>
          </w:tcPr>
          <w:p w14:paraId="12AFD9B7" w14:textId="77777777" w:rsidR="0063006B" w:rsidRPr="0063006B" w:rsidRDefault="0063006B" w:rsidP="0063006B">
            <w:pPr>
              <w:jc w:val="right"/>
              <w:rPr>
                <w:rFonts w:cs="Arial"/>
                <w:lang w:eastAsia="en-GB"/>
              </w:rPr>
            </w:pPr>
            <w:r w:rsidRPr="0063006B">
              <w:rPr>
                <w:rFonts w:cs="Arial"/>
                <w:lang w:eastAsia="en-GB"/>
              </w:rPr>
              <w:t> </w:t>
            </w:r>
          </w:p>
        </w:tc>
        <w:tc>
          <w:tcPr>
            <w:tcW w:w="3176" w:type="dxa"/>
            <w:tcBorders>
              <w:top w:val="nil"/>
              <w:left w:val="nil"/>
              <w:bottom w:val="nil"/>
              <w:right w:val="nil"/>
            </w:tcBorders>
            <w:shd w:val="clear" w:color="000000" w:fill="FFFFFF"/>
            <w:noWrap/>
            <w:vAlign w:val="bottom"/>
            <w:hideMark/>
          </w:tcPr>
          <w:p w14:paraId="7F3FFA0C" w14:textId="77777777" w:rsidR="0063006B" w:rsidRPr="0063006B" w:rsidRDefault="0063006B" w:rsidP="0063006B">
            <w:pPr>
              <w:rPr>
                <w:rFonts w:cs="Arial"/>
                <w:b/>
                <w:bCs/>
                <w:lang w:eastAsia="en-GB"/>
              </w:rPr>
            </w:pPr>
            <w:r w:rsidRPr="0063006B">
              <w:rPr>
                <w:rFonts w:cs="Arial"/>
                <w:b/>
                <w:bCs/>
                <w:lang w:eastAsia="en-GB"/>
              </w:rPr>
              <w:t>Income in Advance</w:t>
            </w:r>
          </w:p>
        </w:tc>
        <w:tc>
          <w:tcPr>
            <w:tcW w:w="2216" w:type="dxa"/>
            <w:tcBorders>
              <w:top w:val="nil"/>
              <w:left w:val="nil"/>
              <w:bottom w:val="nil"/>
              <w:right w:val="single" w:sz="4" w:space="0" w:color="auto"/>
            </w:tcBorders>
            <w:shd w:val="clear" w:color="000000" w:fill="FFFFFF"/>
            <w:noWrap/>
            <w:vAlign w:val="bottom"/>
            <w:hideMark/>
          </w:tcPr>
          <w:p w14:paraId="5468A3E1" w14:textId="77777777" w:rsidR="0063006B" w:rsidRPr="0063006B" w:rsidRDefault="0063006B" w:rsidP="0063006B">
            <w:pPr>
              <w:jc w:val="right"/>
              <w:rPr>
                <w:rFonts w:cs="Arial"/>
                <w:lang w:eastAsia="en-GB"/>
              </w:rPr>
            </w:pPr>
            <w:r w:rsidRPr="0063006B">
              <w:rPr>
                <w:rFonts w:cs="Arial"/>
                <w:lang w:eastAsia="en-GB"/>
              </w:rPr>
              <w:t> </w:t>
            </w:r>
          </w:p>
        </w:tc>
      </w:tr>
      <w:tr w:rsidR="0063006B" w:rsidRPr="0063006B" w14:paraId="3F3D5516" w14:textId="77777777" w:rsidTr="0063006B">
        <w:trPr>
          <w:trHeight w:val="300"/>
          <w:jc w:val="center"/>
        </w:trPr>
        <w:tc>
          <w:tcPr>
            <w:tcW w:w="1176" w:type="dxa"/>
            <w:tcBorders>
              <w:top w:val="nil"/>
              <w:left w:val="single" w:sz="4" w:space="0" w:color="auto"/>
              <w:bottom w:val="nil"/>
              <w:right w:val="nil"/>
            </w:tcBorders>
            <w:shd w:val="clear" w:color="000000" w:fill="FFFFFF"/>
            <w:noWrap/>
            <w:vAlign w:val="bottom"/>
            <w:hideMark/>
          </w:tcPr>
          <w:p w14:paraId="6F7FE696" w14:textId="051C2520" w:rsidR="0063006B" w:rsidRPr="0063006B" w:rsidRDefault="0063006B" w:rsidP="0063006B">
            <w:pPr>
              <w:jc w:val="right"/>
              <w:rPr>
                <w:rFonts w:cs="Arial"/>
                <w:lang w:eastAsia="en-GB"/>
              </w:rPr>
            </w:pPr>
            <w:r w:rsidRPr="0063006B">
              <w:rPr>
                <w:rFonts w:cs="Arial"/>
                <w:lang w:eastAsia="en-GB"/>
              </w:rPr>
              <w:t>171</w:t>
            </w:r>
          </w:p>
        </w:tc>
        <w:tc>
          <w:tcPr>
            <w:tcW w:w="3176" w:type="dxa"/>
            <w:tcBorders>
              <w:top w:val="nil"/>
              <w:left w:val="nil"/>
              <w:bottom w:val="nil"/>
              <w:right w:val="nil"/>
            </w:tcBorders>
            <w:shd w:val="clear" w:color="000000" w:fill="FFFFFF"/>
            <w:noWrap/>
            <w:vAlign w:val="bottom"/>
            <w:hideMark/>
          </w:tcPr>
          <w:p w14:paraId="18BE0DDE" w14:textId="77777777" w:rsidR="0063006B" w:rsidRPr="0063006B" w:rsidRDefault="0063006B" w:rsidP="0063006B">
            <w:pPr>
              <w:rPr>
                <w:rFonts w:cs="Arial"/>
                <w:lang w:eastAsia="en-GB"/>
              </w:rPr>
            </w:pPr>
            <w:r w:rsidRPr="0063006B">
              <w:rPr>
                <w:rFonts w:cs="Arial"/>
                <w:lang w:eastAsia="en-GB"/>
              </w:rPr>
              <w:t xml:space="preserve">    Government Departments</w:t>
            </w:r>
          </w:p>
        </w:tc>
        <w:tc>
          <w:tcPr>
            <w:tcW w:w="2216" w:type="dxa"/>
            <w:tcBorders>
              <w:top w:val="nil"/>
              <w:left w:val="nil"/>
              <w:bottom w:val="nil"/>
              <w:right w:val="single" w:sz="4" w:space="0" w:color="auto"/>
            </w:tcBorders>
            <w:shd w:val="clear" w:color="000000" w:fill="FFFFFF"/>
            <w:noWrap/>
            <w:vAlign w:val="bottom"/>
            <w:hideMark/>
          </w:tcPr>
          <w:p w14:paraId="4E26BD69" w14:textId="77777777" w:rsidR="0063006B" w:rsidRPr="0063006B" w:rsidRDefault="0063006B" w:rsidP="0063006B">
            <w:pPr>
              <w:jc w:val="right"/>
              <w:rPr>
                <w:rFonts w:cs="Arial"/>
                <w:lang w:eastAsia="en-GB"/>
              </w:rPr>
            </w:pPr>
            <w:r w:rsidRPr="0063006B">
              <w:rPr>
                <w:rFonts w:cs="Arial"/>
                <w:lang w:eastAsia="en-GB"/>
              </w:rPr>
              <w:t>0</w:t>
            </w:r>
          </w:p>
        </w:tc>
      </w:tr>
      <w:tr w:rsidR="0063006B" w:rsidRPr="0063006B" w14:paraId="1C6F6DDB" w14:textId="77777777" w:rsidTr="0063006B">
        <w:trPr>
          <w:trHeight w:val="300"/>
          <w:jc w:val="center"/>
        </w:trPr>
        <w:tc>
          <w:tcPr>
            <w:tcW w:w="1176" w:type="dxa"/>
            <w:tcBorders>
              <w:top w:val="nil"/>
              <w:left w:val="single" w:sz="4" w:space="0" w:color="auto"/>
              <w:bottom w:val="nil"/>
              <w:right w:val="nil"/>
            </w:tcBorders>
            <w:shd w:val="clear" w:color="000000" w:fill="FFFFFF"/>
            <w:noWrap/>
            <w:vAlign w:val="bottom"/>
            <w:hideMark/>
          </w:tcPr>
          <w:p w14:paraId="3193127B" w14:textId="7092D163" w:rsidR="0063006B" w:rsidRPr="0063006B" w:rsidRDefault="0063006B" w:rsidP="0063006B">
            <w:pPr>
              <w:jc w:val="right"/>
              <w:rPr>
                <w:rFonts w:cs="Arial"/>
                <w:lang w:eastAsia="en-GB"/>
              </w:rPr>
            </w:pPr>
            <w:r w:rsidRPr="0063006B">
              <w:rPr>
                <w:rFonts w:cs="Arial"/>
                <w:lang w:eastAsia="en-GB"/>
              </w:rPr>
              <w:t>478</w:t>
            </w:r>
          </w:p>
        </w:tc>
        <w:tc>
          <w:tcPr>
            <w:tcW w:w="3176" w:type="dxa"/>
            <w:tcBorders>
              <w:top w:val="nil"/>
              <w:left w:val="nil"/>
              <w:bottom w:val="nil"/>
              <w:right w:val="nil"/>
            </w:tcBorders>
            <w:shd w:val="clear" w:color="000000" w:fill="FFFFFF"/>
            <w:noWrap/>
            <w:vAlign w:val="bottom"/>
            <w:hideMark/>
          </w:tcPr>
          <w:p w14:paraId="7238C256" w14:textId="77777777" w:rsidR="0063006B" w:rsidRPr="0063006B" w:rsidRDefault="0063006B" w:rsidP="0063006B">
            <w:pPr>
              <w:rPr>
                <w:rFonts w:cs="Arial"/>
                <w:lang w:eastAsia="en-GB"/>
              </w:rPr>
            </w:pPr>
            <w:r w:rsidRPr="0063006B">
              <w:rPr>
                <w:rFonts w:cs="Arial"/>
                <w:lang w:eastAsia="en-GB"/>
              </w:rPr>
              <w:t xml:space="preserve">    Local Authorities</w:t>
            </w:r>
          </w:p>
        </w:tc>
        <w:tc>
          <w:tcPr>
            <w:tcW w:w="2216" w:type="dxa"/>
            <w:tcBorders>
              <w:top w:val="nil"/>
              <w:left w:val="nil"/>
              <w:bottom w:val="nil"/>
              <w:right w:val="single" w:sz="4" w:space="0" w:color="auto"/>
            </w:tcBorders>
            <w:shd w:val="clear" w:color="000000" w:fill="FFFFFF"/>
            <w:noWrap/>
            <w:vAlign w:val="bottom"/>
            <w:hideMark/>
          </w:tcPr>
          <w:p w14:paraId="06844C4A" w14:textId="190B038C" w:rsidR="0063006B" w:rsidRPr="0063006B" w:rsidRDefault="0063006B" w:rsidP="0063006B">
            <w:pPr>
              <w:jc w:val="right"/>
              <w:rPr>
                <w:rFonts w:cs="Arial"/>
                <w:lang w:eastAsia="en-GB"/>
              </w:rPr>
            </w:pPr>
            <w:r w:rsidRPr="0063006B">
              <w:rPr>
                <w:rFonts w:cs="Arial"/>
                <w:lang w:eastAsia="en-GB"/>
              </w:rPr>
              <w:t>173</w:t>
            </w:r>
          </w:p>
        </w:tc>
      </w:tr>
      <w:tr w:rsidR="0063006B" w:rsidRPr="0063006B" w14:paraId="2469D4B7" w14:textId="77777777" w:rsidTr="0063006B">
        <w:trPr>
          <w:trHeight w:val="300"/>
          <w:jc w:val="center"/>
        </w:trPr>
        <w:tc>
          <w:tcPr>
            <w:tcW w:w="1176" w:type="dxa"/>
            <w:tcBorders>
              <w:top w:val="nil"/>
              <w:left w:val="single" w:sz="4" w:space="0" w:color="auto"/>
              <w:bottom w:val="nil"/>
              <w:right w:val="nil"/>
            </w:tcBorders>
            <w:shd w:val="clear" w:color="000000" w:fill="FFFFFF"/>
            <w:noWrap/>
            <w:vAlign w:val="bottom"/>
            <w:hideMark/>
          </w:tcPr>
          <w:p w14:paraId="2603342D" w14:textId="4C30DE3F" w:rsidR="0063006B" w:rsidRPr="0063006B" w:rsidRDefault="0063006B" w:rsidP="0063006B">
            <w:pPr>
              <w:jc w:val="right"/>
              <w:rPr>
                <w:rFonts w:cs="Arial"/>
                <w:lang w:eastAsia="en-GB"/>
              </w:rPr>
            </w:pPr>
            <w:r w:rsidRPr="0063006B">
              <w:rPr>
                <w:rFonts w:cs="Arial"/>
                <w:lang w:eastAsia="en-GB"/>
              </w:rPr>
              <w:t>179</w:t>
            </w:r>
          </w:p>
        </w:tc>
        <w:tc>
          <w:tcPr>
            <w:tcW w:w="3176" w:type="dxa"/>
            <w:tcBorders>
              <w:top w:val="nil"/>
              <w:left w:val="nil"/>
              <w:bottom w:val="nil"/>
              <w:right w:val="nil"/>
            </w:tcBorders>
            <w:shd w:val="clear" w:color="000000" w:fill="FFFFFF"/>
            <w:noWrap/>
            <w:vAlign w:val="bottom"/>
            <w:hideMark/>
          </w:tcPr>
          <w:p w14:paraId="63F56FBF" w14:textId="77777777" w:rsidR="0063006B" w:rsidRPr="0063006B" w:rsidRDefault="0063006B" w:rsidP="0063006B">
            <w:pPr>
              <w:rPr>
                <w:rFonts w:cs="Arial"/>
                <w:lang w:eastAsia="en-GB"/>
              </w:rPr>
            </w:pPr>
            <w:r w:rsidRPr="0063006B">
              <w:rPr>
                <w:rFonts w:cs="Arial"/>
                <w:lang w:eastAsia="en-GB"/>
              </w:rPr>
              <w:t xml:space="preserve">    Other</w:t>
            </w:r>
          </w:p>
        </w:tc>
        <w:tc>
          <w:tcPr>
            <w:tcW w:w="2216" w:type="dxa"/>
            <w:tcBorders>
              <w:top w:val="nil"/>
              <w:left w:val="nil"/>
              <w:bottom w:val="nil"/>
              <w:right w:val="single" w:sz="4" w:space="0" w:color="auto"/>
            </w:tcBorders>
            <w:shd w:val="clear" w:color="000000" w:fill="FFFFFF"/>
            <w:noWrap/>
            <w:vAlign w:val="bottom"/>
            <w:hideMark/>
          </w:tcPr>
          <w:p w14:paraId="59CCE494" w14:textId="6EBB0DBD" w:rsidR="0063006B" w:rsidRPr="0063006B" w:rsidRDefault="0063006B" w:rsidP="0063006B">
            <w:pPr>
              <w:jc w:val="right"/>
              <w:rPr>
                <w:rFonts w:cs="Arial"/>
                <w:lang w:eastAsia="en-GB"/>
              </w:rPr>
            </w:pPr>
            <w:r w:rsidRPr="0063006B">
              <w:rPr>
                <w:rFonts w:cs="Arial"/>
                <w:lang w:eastAsia="en-GB"/>
              </w:rPr>
              <w:t>356</w:t>
            </w:r>
          </w:p>
        </w:tc>
      </w:tr>
      <w:tr w:rsidR="0063006B" w:rsidRPr="0063006B" w14:paraId="621681D9" w14:textId="77777777" w:rsidTr="0063006B">
        <w:trPr>
          <w:trHeight w:val="300"/>
          <w:jc w:val="center"/>
        </w:trPr>
        <w:tc>
          <w:tcPr>
            <w:tcW w:w="1176" w:type="dxa"/>
            <w:tcBorders>
              <w:top w:val="nil"/>
              <w:left w:val="single" w:sz="4" w:space="0" w:color="auto"/>
              <w:bottom w:val="nil"/>
              <w:right w:val="nil"/>
            </w:tcBorders>
            <w:shd w:val="clear" w:color="000000" w:fill="FFFFFF"/>
            <w:noWrap/>
            <w:vAlign w:val="bottom"/>
            <w:hideMark/>
          </w:tcPr>
          <w:p w14:paraId="2841E132" w14:textId="77777777" w:rsidR="0063006B" w:rsidRPr="0063006B" w:rsidRDefault="0063006B" w:rsidP="0063006B">
            <w:pPr>
              <w:jc w:val="right"/>
              <w:rPr>
                <w:rFonts w:cs="Arial"/>
                <w:lang w:eastAsia="en-GB"/>
              </w:rPr>
            </w:pPr>
            <w:r w:rsidRPr="0063006B">
              <w:rPr>
                <w:rFonts w:cs="Arial"/>
                <w:lang w:eastAsia="en-GB"/>
              </w:rPr>
              <w:t> </w:t>
            </w:r>
          </w:p>
        </w:tc>
        <w:tc>
          <w:tcPr>
            <w:tcW w:w="3176" w:type="dxa"/>
            <w:tcBorders>
              <w:top w:val="nil"/>
              <w:left w:val="nil"/>
              <w:bottom w:val="nil"/>
              <w:right w:val="nil"/>
            </w:tcBorders>
            <w:shd w:val="clear" w:color="000000" w:fill="FFFFFF"/>
            <w:noWrap/>
            <w:vAlign w:val="bottom"/>
            <w:hideMark/>
          </w:tcPr>
          <w:p w14:paraId="02691382" w14:textId="77777777" w:rsidR="0063006B" w:rsidRPr="0063006B" w:rsidRDefault="0063006B" w:rsidP="0063006B">
            <w:pPr>
              <w:rPr>
                <w:rFonts w:cs="Arial"/>
                <w:b/>
                <w:bCs/>
                <w:lang w:eastAsia="en-GB"/>
              </w:rPr>
            </w:pPr>
            <w:r w:rsidRPr="0063006B">
              <w:rPr>
                <w:rFonts w:cs="Arial"/>
                <w:b/>
                <w:bCs/>
                <w:lang w:eastAsia="en-GB"/>
              </w:rPr>
              <w:t xml:space="preserve">Creditors   </w:t>
            </w:r>
          </w:p>
        </w:tc>
        <w:tc>
          <w:tcPr>
            <w:tcW w:w="2216" w:type="dxa"/>
            <w:tcBorders>
              <w:top w:val="nil"/>
              <w:left w:val="nil"/>
              <w:bottom w:val="nil"/>
              <w:right w:val="single" w:sz="4" w:space="0" w:color="auto"/>
            </w:tcBorders>
            <w:shd w:val="clear" w:color="000000" w:fill="FFFFFF"/>
            <w:noWrap/>
            <w:vAlign w:val="bottom"/>
            <w:hideMark/>
          </w:tcPr>
          <w:p w14:paraId="141E1BA0" w14:textId="77777777" w:rsidR="0063006B" w:rsidRPr="0063006B" w:rsidRDefault="0063006B" w:rsidP="0063006B">
            <w:pPr>
              <w:jc w:val="right"/>
              <w:rPr>
                <w:rFonts w:cs="Arial"/>
                <w:lang w:eastAsia="en-GB"/>
              </w:rPr>
            </w:pPr>
            <w:r w:rsidRPr="0063006B">
              <w:rPr>
                <w:rFonts w:cs="Arial"/>
                <w:lang w:eastAsia="en-GB"/>
              </w:rPr>
              <w:t> </w:t>
            </w:r>
          </w:p>
        </w:tc>
      </w:tr>
      <w:tr w:rsidR="0063006B" w:rsidRPr="0063006B" w14:paraId="3932F94F" w14:textId="77777777" w:rsidTr="0063006B">
        <w:trPr>
          <w:trHeight w:val="300"/>
          <w:jc w:val="center"/>
        </w:trPr>
        <w:tc>
          <w:tcPr>
            <w:tcW w:w="1176" w:type="dxa"/>
            <w:tcBorders>
              <w:top w:val="nil"/>
              <w:left w:val="single" w:sz="4" w:space="0" w:color="auto"/>
              <w:bottom w:val="nil"/>
              <w:right w:val="nil"/>
            </w:tcBorders>
            <w:shd w:val="clear" w:color="000000" w:fill="FFFFFF"/>
            <w:noWrap/>
            <w:vAlign w:val="bottom"/>
            <w:hideMark/>
          </w:tcPr>
          <w:p w14:paraId="1713806F" w14:textId="5E66C5B7" w:rsidR="0063006B" w:rsidRPr="0063006B" w:rsidRDefault="0063006B" w:rsidP="0063006B">
            <w:pPr>
              <w:jc w:val="right"/>
              <w:rPr>
                <w:rFonts w:cs="Arial"/>
                <w:lang w:eastAsia="en-GB"/>
              </w:rPr>
            </w:pPr>
            <w:r w:rsidRPr="0063006B">
              <w:rPr>
                <w:rFonts w:cs="Arial"/>
                <w:lang w:eastAsia="en-GB"/>
              </w:rPr>
              <w:t>170</w:t>
            </w:r>
          </w:p>
        </w:tc>
        <w:tc>
          <w:tcPr>
            <w:tcW w:w="3176" w:type="dxa"/>
            <w:tcBorders>
              <w:top w:val="nil"/>
              <w:left w:val="nil"/>
              <w:bottom w:val="nil"/>
              <w:right w:val="nil"/>
            </w:tcBorders>
            <w:shd w:val="clear" w:color="000000" w:fill="FFFFFF"/>
            <w:noWrap/>
            <w:vAlign w:val="bottom"/>
            <w:hideMark/>
          </w:tcPr>
          <w:p w14:paraId="6232E53C" w14:textId="77777777" w:rsidR="0063006B" w:rsidRPr="0063006B" w:rsidRDefault="0063006B" w:rsidP="0063006B">
            <w:pPr>
              <w:rPr>
                <w:rFonts w:cs="Arial"/>
                <w:lang w:eastAsia="en-GB"/>
              </w:rPr>
            </w:pPr>
            <w:r w:rsidRPr="0063006B">
              <w:rPr>
                <w:rFonts w:cs="Arial"/>
                <w:lang w:eastAsia="en-GB"/>
              </w:rPr>
              <w:t xml:space="preserve">    Government Departments</w:t>
            </w:r>
          </w:p>
        </w:tc>
        <w:tc>
          <w:tcPr>
            <w:tcW w:w="2216" w:type="dxa"/>
            <w:tcBorders>
              <w:top w:val="nil"/>
              <w:left w:val="nil"/>
              <w:bottom w:val="nil"/>
              <w:right w:val="single" w:sz="4" w:space="0" w:color="auto"/>
            </w:tcBorders>
            <w:shd w:val="clear" w:color="000000" w:fill="FFFFFF"/>
            <w:noWrap/>
            <w:vAlign w:val="bottom"/>
            <w:hideMark/>
          </w:tcPr>
          <w:p w14:paraId="55911081" w14:textId="35393535" w:rsidR="0063006B" w:rsidRPr="0063006B" w:rsidRDefault="0063006B" w:rsidP="0063006B">
            <w:pPr>
              <w:jc w:val="right"/>
              <w:rPr>
                <w:rFonts w:cs="Arial"/>
                <w:lang w:eastAsia="en-GB"/>
              </w:rPr>
            </w:pPr>
            <w:r w:rsidRPr="0063006B">
              <w:rPr>
                <w:rFonts w:cs="Arial"/>
                <w:lang w:eastAsia="en-GB"/>
              </w:rPr>
              <w:t>129</w:t>
            </w:r>
          </w:p>
        </w:tc>
      </w:tr>
      <w:tr w:rsidR="0063006B" w:rsidRPr="0063006B" w14:paraId="287C6A25" w14:textId="77777777" w:rsidTr="0063006B">
        <w:trPr>
          <w:trHeight w:val="300"/>
          <w:jc w:val="center"/>
        </w:trPr>
        <w:tc>
          <w:tcPr>
            <w:tcW w:w="1176" w:type="dxa"/>
            <w:tcBorders>
              <w:top w:val="nil"/>
              <w:left w:val="single" w:sz="4" w:space="0" w:color="auto"/>
              <w:bottom w:val="nil"/>
              <w:right w:val="nil"/>
            </w:tcBorders>
            <w:shd w:val="clear" w:color="000000" w:fill="FFFFFF"/>
            <w:noWrap/>
            <w:vAlign w:val="bottom"/>
            <w:hideMark/>
          </w:tcPr>
          <w:p w14:paraId="6D67A412" w14:textId="27BBF165" w:rsidR="0063006B" w:rsidRPr="0063006B" w:rsidRDefault="0063006B" w:rsidP="0063006B">
            <w:pPr>
              <w:jc w:val="right"/>
              <w:rPr>
                <w:rFonts w:cs="Arial"/>
                <w:lang w:eastAsia="en-GB"/>
              </w:rPr>
            </w:pPr>
            <w:r w:rsidRPr="0063006B">
              <w:rPr>
                <w:rFonts w:cs="Arial"/>
                <w:lang w:eastAsia="en-GB"/>
              </w:rPr>
              <w:t>92</w:t>
            </w:r>
          </w:p>
        </w:tc>
        <w:tc>
          <w:tcPr>
            <w:tcW w:w="3176" w:type="dxa"/>
            <w:tcBorders>
              <w:top w:val="nil"/>
              <w:left w:val="nil"/>
              <w:bottom w:val="nil"/>
              <w:right w:val="nil"/>
            </w:tcBorders>
            <w:shd w:val="clear" w:color="000000" w:fill="FFFFFF"/>
            <w:noWrap/>
            <w:vAlign w:val="bottom"/>
            <w:hideMark/>
          </w:tcPr>
          <w:p w14:paraId="3C0E4698" w14:textId="77777777" w:rsidR="0063006B" w:rsidRPr="0063006B" w:rsidRDefault="0063006B" w:rsidP="0063006B">
            <w:pPr>
              <w:rPr>
                <w:rFonts w:cs="Arial"/>
                <w:lang w:eastAsia="en-GB"/>
              </w:rPr>
            </w:pPr>
            <w:r w:rsidRPr="0063006B">
              <w:rPr>
                <w:rFonts w:cs="Arial"/>
                <w:lang w:eastAsia="en-GB"/>
              </w:rPr>
              <w:t xml:space="preserve">    Local Authorities</w:t>
            </w:r>
          </w:p>
        </w:tc>
        <w:tc>
          <w:tcPr>
            <w:tcW w:w="2216" w:type="dxa"/>
            <w:tcBorders>
              <w:top w:val="nil"/>
              <w:left w:val="nil"/>
              <w:bottom w:val="nil"/>
              <w:right w:val="single" w:sz="4" w:space="0" w:color="auto"/>
            </w:tcBorders>
            <w:shd w:val="clear" w:color="000000" w:fill="FFFFFF"/>
            <w:noWrap/>
            <w:vAlign w:val="bottom"/>
            <w:hideMark/>
          </w:tcPr>
          <w:p w14:paraId="0AB6F908" w14:textId="1D67E141" w:rsidR="0063006B" w:rsidRPr="0063006B" w:rsidRDefault="0063006B" w:rsidP="0063006B">
            <w:pPr>
              <w:jc w:val="right"/>
              <w:rPr>
                <w:rFonts w:cs="Arial"/>
                <w:lang w:eastAsia="en-GB"/>
              </w:rPr>
            </w:pPr>
            <w:r w:rsidRPr="0063006B">
              <w:rPr>
                <w:rFonts w:cs="Arial"/>
                <w:lang w:eastAsia="en-GB"/>
              </w:rPr>
              <w:t>100</w:t>
            </w:r>
          </w:p>
        </w:tc>
      </w:tr>
      <w:tr w:rsidR="0063006B" w:rsidRPr="0063006B" w14:paraId="60E6034C" w14:textId="77777777" w:rsidTr="0063006B">
        <w:trPr>
          <w:trHeight w:val="300"/>
          <w:jc w:val="center"/>
        </w:trPr>
        <w:tc>
          <w:tcPr>
            <w:tcW w:w="1176" w:type="dxa"/>
            <w:tcBorders>
              <w:top w:val="nil"/>
              <w:left w:val="single" w:sz="4" w:space="0" w:color="auto"/>
              <w:bottom w:val="single" w:sz="4" w:space="0" w:color="auto"/>
              <w:right w:val="nil"/>
            </w:tcBorders>
            <w:shd w:val="clear" w:color="000000" w:fill="FFFFFF"/>
            <w:noWrap/>
            <w:vAlign w:val="bottom"/>
            <w:hideMark/>
          </w:tcPr>
          <w:p w14:paraId="633D2347" w14:textId="70288974" w:rsidR="0063006B" w:rsidRPr="0063006B" w:rsidRDefault="0063006B" w:rsidP="0063006B">
            <w:pPr>
              <w:jc w:val="right"/>
              <w:rPr>
                <w:rFonts w:cs="Arial"/>
                <w:lang w:eastAsia="en-GB"/>
              </w:rPr>
            </w:pPr>
            <w:r w:rsidRPr="0063006B">
              <w:rPr>
                <w:rFonts w:cs="Arial"/>
                <w:lang w:eastAsia="en-GB"/>
              </w:rPr>
              <w:t xml:space="preserve">     1,088 </w:t>
            </w:r>
          </w:p>
        </w:tc>
        <w:tc>
          <w:tcPr>
            <w:tcW w:w="3176" w:type="dxa"/>
            <w:tcBorders>
              <w:top w:val="nil"/>
              <w:left w:val="nil"/>
              <w:bottom w:val="nil"/>
              <w:right w:val="nil"/>
            </w:tcBorders>
            <w:shd w:val="clear" w:color="000000" w:fill="FFFFFF"/>
            <w:noWrap/>
            <w:vAlign w:val="bottom"/>
            <w:hideMark/>
          </w:tcPr>
          <w:p w14:paraId="3B7F4C76" w14:textId="77777777" w:rsidR="0063006B" w:rsidRPr="0063006B" w:rsidRDefault="0063006B" w:rsidP="0063006B">
            <w:pPr>
              <w:rPr>
                <w:rFonts w:cs="Arial"/>
                <w:lang w:eastAsia="en-GB"/>
              </w:rPr>
            </w:pPr>
            <w:r w:rsidRPr="0063006B">
              <w:rPr>
                <w:rFonts w:cs="Arial"/>
                <w:lang w:eastAsia="en-GB"/>
              </w:rPr>
              <w:t xml:space="preserve">    Other</w:t>
            </w:r>
          </w:p>
        </w:tc>
        <w:tc>
          <w:tcPr>
            <w:tcW w:w="2216" w:type="dxa"/>
            <w:tcBorders>
              <w:top w:val="nil"/>
              <w:left w:val="nil"/>
              <w:bottom w:val="single" w:sz="4" w:space="0" w:color="auto"/>
              <w:right w:val="single" w:sz="4" w:space="0" w:color="auto"/>
            </w:tcBorders>
            <w:shd w:val="clear" w:color="000000" w:fill="FFFFFF"/>
            <w:noWrap/>
            <w:vAlign w:val="bottom"/>
            <w:hideMark/>
          </w:tcPr>
          <w:p w14:paraId="1DA51366" w14:textId="64A33FC5" w:rsidR="0063006B" w:rsidRPr="0063006B" w:rsidRDefault="0063006B" w:rsidP="0063006B">
            <w:pPr>
              <w:jc w:val="right"/>
              <w:rPr>
                <w:rFonts w:cs="Arial"/>
                <w:lang w:eastAsia="en-GB"/>
              </w:rPr>
            </w:pPr>
            <w:r w:rsidRPr="0063006B">
              <w:rPr>
                <w:rFonts w:cs="Arial"/>
                <w:lang w:eastAsia="en-GB"/>
              </w:rPr>
              <w:t xml:space="preserve">                      1,6</w:t>
            </w:r>
            <w:r w:rsidR="009B5637">
              <w:rPr>
                <w:rFonts w:cs="Arial"/>
                <w:lang w:eastAsia="en-GB"/>
              </w:rPr>
              <w:t>71</w:t>
            </w:r>
            <w:r w:rsidRPr="0063006B">
              <w:rPr>
                <w:rFonts w:cs="Arial"/>
                <w:lang w:eastAsia="en-GB"/>
              </w:rPr>
              <w:t xml:space="preserve"> </w:t>
            </w:r>
          </w:p>
        </w:tc>
      </w:tr>
      <w:tr w:rsidR="0063006B" w:rsidRPr="0063006B" w14:paraId="6B5CB421" w14:textId="77777777" w:rsidTr="0063006B">
        <w:trPr>
          <w:trHeight w:val="310"/>
          <w:jc w:val="center"/>
        </w:trPr>
        <w:tc>
          <w:tcPr>
            <w:tcW w:w="1176" w:type="dxa"/>
            <w:tcBorders>
              <w:top w:val="nil"/>
              <w:left w:val="single" w:sz="4" w:space="0" w:color="auto"/>
              <w:bottom w:val="single" w:sz="4" w:space="0" w:color="auto"/>
              <w:right w:val="nil"/>
            </w:tcBorders>
            <w:shd w:val="clear" w:color="000000" w:fill="FFFFFF"/>
            <w:noWrap/>
            <w:vAlign w:val="bottom"/>
            <w:hideMark/>
          </w:tcPr>
          <w:p w14:paraId="3266FC4C" w14:textId="5E2E1835" w:rsidR="0063006B" w:rsidRPr="0063006B" w:rsidRDefault="0063006B" w:rsidP="0063006B">
            <w:pPr>
              <w:jc w:val="right"/>
              <w:rPr>
                <w:rFonts w:cs="Arial"/>
                <w:b/>
                <w:bCs/>
                <w:lang w:eastAsia="en-GB"/>
              </w:rPr>
            </w:pPr>
            <w:r w:rsidRPr="0063006B">
              <w:rPr>
                <w:rFonts w:cs="Arial"/>
                <w:b/>
                <w:bCs/>
                <w:lang w:eastAsia="en-GB"/>
              </w:rPr>
              <w:t>2,178</w:t>
            </w:r>
          </w:p>
        </w:tc>
        <w:tc>
          <w:tcPr>
            <w:tcW w:w="3176" w:type="dxa"/>
            <w:tcBorders>
              <w:top w:val="nil"/>
              <w:left w:val="nil"/>
              <w:bottom w:val="single" w:sz="4" w:space="0" w:color="auto"/>
              <w:right w:val="nil"/>
            </w:tcBorders>
            <w:shd w:val="clear" w:color="000000" w:fill="FFFFFF"/>
            <w:noWrap/>
            <w:vAlign w:val="bottom"/>
            <w:hideMark/>
          </w:tcPr>
          <w:p w14:paraId="33E9C34E" w14:textId="77777777" w:rsidR="0063006B" w:rsidRPr="0063006B" w:rsidRDefault="0063006B" w:rsidP="0063006B">
            <w:pPr>
              <w:rPr>
                <w:rFonts w:cs="Arial"/>
                <w:b/>
                <w:bCs/>
                <w:lang w:eastAsia="en-GB"/>
              </w:rPr>
            </w:pPr>
            <w:r w:rsidRPr="0063006B">
              <w:rPr>
                <w:rFonts w:cs="Arial"/>
                <w:b/>
                <w:bCs/>
                <w:lang w:eastAsia="en-GB"/>
              </w:rPr>
              <w:t>Total Creditors</w:t>
            </w:r>
          </w:p>
        </w:tc>
        <w:tc>
          <w:tcPr>
            <w:tcW w:w="2216" w:type="dxa"/>
            <w:tcBorders>
              <w:top w:val="nil"/>
              <w:left w:val="nil"/>
              <w:bottom w:val="single" w:sz="4" w:space="0" w:color="auto"/>
              <w:right w:val="single" w:sz="4" w:space="0" w:color="auto"/>
            </w:tcBorders>
            <w:shd w:val="clear" w:color="000000" w:fill="FFFFFF"/>
            <w:noWrap/>
            <w:vAlign w:val="bottom"/>
            <w:hideMark/>
          </w:tcPr>
          <w:p w14:paraId="29F65D0E" w14:textId="1EECADC1" w:rsidR="0063006B" w:rsidRPr="0063006B" w:rsidRDefault="0063006B" w:rsidP="0063006B">
            <w:pPr>
              <w:jc w:val="right"/>
              <w:rPr>
                <w:rFonts w:cs="Arial"/>
                <w:b/>
                <w:bCs/>
                <w:lang w:eastAsia="en-GB"/>
              </w:rPr>
            </w:pPr>
            <w:r w:rsidRPr="0063006B">
              <w:rPr>
                <w:rFonts w:cs="Arial"/>
                <w:b/>
                <w:bCs/>
                <w:lang w:eastAsia="en-GB"/>
              </w:rPr>
              <w:t>2,4</w:t>
            </w:r>
            <w:r w:rsidR="009B5637">
              <w:rPr>
                <w:rFonts w:cs="Arial"/>
                <w:b/>
                <w:bCs/>
                <w:lang w:eastAsia="en-GB"/>
              </w:rPr>
              <w:t>29</w:t>
            </w:r>
          </w:p>
        </w:tc>
      </w:tr>
    </w:tbl>
    <w:p w14:paraId="5E1305D8" w14:textId="77777777" w:rsidR="0063006B" w:rsidRPr="0063006B" w:rsidRDefault="0063006B" w:rsidP="0063006B">
      <w:pPr>
        <w:rPr>
          <w:highlight w:val="yellow"/>
        </w:rPr>
      </w:pPr>
    </w:p>
    <w:p w14:paraId="485A48CC" w14:textId="77777777" w:rsidR="00E00863" w:rsidRPr="004D5CA8" w:rsidRDefault="00E00863" w:rsidP="006D2EED">
      <w:pPr>
        <w:rPr>
          <w:highlight w:val="yellow"/>
        </w:rPr>
      </w:pPr>
    </w:p>
    <w:p w14:paraId="485A48CD" w14:textId="309F41ED" w:rsidR="00E00863" w:rsidRPr="004D5CA8" w:rsidRDefault="00E00863" w:rsidP="005C4E2E">
      <w:pPr>
        <w:pStyle w:val="Subtitle"/>
        <w:numPr>
          <w:ilvl w:val="0"/>
          <w:numId w:val="0"/>
        </w:numPr>
        <w:tabs>
          <w:tab w:val="left" w:pos="-709"/>
          <w:tab w:val="left" w:pos="-284"/>
          <w:tab w:val="left" w:pos="-142"/>
          <w:tab w:val="left" w:pos="0"/>
          <w:tab w:val="left" w:pos="1276"/>
          <w:tab w:val="left" w:pos="9540"/>
        </w:tabs>
        <w:spacing w:line="240" w:lineRule="atLeast"/>
        <w:jc w:val="center"/>
        <w:rPr>
          <w:rFonts w:ascii="Arial" w:hAnsi="Arial" w:cs="Arial"/>
          <w:b/>
          <w:i w:val="0"/>
          <w:sz w:val="28"/>
          <w:szCs w:val="28"/>
          <w:highlight w:val="yellow"/>
          <w:u w:val="none"/>
        </w:rPr>
      </w:pPr>
      <w:bookmarkStart w:id="257" w:name="_MON_1369728124"/>
      <w:bookmarkStart w:id="258" w:name="_MON_1369742019"/>
      <w:bookmarkStart w:id="259" w:name="_MON_1370195342"/>
      <w:bookmarkStart w:id="260" w:name="_MON_1372669002"/>
      <w:bookmarkStart w:id="261" w:name="_MON_1372669073"/>
      <w:bookmarkStart w:id="262" w:name="_MON_1372669193"/>
      <w:bookmarkStart w:id="263" w:name="_MON_1372838418"/>
      <w:bookmarkStart w:id="264" w:name="_MON_1395564999"/>
      <w:bookmarkStart w:id="265" w:name="_MON_1395565025"/>
      <w:bookmarkStart w:id="266" w:name="_MON_1401094936"/>
      <w:bookmarkStart w:id="267" w:name="_MON_1401539495"/>
      <w:bookmarkStart w:id="268" w:name="_MON_1429981743"/>
      <w:bookmarkStart w:id="269" w:name="_MON_1431795907"/>
      <w:bookmarkStart w:id="270" w:name="_MON_1362489950"/>
      <w:bookmarkStart w:id="271" w:name="_MON_1363762402"/>
      <w:bookmarkStart w:id="272" w:name="_MON_1363762465"/>
      <w:bookmarkStart w:id="273" w:name="_MON_1368531528"/>
      <w:bookmarkStart w:id="274" w:name="_MON_1368618593"/>
      <w:bookmarkStart w:id="275" w:name="_MON_1369553398"/>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485A48CE" w14:textId="77777777" w:rsidR="00E00863" w:rsidRPr="004D5CA8" w:rsidRDefault="00E00863" w:rsidP="006D2EED">
      <w:pPr>
        <w:pStyle w:val="Subtitle"/>
        <w:numPr>
          <w:ilvl w:val="0"/>
          <w:numId w:val="0"/>
        </w:numPr>
        <w:tabs>
          <w:tab w:val="left" w:pos="-709"/>
          <w:tab w:val="left" w:pos="-284"/>
          <w:tab w:val="left" w:pos="-142"/>
          <w:tab w:val="left" w:pos="0"/>
          <w:tab w:val="left" w:pos="1276"/>
        </w:tabs>
        <w:spacing w:line="240" w:lineRule="atLeast"/>
        <w:ind w:right="680"/>
        <w:rPr>
          <w:rFonts w:ascii="Arial" w:eastAsia="Times New Roman" w:hAnsi="Arial"/>
          <w:i w:val="0"/>
          <w:iCs w:val="0"/>
          <w:spacing w:val="0"/>
          <w:sz w:val="23"/>
          <w:szCs w:val="23"/>
          <w:highlight w:val="yellow"/>
          <w:u w:val="none"/>
          <w:lang w:eastAsia="en-US"/>
        </w:rPr>
      </w:pPr>
    </w:p>
    <w:p w14:paraId="485A48CF" w14:textId="77777777" w:rsidR="000F1109" w:rsidRPr="004D5CA8" w:rsidRDefault="000F1109" w:rsidP="000F1109">
      <w:pPr>
        <w:rPr>
          <w:highlight w:val="yellow"/>
        </w:rPr>
      </w:pPr>
    </w:p>
    <w:p w14:paraId="485A48D0" w14:textId="77777777" w:rsidR="00E00863" w:rsidRPr="007245DE" w:rsidRDefault="007F01E5" w:rsidP="00CF3182">
      <w:pPr>
        <w:pStyle w:val="Subtitle"/>
        <w:numPr>
          <w:ilvl w:val="0"/>
          <w:numId w:val="0"/>
        </w:numPr>
        <w:tabs>
          <w:tab w:val="left" w:pos="-709"/>
          <w:tab w:val="left" w:pos="-284"/>
          <w:tab w:val="left" w:pos="-142"/>
          <w:tab w:val="left" w:pos="0"/>
          <w:tab w:val="left" w:pos="567"/>
        </w:tabs>
        <w:spacing w:line="240" w:lineRule="atLeast"/>
        <w:ind w:right="680"/>
        <w:rPr>
          <w:rFonts w:ascii="Arial" w:hAnsi="Arial" w:cs="Arial"/>
          <w:b/>
          <w:i w:val="0"/>
          <w:sz w:val="23"/>
          <w:szCs w:val="23"/>
          <w:u w:val="none"/>
        </w:rPr>
      </w:pPr>
      <w:r w:rsidRPr="007245DE">
        <w:rPr>
          <w:rFonts w:ascii="Arial" w:hAnsi="Arial" w:cs="Arial"/>
          <w:b/>
          <w:i w:val="0"/>
          <w:sz w:val="23"/>
          <w:szCs w:val="23"/>
          <w:u w:val="none"/>
        </w:rPr>
        <w:t>2</w:t>
      </w:r>
      <w:r w:rsidR="00FB3A44" w:rsidRPr="007245DE">
        <w:rPr>
          <w:rFonts w:ascii="Arial" w:hAnsi="Arial" w:cs="Arial"/>
          <w:b/>
          <w:i w:val="0"/>
          <w:sz w:val="23"/>
          <w:szCs w:val="23"/>
          <w:u w:val="none"/>
        </w:rPr>
        <w:t>9</w:t>
      </w:r>
      <w:r w:rsidR="00203DC8" w:rsidRPr="007245DE">
        <w:rPr>
          <w:rFonts w:ascii="Arial" w:hAnsi="Arial" w:cs="Arial"/>
          <w:b/>
          <w:i w:val="0"/>
          <w:sz w:val="23"/>
          <w:szCs w:val="23"/>
          <w:u w:val="none"/>
        </w:rPr>
        <w:t>.</w:t>
      </w:r>
      <w:r w:rsidR="00203DC8" w:rsidRPr="007245DE">
        <w:rPr>
          <w:rFonts w:ascii="Arial" w:hAnsi="Arial" w:cs="Arial"/>
          <w:b/>
          <w:i w:val="0"/>
          <w:sz w:val="23"/>
          <w:szCs w:val="23"/>
          <w:u w:val="none"/>
        </w:rPr>
        <w:tab/>
      </w:r>
      <w:r w:rsidR="00E00863" w:rsidRPr="007245DE">
        <w:rPr>
          <w:rFonts w:ascii="Arial" w:eastAsia="Times New Roman" w:hAnsi="Arial"/>
          <w:b/>
          <w:i w:val="0"/>
          <w:iCs w:val="0"/>
          <w:spacing w:val="0"/>
          <w:sz w:val="23"/>
          <w:szCs w:val="23"/>
          <w:u w:val="none"/>
          <w:lang w:eastAsia="en-US"/>
        </w:rPr>
        <w:t xml:space="preserve">Nature and Purpose of </w:t>
      </w:r>
      <w:r w:rsidR="00420AE5" w:rsidRPr="007245DE">
        <w:rPr>
          <w:rFonts w:ascii="Arial" w:eastAsia="Times New Roman" w:hAnsi="Arial"/>
          <w:b/>
          <w:i w:val="0"/>
          <w:iCs w:val="0"/>
          <w:spacing w:val="0"/>
          <w:sz w:val="23"/>
          <w:szCs w:val="23"/>
          <w:u w:val="none"/>
          <w:lang w:eastAsia="en-US"/>
        </w:rPr>
        <w:t xml:space="preserve">General Fund Earmarked </w:t>
      </w:r>
      <w:r w:rsidR="00E00863" w:rsidRPr="007245DE">
        <w:rPr>
          <w:rFonts w:ascii="Arial" w:eastAsia="Times New Roman" w:hAnsi="Arial"/>
          <w:b/>
          <w:i w:val="0"/>
          <w:iCs w:val="0"/>
          <w:spacing w:val="0"/>
          <w:sz w:val="23"/>
          <w:szCs w:val="23"/>
          <w:u w:val="none"/>
          <w:lang w:eastAsia="en-US"/>
        </w:rPr>
        <w:t>Reserves</w:t>
      </w:r>
    </w:p>
    <w:p w14:paraId="485A48D1" w14:textId="77777777" w:rsidR="00E00863" w:rsidRPr="007245DE" w:rsidRDefault="00E00863" w:rsidP="00CF3182">
      <w:pPr>
        <w:pStyle w:val="Elementheading"/>
        <w:numPr>
          <w:ilvl w:val="0"/>
          <w:numId w:val="0"/>
        </w:numPr>
        <w:tabs>
          <w:tab w:val="left" w:pos="567"/>
        </w:tabs>
        <w:rPr>
          <w:sz w:val="22"/>
          <w:szCs w:val="22"/>
        </w:rPr>
      </w:pPr>
    </w:p>
    <w:p w14:paraId="485A48D2" w14:textId="4F5C5E34" w:rsidR="00E00863" w:rsidRPr="007245DE" w:rsidRDefault="00E00863" w:rsidP="00CF3182">
      <w:pPr>
        <w:tabs>
          <w:tab w:val="left" w:pos="567"/>
        </w:tabs>
        <w:spacing w:after="120"/>
        <w:ind w:left="567"/>
      </w:pPr>
      <w:r w:rsidRPr="007245DE">
        <w:t>The Authority is required to maintain a number of reserves under the provisions of the Code. The reserves and their broad functions are as follows.</w:t>
      </w:r>
    </w:p>
    <w:p w14:paraId="144666DB" w14:textId="77777777" w:rsidR="00935A67" w:rsidRPr="007245DE" w:rsidRDefault="00935A67" w:rsidP="00CF3182">
      <w:pPr>
        <w:tabs>
          <w:tab w:val="left" w:pos="567"/>
        </w:tabs>
        <w:spacing w:after="120"/>
        <w:ind w:left="567"/>
        <w:rPr>
          <w:b/>
          <w:i/>
        </w:rPr>
      </w:pPr>
    </w:p>
    <w:p w14:paraId="485A48D4" w14:textId="1B2C79B9" w:rsidR="00E00863" w:rsidRPr="007245DE" w:rsidRDefault="00935A67" w:rsidP="00CF3182">
      <w:pPr>
        <w:tabs>
          <w:tab w:val="left" w:pos="567"/>
        </w:tabs>
        <w:spacing w:after="120"/>
        <w:ind w:left="567"/>
        <w:rPr>
          <w:b/>
          <w:i/>
        </w:rPr>
      </w:pPr>
      <w:r w:rsidRPr="007245DE">
        <w:rPr>
          <w:b/>
          <w:i/>
        </w:rPr>
        <w:t>Us</w:t>
      </w:r>
      <w:r w:rsidR="00E00863" w:rsidRPr="007245DE">
        <w:rPr>
          <w:b/>
          <w:i/>
        </w:rPr>
        <w:t>able, cash-backed reserves</w:t>
      </w:r>
    </w:p>
    <w:p w14:paraId="485A48D6" w14:textId="77777777" w:rsidR="00E00863" w:rsidRPr="007245DE" w:rsidRDefault="00E00863" w:rsidP="00CF3182">
      <w:pPr>
        <w:tabs>
          <w:tab w:val="left" w:pos="567"/>
        </w:tabs>
        <w:spacing w:after="120"/>
        <w:ind w:left="567"/>
      </w:pPr>
      <w:r w:rsidRPr="007245DE">
        <w:rPr>
          <w:b/>
        </w:rPr>
        <w:t>General Reserve</w:t>
      </w:r>
    </w:p>
    <w:p w14:paraId="485A48D7" w14:textId="77777777" w:rsidR="00E00863" w:rsidRPr="007245DE" w:rsidRDefault="00E00863" w:rsidP="00CF3182">
      <w:pPr>
        <w:tabs>
          <w:tab w:val="left" w:pos="567"/>
        </w:tabs>
        <w:spacing w:after="120"/>
        <w:ind w:left="567"/>
      </w:pPr>
      <w:r w:rsidRPr="007245DE">
        <w:t>This balance represents the cumulative surplus available to the Authority to support revenue spending and which has not been earmarked for a specific purpose.</w:t>
      </w:r>
    </w:p>
    <w:p w14:paraId="485A48D8" w14:textId="77777777" w:rsidR="00E00863" w:rsidRPr="007245DE" w:rsidRDefault="00E00863" w:rsidP="00CF3182">
      <w:pPr>
        <w:tabs>
          <w:tab w:val="left" w:pos="567"/>
        </w:tabs>
        <w:spacing w:after="120"/>
        <w:ind w:left="567"/>
      </w:pPr>
      <w:r w:rsidRPr="007245DE">
        <w:rPr>
          <w:b/>
        </w:rPr>
        <w:t>Earmarked Reserves</w:t>
      </w:r>
    </w:p>
    <w:p w14:paraId="485A48D9" w14:textId="77777777" w:rsidR="00E00863" w:rsidRPr="007245DE" w:rsidRDefault="00E00863" w:rsidP="00CF3182">
      <w:pPr>
        <w:tabs>
          <w:tab w:val="left" w:pos="567"/>
        </w:tabs>
        <w:spacing w:after="120"/>
        <w:ind w:left="567"/>
      </w:pPr>
      <w:r w:rsidRPr="007245DE">
        <w:t>This balance represents monies available to support revenue spending but which the Authority ha</w:t>
      </w:r>
      <w:r w:rsidR="00221024" w:rsidRPr="007245DE">
        <w:t>s</w:t>
      </w:r>
      <w:r w:rsidRPr="007245DE">
        <w:t xml:space="preserve"> earmarked for specific purposes.</w:t>
      </w:r>
      <w:r w:rsidR="00D95903" w:rsidRPr="007245DE">
        <w:t xml:space="preserve"> </w:t>
      </w:r>
      <w:r w:rsidRPr="007245DE">
        <w:t>Details of these specific purposes are shown in the table below:</w:t>
      </w:r>
    </w:p>
    <w:p w14:paraId="485A48DA" w14:textId="77777777" w:rsidR="00721791" w:rsidRPr="007245DE" w:rsidRDefault="00721791" w:rsidP="00CF3182">
      <w:pPr>
        <w:tabs>
          <w:tab w:val="left" w:pos="567"/>
        </w:tabs>
        <w:spacing w:after="120"/>
        <w:ind w:left="567"/>
      </w:pPr>
      <w:r w:rsidRPr="007245DE">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09"/>
      </w:tblGrid>
      <w:tr w:rsidR="00E00863" w:rsidRPr="007245DE" w14:paraId="485A48DD" w14:textId="77777777" w:rsidTr="008C0A1F">
        <w:trPr>
          <w:jc w:val="center"/>
        </w:trPr>
        <w:tc>
          <w:tcPr>
            <w:tcW w:w="2520" w:type="dxa"/>
          </w:tcPr>
          <w:p w14:paraId="485A48DB" w14:textId="77777777" w:rsidR="00E00863" w:rsidRPr="007245DE" w:rsidRDefault="00E00863" w:rsidP="006D2EED">
            <w:r w:rsidRPr="007245DE">
              <w:lastRenderedPageBreak/>
              <w:t>Ring-fenced Funds Reserve</w:t>
            </w:r>
          </w:p>
        </w:tc>
        <w:tc>
          <w:tcPr>
            <w:tcW w:w="6509" w:type="dxa"/>
          </w:tcPr>
          <w:p w14:paraId="485A48DC" w14:textId="77777777" w:rsidR="00E00863" w:rsidRPr="007245DE" w:rsidRDefault="00A86299" w:rsidP="006D2EED">
            <w:r w:rsidRPr="007245DE">
              <w:t>Used t</w:t>
            </w:r>
            <w:r w:rsidR="00E00863" w:rsidRPr="007245DE">
              <w:t xml:space="preserve">o </w:t>
            </w:r>
            <w:r w:rsidR="00751264" w:rsidRPr="007245DE">
              <w:t>set aside small amounts of funding allocated for specific purposes</w:t>
            </w:r>
            <w:r w:rsidR="00E47108" w:rsidRPr="007245DE">
              <w:t xml:space="preserve"> and projects running between years</w:t>
            </w:r>
          </w:p>
        </w:tc>
      </w:tr>
      <w:tr w:rsidR="00E041A1" w:rsidRPr="007245DE" w14:paraId="485A48E0" w14:textId="77777777" w:rsidTr="008C0A1F">
        <w:trPr>
          <w:jc w:val="center"/>
        </w:trPr>
        <w:tc>
          <w:tcPr>
            <w:tcW w:w="2520" w:type="dxa"/>
          </w:tcPr>
          <w:p w14:paraId="485A48DE" w14:textId="77777777" w:rsidR="00E041A1" w:rsidRPr="007245DE" w:rsidRDefault="00E041A1" w:rsidP="006D2EED">
            <w:r w:rsidRPr="007245DE">
              <w:t>External Grants Reserve</w:t>
            </w:r>
          </w:p>
        </w:tc>
        <w:tc>
          <w:tcPr>
            <w:tcW w:w="6509" w:type="dxa"/>
          </w:tcPr>
          <w:p w14:paraId="485A48DF" w14:textId="77777777" w:rsidR="00E041A1" w:rsidRPr="007245DE" w:rsidRDefault="00E041A1" w:rsidP="006D2EED">
            <w:r w:rsidRPr="007245DE">
              <w:t>To hold external grant monies until the time they are used to support service delivery</w:t>
            </w:r>
          </w:p>
        </w:tc>
      </w:tr>
      <w:tr w:rsidR="00E041A1" w:rsidRPr="007245DE" w14:paraId="485A48E9" w14:textId="77777777" w:rsidTr="008C0A1F">
        <w:trPr>
          <w:jc w:val="center"/>
        </w:trPr>
        <w:tc>
          <w:tcPr>
            <w:tcW w:w="2520" w:type="dxa"/>
          </w:tcPr>
          <w:p w14:paraId="485A48E7" w14:textId="77777777" w:rsidR="00E041A1" w:rsidRPr="007245DE" w:rsidRDefault="00E041A1" w:rsidP="006D2EED">
            <w:r w:rsidRPr="007245DE">
              <w:t>Climate Change Reserve</w:t>
            </w:r>
          </w:p>
        </w:tc>
        <w:tc>
          <w:tcPr>
            <w:tcW w:w="6509" w:type="dxa"/>
          </w:tcPr>
          <w:p w14:paraId="485A48E8" w14:textId="77777777" w:rsidR="00E041A1" w:rsidRPr="007245DE" w:rsidRDefault="00E041A1" w:rsidP="006D2EED">
            <w:r w:rsidRPr="007245DE">
              <w:t xml:space="preserve">Held to support </w:t>
            </w:r>
            <w:r w:rsidR="00E47108" w:rsidRPr="007245DE">
              <w:t xml:space="preserve">specific </w:t>
            </w:r>
            <w:r w:rsidRPr="007245DE">
              <w:t>proje</w:t>
            </w:r>
            <w:r w:rsidR="00E47108" w:rsidRPr="007245DE">
              <w:t xml:space="preserve">cts that reduce our own </w:t>
            </w:r>
            <w:r w:rsidRPr="007245DE">
              <w:t>climate change emissions and emissions projects in the Park</w:t>
            </w:r>
          </w:p>
        </w:tc>
      </w:tr>
      <w:tr w:rsidR="00E041A1" w:rsidRPr="007245DE" w14:paraId="485A48EC" w14:textId="77777777" w:rsidTr="008C0A1F">
        <w:trPr>
          <w:jc w:val="center"/>
        </w:trPr>
        <w:tc>
          <w:tcPr>
            <w:tcW w:w="2520" w:type="dxa"/>
          </w:tcPr>
          <w:p w14:paraId="485A48EA" w14:textId="77777777" w:rsidR="00E041A1" w:rsidRPr="007245DE" w:rsidRDefault="00E041A1" w:rsidP="006D2EED">
            <w:r w:rsidRPr="007245DE">
              <w:t>Windermere Registration Reserve</w:t>
            </w:r>
          </w:p>
        </w:tc>
        <w:tc>
          <w:tcPr>
            <w:tcW w:w="6509" w:type="dxa"/>
          </w:tcPr>
          <w:p w14:paraId="485A48EB" w14:textId="77777777" w:rsidR="00E041A1" w:rsidRPr="007245DE" w:rsidRDefault="00E041A1" w:rsidP="00382E71">
            <w:r w:rsidRPr="007245DE">
              <w:t xml:space="preserve">Held to support </w:t>
            </w:r>
            <w:r w:rsidR="00382E71" w:rsidRPr="007245DE">
              <w:t xml:space="preserve">the management and administration costs of the </w:t>
            </w:r>
            <w:r w:rsidRPr="007245DE">
              <w:t xml:space="preserve">Windermere </w:t>
            </w:r>
            <w:r w:rsidR="00382E71" w:rsidRPr="007245DE">
              <w:t xml:space="preserve">Lake </w:t>
            </w:r>
            <w:r w:rsidRPr="007245DE">
              <w:t>Byelaw</w:t>
            </w:r>
            <w:r w:rsidR="00382E71" w:rsidRPr="007245DE">
              <w:t>s</w:t>
            </w:r>
          </w:p>
        </w:tc>
      </w:tr>
      <w:tr w:rsidR="00E041A1" w:rsidRPr="007245DE" w14:paraId="485A48EF" w14:textId="77777777" w:rsidTr="008C0A1F">
        <w:trPr>
          <w:jc w:val="center"/>
        </w:trPr>
        <w:tc>
          <w:tcPr>
            <w:tcW w:w="2520" w:type="dxa"/>
          </w:tcPr>
          <w:p w14:paraId="485A48ED" w14:textId="77777777" w:rsidR="00E041A1" w:rsidRPr="007245DE" w:rsidRDefault="00382E71" w:rsidP="006D2EED">
            <w:r w:rsidRPr="007245DE">
              <w:t>Lake District Communities Fund</w:t>
            </w:r>
          </w:p>
        </w:tc>
        <w:tc>
          <w:tcPr>
            <w:tcW w:w="6509" w:type="dxa"/>
          </w:tcPr>
          <w:p w14:paraId="485A48EE" w14:textId="77777777" w:rsidR="00E041A1" w:rsidRPr="007245DE" w:rsidRDefault="00382E71" w:rsidP="00382E71">
            <w:r w:rsidRPr="007245DE">
              <w:t>Held to support specific community led projects that will contribute to the delivery of the Vision, its outcomes, and reflect the principles of distinctive area ways of working</w:t>
            </w:r>
          </w:p>
        </w:tc>
      </w:tr>
      <w:tr w:rsidR="005709CC" w:rsidRPr="007245DE" w14:paraId="485A48F2" w14:textId="77777777" w:rsidTr="008C0A1F">
        <w:trPr>
          <w:jc w:val="center"/>
        </w:trPr>
        <w:tc>
          <w:tcPr>
            <w:tcW w:w="2520" w:type="dxa"/>
          </w:tcPr>
          <w:p w14:paraId="485A48F0" w14:textId="77777777" w:rsidR="005709CC" w:rsidRPr="007245DE" w:rsidRDefault="00D53805" w:rsidP="005709CC">
            <w:r w:rsidRPr="007245DE">
              <w:t>UK National Parks Digital Partnership</w:t>
            </w:r>
          </w:p>
        </w:tc>
        <w:tc>
          <w:tcPr>
            <w:tcW w:w="6509" w:type="dxa"/>
          </w:tcPr>
          <w:p w14:paraId="485A48F1" w14:textId="77777777" w:rsidR="005709CC" w:rsidRPr="007245DE" w:rsidRDefault="005709CC" w:rsidP="00D53805">
            <w:pPr>
              <w:rPr>
                <w:rFonts w:cs="Arial"/>
              </w:rPr>
            </w:pPr>
            <w:r w:rsidRPr="007245DE">
              <w:t xml:space="preserve">Held </w:t>
            </w:r>
            <w:r w:rsidR="00D53805" w:rsidRPr="007245DE">
              <w:t xml:space="preserve">under agreement in </w:t>
            </w:r>
            <w:r w:rsidRPr="007245DE">
              <w:t xml:space="preserve">support </w:t>
            </w:r>
            <w:r w:rsidR="00D53805" w:rsidRPr="007245DE">
              <w:t>of service delivery for the UK National Parks Digital Partnership.</w:t>
            </w:r>
          </w:p>
        </w:tc>
      </w:tr>
      <w:tr w:rsidR="00D53805" w:rsidRPr="007245DE" w14:paraId="485A48F5" w14:textId="77777777" w:rsidTr="008C0A1F">
        <w:trPr>
          <w:jc w:val="center"/>
        </w:trPr>
        <w:tc>
          <w:tcPr>
            <w:tcW w:w="2520" w:type="dxa"/>
          </w:tcPr>
          <w:p w14:paraId="485A48F3" w14:textId="77777777" w:rsidR="00D53805" w:rsidRPr="007245DE" w:rsidRDefault="00D53805" w:rsidP="00E737E7">
            <w:r w:rsidRPr="007245DE">
              <w:t>Cumbria Woodlands</w:t>
            </w:r>
          </w:p>
        </w:tc>
        <w:tc>
          <w:tcPr>
            <w:tcW w:w="6509" w:type="dxa"/>
          </w:tcPr>
          <w:p w14:paraId="485A48F4" w14:textId="2147ED0C" w:rsidR="00D53805" w:rsidRPr="007245DE" w:rsidRDefault="00D53805" w:rsidP="005709CC">
            <w:r w:rsidRPr="007245DE">
              <w:t>Held to support the Cumbria Woodlands service</w:t>
            </w:r>
            <w:r w:rsidR="00400441" w:rsidRPr="007245DE">
              <w:t xml:space="preserve"> and neutralise any impact on the Authority General Fund for Cumbria Woodlands work.</w:t>
            </w:r>
          </w:p>
        </w:tc>
      </w:tr>
      <w:tr w:rsidR="005709CC" w:rsidRPr="007245DE" w14:paraId="485A48F8" w14:textId="77777777" w:rsidTr="008C0A1F">
        <w:trPr>
          <w:jc w:val="center"/>
        </w:trPr>
        <w:tc>
          <w:tcPr>
            <w:tcW w:w="2520" w:type="dxa"/>
          </w:tcPr>
          <w:p w14:paraId="485A48F6" w14:textId="77777777" w:rsidR="005709CC" w:rsidRPr="007245DE" w:rsidRDefault="005709CC" w:rsidP="00E737E7">
            <w:r w:rsidRPr="007245DE">
              <w:t xml:space="preserve">Investing </w:t>
            </w:r>
            <w:r w:rsidR="00E737E7" w:rsidRPr="007245DE">
              <w:t>For</w:t>
            </w:r>
            <w:r w:rsidRPr="007245DE">
              <w:t xml:space="preserve"> Our Future Reserve</w:t>
            </w:r>
          </w:p>
        </w:tc>
        <w:tc>
          <w:tcPr>
            <w:tcW w:w="6509" w:type="dxa"/>
          </w:tcPr>
          <w:p w14:paraId="485A48F7" w14:textId="77777777" w:rsidR="005709CC" w:rsidRPr="007245DE" w:rsidRDefault="005709CC" w:rsidP="005709CC">
            <w:r w:rsidRPr="007245DE">
              <w:t>Held to provide funding to invest in new initiatives that can deliver additional financial contribution and / or improvements in direct delivery</w:t>
            </w:r>
          </w:p>
        </w:tc>
      </w:tr>
      <w:tr w:rsidR="005709CC" w:rsidRPr="007245DE" w14:paraId="485A48FF" w14:textId="77777777" w:rsidTr="008C0A1F">
        <w:trPr>
          <w:jc w:val="center"/>
        </w:trPr>
        <w:tc>
          <w:tcPr>
            <w:tcW w:w="2520" w:type="dxa"/>
          </w:tcPr>
          <w:p w14:paraId="485A48FD" w14:textId="77777777" w:rsidR="005709CC" w:rsidRPr="007245DE" w:rsidRDefault="005709CC" w:rsidP="005709CC">
            <w:r w:rsidRPr="007245DE">
              <w:t>Partnership Priorities Reserve</w:t>
            </w:r>
          </w:p>
        </w:tc>
        <w:tc>
          <w:tcPr>
            <w:tcW w:w="6509" w:type="dxa"/>
          </w:tcPr>
          <w:p w14:paraId="485A48FE" w14:textId="77777777" w:rsidR="005709CC" w:rsidRPr="007245DE" w:rsidRDefault="005709CC" w:rsidP="005709CC">
            <w:pPr>
              <w:rPr>
                <w:rFonts w:cs="Arial"/>
              </w:rPr>
            </w:pPr>
            <w:r w:rsidRPr="007245DE">
              <w:rPr>
                <w:rFonts w:cs="Arial"/>
              </w:rPr>
              <w:t>Held to support the achievement of priorities identified by the Lake District National Park Partnership through specific projects</w:t>
            </w:r>
          </w:p>
        </w:tc>
      </w:tr>
      <w:tr w:rsidR="005709CC" w:rsidRPr="007245DE" w14:paraId="485A4902" w14:textId="77777777" w:rsidTr="008C0A1F">
        <w:trPr>
          <w:jc w:val="center"/>
        </w:trPr>
        <w:tc>
          <w:tcPr>
            <w:tcW w:w="2520" w:type="dxa"/>
          </w:tcPr>
          <w:p w14:paraId="485A4900" w14:textId="77777777" w:rsidR="005709CC" w:rsidRPr="007245DE" w:rsidRDefault="005709CC" w:rsidP="005709CC">
            <w:r w:rsidRPr="007245DE">
              <w:t>Fix the Fells Reserve</w:t>
            </w:r>
          </w:p>
        </w:tc>
        <w:tc>
          <w:tcPr>
            <w:tcW w:w="6509" w:type="dxa"/>
          </w:tcPr>
          <w:p w14:paraId="485A4901" w14:textId="77777777" w:rsidR="005709CC" w:rsidRPr="007245DE" w:rsidRDefault="005709CC" w:rsidP="005709CC">
            <w:r w:rsidRPr="007245DE">
              <w:t>Held to manage income generated from donations, sponsorship and grants and associated expenditure on behalf of the Fix the Fells Partnership</w:t>
            </w:r>
          </w:p>
        </w:tc>
      </w:tr>
      <w:tr w:rsidR="005709CC" w:rsidRPr="007245DE" w14:paraId="485A4905" w14:textId="77777777" w:rsidTr="008C0A1F">
        <w:trPr>
          <w:jc w:val="center"/>
        </w:trPr>
        <w:tc>
          <w:tcPr>
            <w:tcW w:w="2520" w:type="dxa"/>
          </w:tcPr>
          <w:p w14:paraId="485A4903" w14:textId="77777777" w:rsidR="005709CC" w:rsidRPr="007245DE" w:rsidRDefault="005709CC" w:rsidP="005709CC">
            <w:r w:rsidRPr="007245DE">
              <w:t>Post Contract Development Works Reserve</w:t>
            </w:r>
          </w:p>
        </w:tc>
        <w:tc>
          <w:tcPr>
            <w:tcW w:w="6509" w:type="dxa"/>
          </w:tcPr>
          <w:p w14:paraId="485A4904" w14:textId="77777777" w:rsidR="005709CC" w:rsidRPr="007245DE" w:rsidRDefault="005709CC" w:rsidP="005709CC">
            <w:pPr>
              <w:rPr>
                <w:rFonts w:cs="Arial"/>
              </w:rPr>
            </w:pPr>
            <w:r w:rsidRPr="007245DE">
              <w:rPr>
                <w:rFonts w:cs="Arial"/>
              </w:rPr>
              <w:t xml:space="preserve">Held </w:t>
            </w:r>
            <w:r w:rsidRPr="007245DE">
              <w:t>to fund the future costs of maintaining and developing public access infrastructure improvements where higher standards have increased quality of provision and user expectations</w:t>
            </w:r>
          </w:p>
        </w:tc>
      </w:tr>
      <w:tr w:rsidR="005709CC" w:rsidRPr="007245DE" w14:paraId="485A4908" w14:textId="77777777" w:rsidTr="008C0A1F">
        <w:trPr>
          <w:jc w:val="center"/>
        </w:trPr>
        <w:tc>
          <w:tcPr>
            <w:tcW w:w="2520" w:type="dxa"/>
          </w:tcPr>
          <w:p w14:paraId="485A4906" w14:textId="77777777" w:rsidR="005709CC" w:rsidRPr="007245DE" w:rsidRDefault="005709CC" w:rsidP="005709CC">
            <w:r w:rsidRPr="007245DE">
              <w:t>Public Rights of Way Reserve</w:t>
            </w:r>
          </w:p>
        </w:tc>
        <w:tc>
          <w:tcPr>
            <w:tcW w:w="6509" w:type="dxa"/>
          </w:tcPr>
          <w:p w14:paraId="485A4907" w14:textId="77777777" w:rsidR="005709CC" w:rsidRPr="007245DE" w:rsidRDefault="005709CC" w:rsidP="005709CC">
            <w:r w:rsidRPr="007245DE">
              <w:t>Held to support the re-instatement of public rights of way following the December 2015 floods and the upgrade of paths within the extension area</w:t>
            </w:r>
          </w:p>
        </w:tc>
      </w:tr>
      <w:tr w:rsidR="005709CC" w:rsidRPr="007245DE" w14:paraId="485A490B" w14:textId="77777777" w:rsidTr="008C0A1F">
        <w:trPr>
          <w:jc w:val="center"/>
        </w:trPr>
        <w:tc>
          <w:tcPr>
            <w:tcW w:w="2520" w:type="dxa"/>
          </w:tcPr>
          <w:p w14:paraId="485A4909" w14:textId="77777777" w:rsidR="005709CC" w:rsidRPr="007245DE" w:rsidRDefault="005709CC" w:rsidP="005709CC">
            <w:r w:rsidRPr="007245DE">
              <w:t>Planning Application Fee Increase</w:t>
            </w:r>
          </w:p>
        </w:tc>
        <w:tc>
          <w:tcPr>
            <w:tcW w:w="6509" w:type="dxa"/>
          </w:tcPr>
          <w:p w14:paraId="485A490A" w14:textId="77777777" w:rsidR="005709CC" w:rsidRPr="007245DE" w:rsidRDefault="005709CC" w:rsidP="005709CC">
            <w:r w:rsidRPr="007245DE">
              <w:t>To hold income relating to the increase in planning application fees from Jan 18 until the time it is used to support service delivery</w:t>
            </w:r>
          </w:p>
        </w:tc>
      </w:tr>
      <w:tr w:rsidR="00400441" w:rsidRPr="007245DE" w14:paraId="03296E19" w14:textId="77777777" w:rsidTr="008C0A1F">
        <w:trPr>
          <w:jc w:val="center"/>
        </w:trPr>
        <w:tc>
          <w:tcPr>
            <w:tcW w:w="2520" w:type="dxa"/>
          </w:tcPr>
          <w:p w14:paraId="5F42C6D8" w14:textId="69BC6661" w:rsidR="00400441" w:rsidRPr="007245DE" w:rsidRDefault="00400441" w:rsidP="005709CC">
            <w:r w:rsidRPr="007245DE">
              <w:t>Visitor Services Trading Reserve</w:t>
            </w:r>
          </w:p>
        </w:tc>
        <w:tc>
          <w:tcPr>
            <w:tcW w:w="6509" w:type="dxa"/>
          </w:tcPr>
          <w:p w14:paraId="1FD32B1B" w14:textId="753C7843" w:rsidR="00400441" w:rsidRPr="007245DE" w:rsidRDefault="00400441" w:rsidP="005709CC">
            <w:r w:rsidRPr="007245DE">
              <w:t>A general contingency reserve specifically to smooth out trading performance within Visitor Services. This has a target balance of £500k.</w:t>
            </w:r>
          </w:p>
        </w:tc>
      </w:tr>
      <w:tr w:rsidR="00400441" w:rsidRPr="007245DE" w14:paraId="446B0E08" w14:textId="77777777" w:rsidTr="008C0A1F">
        <w:trPr>
          <w:jc w:val="center"/>
        </w:trPr>
        <w:tc>
          <w:tcPr>
            <w:tcW w:w="2520" w:type="dxa"/>
          </w:tcPr>
          <w:p w14:paraId="05189F49" w14:textId="62DD59EE" w:rsidR="00400441" w:rsidRPr="007245DE" w:rsidRDefault="00400441" w:rsidP="005709CC">
            <w:r w:rsidRPr="007245DE">
              <w:t>Biodiversity Net Gain Reserve</w:t>
            </w:r>
          </w:p>
        </w:tc>
        <w:tc>
          <w:tcPr>
            <w:tcW w:w="6509" w:type="dxa"/>
          </w:tcPr>
          <w:p w14:paraId="1CA36BCB" w14:textId="7B139C92" w:rsidR="00400441" w:rsidRPr="007245DE" w:rsidRDefault="00400441" w:rsidP="005709CC">
            <w:r w:rsidRPr="007245DE">
              <w:t>To hold amounts received specifically in relation to funding future BNG work</w:t>
            </w:r>
          </w:p>
        </w:tc>
      </w:tr>
      <w:tr w:rsidR="007245DE" w:rsidRPr="007245DE" w14:paraId="16CD59A0" w14:textId="77777777" w:rsidTr="008C0A1F">
        <w:trPr>
          <w:jc w:val="center"/>
        </w:trPr>
        <w:tc>
          <w:tcPr>
            <w:tcW w:w="2520" w:type="dxa"/>
          </w:tcPr>
          <w:p w14:paraId="5105D2FC" w14:textId="1BC9D0B9" w:rsidR="007245DE" w:rsidRPr="007245DE" w:rsidRDefault="007245DE" w:rsidP="005709CC">
            <w:r w:rsidRPr="007245DE">
              <w:t>Farming in protected Landscapes reserve</w:t>
            </w:r>
          </w:p>
        </w:tc>
        <w:tc>
          <w:tcPr>
            <w:tcW w:w="6509" w:type="dxa"/>
          </w:tcPr>
          <w:p w14:paraId="677BE356" w14:textId="1B023713" w:rsidR="007245DE" w:rsidRPr="007245DE" w:rsidRDefault="007245DE" w:rsidP="005709CC">
            <w:r w:rsidRPr="007245DE">
              <w:t xml:space="preserve">To hold funds to support work relating to administering the </w:t>
            </w:r>
            <w:proofErr w:type="spellStart"/>
            <w:r w:rsidRPr="007245DE">
              <w:t>FiPL</w:t>
            </w:r>
            <w:proofErr w:type="spellEnd"/>
            <w:r w:rsidRPr="007245DE">
              <w:t xml:space="preserve"> scheme.</w:t>
            </w:r>
          </w:p>
        </w:tc>
      </w:tr>
      <w:tr w:rsidR="007245DE" w:rsidRPr="004D5CA8" w14:paraId="31026778" w14:textId="77777777" w:rsidTr="008C0A1F">
        <w:trPr>
          <w:jc w:val="center"/>
        </w:trPr>
        <w:tc>
          <w:tcPr>
            <w:tcW w:w="2520" w:type="dxa"/>
          </w:tcPr>
          <w:p w14:paraId="37A13174" w14:textId="0DFBF637" w:rsidR="007245DE" w:rsidRPr="007245DE" w:rsidRDefault="007245DE" w:rsidP="005709CC">
            <w:r w:rsidRPr="007245DE">
              <w:t>Planning interim support reserve</w:t>
            </w:r>
          </w:p>
        </w:tc>
        <w:tc>
          <w:tcPr>
            <w:tcW w:w="6509" w:type="dxa"/>
          </w:tcPr>
          <w:p w14:paraId="3DF311E6" w14:textId="4FFB7F19" w:rsidR="007245DE" w:rsidRPr="007245DE" w:rsidRDefault="007245DE" w:rsidP="005709CC">
            <w:r w:rsidRPr="007245DE">
              <w:t>Funds held specifically to support planning service staffing.</w:t>
            </w:r>
          </w:p>
        </w:tc>
      </w:tr>
      <w:tr w:rsidR="007A0EFC" w:rsidRPr="004D5CA8" w14:paraId="3D66F195" w14:textId="77777777" w:rsidTr="008C0A1F">
        <w:trPr>
          <w:jc w:val="center"/>
        </w:trPr>
        <w:tc>
          <w:tcPr>
            <w:tcW w:w="2520" w:type="dxa"/>
          </w:tcPr>
          <w:p w14:paraId="05DCBAE3" w14:textId="59839274" w:rsidR="007A0EFC" w:rsidRPr="007245DE" w:rsidRDefault="007A0EFC" w:rsidP="005709CC">
            <w:r>
              <w:t>Inquiry reserve</w:t>
            </w:r>
          </w:p>
        </w:tc>
        <w:tc>
          <w:tcPr>
            <w:tcW w:w="6509" w:type="dxa"/>
          </w:tcPr>
          <w:p w14:paraId="7FFA38EE" w14:textId="7A676A7A" w:rsidR="007A0EFC" w:rsidRPr="007245DE" w:rsidRDefault="007A0EFC" w:rsidP="005709CC">
            <w:r>
              <w:t>Funds set aside for periodic planning enquiries</w:t>
            </w:r>
          </w:p>
        </w:tc>
      </w:tr>
    </w:tbl>
    <w:p w14:paraId="485A490F" w14:textId="77777777" w:rsidR="00221024" w:rsidRPr="004D5CA8" w:rsidRDefault="00221024" w:rsidP="006D2EED">
      <w:pPr>
        <w:spacing w:after="120"/>
        <w:ind w:left="567"/>
        <w:rPr>
          <w:sz w:val="22"/>
          <w:szCs w:val="22"/>
          <w:highlight w:val="yellow"/>
        </w:rPr>
      </w:pPr>
    </w:p>
    <w:p w14:paraId="485A4914" w14:textId="77777777" w:rsidR="006A4B16" w:rsidRPr="004D5CA8" w:rsidRDefault="006A4B16" w:rsidP="006D2EED">
      <w:pPr>
        <w:spacing w:after="120"/>
        <w:ind w:left="567"/>
        <w:rPr>
          <w:sz w:val="22"/>
          <w:szCs w:val="22"/>
          <w:highlight w:val="yellow"/>
        </w:rPr>
      </w:pPr>
    </w:p>
    <w:p w14:paraId="485A4915" w14:textId="77777777" w:rsidR="00E40210" w:rsidRPr="004D5CA8" w:rsidRDefault="00E40210" w:rsidP="006D2EED">
      <w:pPr>
        <w:spacing w:after="120"/>
        <w:ind w:left="567"/>
        <w:rPr>
          <w:sz w:val="22"/>
          <w:szCs w:val="22"/>
          <w:highlight w:val="yellow"/>
        </w:rPr>
      </w:pPr>
    </w:p>
    <w:p w14:paraId="485A4916" w14:textId="77777777" w:rsidR="00E00863" w:rsidRPr="004D5CA8" w:rsidRDefault="00721791" w:rsidP="006D75FB">
      <w:pPr>
        <w:tabs>
          <w:tab w:val="left" w:pos="567"/>
        </w:tabs>
        <w:spacing w:after="120"/>
        <w:ind w:left="567"/>
        <w:rPr>
          <w:b/>
          <w:i/>
          <w:highlight w:val="yellow"/>
        </w:rPr>
      </w:pPr>
      <w:r w:rsidRPr="004D5CA8">
        <w:rPr>
          <w:b/>
          <w:i/>
          <w:highlight w:val="yellow"/>
        </w:rPr>
        <w:br w:type="page"/>
      </w:r>
    </w:p>
    <w:p w14:paraId="485A4917" w14:textId="77777777" w:rsidR="007F01E5" w:rsidRPr="004D5CA8" w:rsidRDefault="007F01E5" w:rsidP="006D75FB">
      <w:pPr>
        <w:tabs>
          <w:tab w:val="left" w:pos="567"/>
        </w:tabs>
        <w:spacing w:after="120"/>
        <w:ind w:left="567"/>
        <w:rPr>
          <w:b/>
          <w:i/>
          <w:sz w:val="22"/>
          <w:szCs w:val="22"/>
          <w:highlight w:val="yellow"/>
        </w:rPr>
      </w:pPr>
    </w:p>
    <w:p w14:paraId="485A4918" w14:textId="77777777" w:rsidR="00E00863" w:rsidRPr="00257F2F" w:rsidRDefault="007F01E5" w:rsidP="00CF3182">
      <w:pPr>
        <w:pStyle w:val="Subtitle"/>
        <w:numPr>
          <w:ilvl w:val="0"/>
          <w:numId w:val="0"/>
        </w:numPr>
        <w:tabs>
          <w:tab w:val="left" w:pos="-709"/>
          <w:tab w:val="left" w:pos="-284"/>
          <w:tab w:val="left" w:pos="-142"/>
          <w:tab w:val="left" w:pos="0"/>
          <w:tab w:val="left" w:pos="567"/>
        </w:tabs>
        <w:spacing w:line="240" w:lineRule="atLeast"/>
        <w:ind w:right="680"/>
        <w:rPr>
          <w:rFonts w:ascii="Arial" w:eastAsia="Times New Roman" w:hAnsi="Arial"/>
          <w:b/>
          <w:i w:val="0"/>
          <w:iCs w:val="0"/>
          <w:spacing w:val="0"/>
          <w:sz w:val="23"/>
          <w:szCs w:val="23"/>
          <w:u w:val="none"/>
          <w:lang w:eastAsia="en-US"/>
        </w:rPr>
      </w:pPr>
      <w:r w:rsidRPr="00257F2F">
        <w:rPr>
          <w:rFonts w:ascii="Arial" w:hAnsi="Arial" w:cs="Arial"/>
          <w:b/>
          <w:i w:val="0"/>
          <w:sz w:val="23"/>
          <w:szCs w:val="23"/>
          <w:u w:val="none"/>
        </w:rPr>
        <w:t>3</w:t>
      </w:r>
      <w:r w:rsidR="00FB3A44" w:rsidRPr="00257F2F">
        <w:rPr>
          <w:rFonts w:ascii="Arial" w:hAnsi="Arial" w:cs="Arial"/>
          <w:b/>
          <w:i w:val="0"/>
          <w:sz w:val="23"/>
          <w:szCs w:val="23"/>
          <w:u w:val="none"/>
        </w:rPr>
        <w:t>0</w:t>
      </w:r>
      <w:r w:rsidR="00203DC8" w:rsidRPr="00257F2F">
        <w:rPr>
          <w:rFonts w:ascii="Arial" w:hAnsi="Arial" w:cs="Arial"/>
          <w:b/>
          <w:i w:val="0"/>
          <w:sz w:val="23"/>
          <w:szCs w:val="23"/>
          <w:u w:val="none"/>
        </w:rPr>
        <w:t>.</w:t>
      </w:r>
      <w:r w:rsidR="00203DC8" w:rsidRPr="00257F2F">
        <w:rPr>
          <w:rFonts w:ascii="Arial" w:hAnsi="Arial" w:cs="Arial"/>
          <w:b/>
          <w:i w:val="0"/>
          <w:sz w:val="23"/>
          <w:szCs w:val="23"/>
          <w:u w:val="none"/>
        </w:rPr>
        <w:tab/>
      </w:r>
      <w:r w:rsidR="00E00863" w:rsidRPr="00257F2F">
        <w:rPr>
          <w:rFonts w:ascii="Arial" w:eastAsia="Times New Roman" w:hAnsi="Arial"/>
          <w:b/>
          <w:i w:val="0"/>
          <w:iCs w:val="0"/>
          <w:spacing w:val="0"/>
          <w:sz w:val="23"/>
          <w:szCs w:val="23"/>
          <w:u w:val="none"/>
          <w:lang w:eastAsia="en-US"/>
        </w:rPr>
        <w:t xml:space="preserve">Summary of Movement on </w:t>
      </w:r>
      <w:r w:rsidR="00C569DB" w:rsidRPr="00257F2F">
        <w:rPr>
          <w:rFonts w:ascii="Arial" w:eastAsia="Times New Roman" w:hAnsi="Arial"/>
          <w:b/>
          <w:i w:val="0"/>
          <w:iCs w:val="0"/>
          <w:spacing w:val="0"/>
          <w:sz w:val="23"/>
          <w:szCs w:val="23"/>
          <w:u w:val="none"/>
          <w:lang w:eastAsia="en-US"/>
        </w:rPr>
        <w:t>Usable</w:t>
      </w:r>
      <w:r w:rsidR="00420AE5" w:rsidRPr="00257F2F">
        <w:rPr>
          <w:rFonts w:ascii="Arial" w:eastAsia="Times New Roman" w:hAnsi="Arial"/>
          <w:b/>
          <w:i w:val="0"/>
          <w:iCs w:val="0"/>
          <w:spacing w:val="0"/>
          <w:sz w:val="23"/>
          <w:szCs w:val="23"/>
          <w:u w:val="none"/>
          <w:lang w:eastAsia="en-US"/>
        </w:rPr>
        <w:t xml:space="preserve"> </w:t>
      </w:r>
      <w:r w:rsidR="00E00863" w:rsidRPr="00257F2F">
        <w:rPr>
          <w:rFonts w:ascii="Arial" w:eastAsia="Times New Roman" w:hAnsi="Arial"/>
          <w:b/>
          <w:i w:val="0"/>
          <w:iCs w:val="0"/>
          <w:spacing w:val="0"/>
          <w:sz w:val="23"/>
          <w:szCs w:val="23"/>
          <w:u w:val="none"/>
          <w:lang w:eastAsia="en-US"/>
        </w:rPr>
        <w:t>Reserves</w:t>
      </w:r>
    </w:p>
    <w:p w14:paraId="05ECC2B8" w14:textId="77777777" w:rsidR="00257F2F" w:rsidRDefault="00257F2F" w:rsidP="00257F2F">
      <w:pPr>
        <w:rPr>
          <w:highlight w:val="yellow"/>
        </w:rPr>
      </w:pPr>
    </w:p>
    <w:p w14:paraId="25172620" w14:textId="77777777" w:rsidR="00257F2F" w:rsidRDefault="00257F2F" w:rsidP="00257F2F">
      <w:pPr>
        <w:rPr>
          <w:highlight w:val="yellow"/>
        </w:rPr>
      </w:pPr>
    </w:p>
    <w:tbl>
      <w:tblPr>
        <w:tblW w:w="9719" w:type="dxa"/>
        <w:tblLook w:val="04A0" w:firstRow="1" w:lastRow="0" w:firstColumn="1" w:lastColumn="0" w:noHBand="0" w:noVBand="1"/>
      </w:tblPr>
      <w:tblGrid>
        <w:gridCol w:w="4442"/>
        <w:gridCol w:w="1082"/>
        <w:gridCol w:w="1128"/>
        <w:gridCol w:w="984"/>
        <w:gridCol w:w="1143"/>
        <w:gridCol w:w="984"/>
      </w:tblGrid>
      <w:tr w:rsidR="00257F2F" w:rsidRPr="00257F2F" w14:paraId="216A38D7" w14:textId="77777777" w:rsidTr="00460FAE">
        <w:trPr>
          <w:trHeight w:val="1040"/>
        </w:trPr>
        <w:tc>
          <w:tcPr>
            <w:tcW w:w="4442" w:type="dxa"/>
            <w:vMerge w:val="restart"/>
            <w:tcBorders>
              <w:top w:val="single" w:sz="4" w:space="0" w:color="auto"/>
              <w:left w:val="single" w:sz="4" w:space="0" w:color="auto"/>
              <w:bottom w:val="single" w:sz="4" w:space="0" w:color="000000"/>
              <w:right w:val="single" w:sz="4" w:space="0" w:color="auto"/>
            </w:tcBorders>
            <w:shd w:val="clear" w:color="000000" w:fill="000000"/>
            <w:vAlign w:val="center"/>
            <w:hideMark/>
          </w:tcPr>
          <w:p w14:paraId="46B0325C" w14:textId="77777777" w:rsidR="00257F2F" w:rsidRPr="00257F2F" w:rsidRDefault="00257F2F" w:rsidP="00257F2F">
            <w:pPr>
              <w:rPr>
                <w:rFonts w:cs="Arial"/>
                <w:b/>
                <w:bCs/>
                <w:color w:val="FFFFFF"/>
                <w:sz w:val="20"/>
                <w:szCs w:val="20"/>
                <w:lang w:eastAsia="en-GB"/>
              </w:rPr>
            </w:pPr>
            <w:r w:rsidRPr="00257F2F">
              <w:rPr>
                <w:rFonts w:cs="Arial"/>
                <w:b/>
                <w:bCs/>
                <w:color w:val="FFFFFF"/>
                <w:sz w:val="20"/>
                <w:szCs w:val="20"/>
                <w:lang w:eastAsia="en-GB"/>
              </w:rPr>
              <w:t>Description</w:t>
            </w:r>
          </w:p>
        </w:tc>
        <w:tc>
          <w:tcPr>
            <w:tcW w:w="1082" w:type="dxa"/>
            <w:tcBorders>
              <w:top w:val="single" w:sz="4" w:space="0" w:color="auto"/>
              <w:left w:val="nil"/>
              <w:bottom w:val="nil"/>
              <w:right w:val="single" w:sz="4" w:space="0" w:color="auto"/>
            </w:tcBorders>
            <w:shd w:val="clear" w:color="000000" w:fill="000000"/>
            <w:hideMark/>
          </w:tcPr>
          <w:p w14:paraId="7088D68D" w14:textId="77777777" w:rsidR="00257F2F" w:rsidRPr="00257F2F" w:rsidRDefault="00257F2F" w:rsidP="00257F2F">
            <w:pPr>
              <w:jc w:val="center"/>
              <w:rPr>
                <w:rFonts w:cs="Arial"/>
                <w:b/>
                <w:bCs/>
                <w:color w:val="FFFFFF"/>
                <w:sz w:val="20"/>
                <w:szCs w:val="20"/>
                <w:lang w:eastAsia="en-GB"/>
              </w:rPr>
            </w:pPr>
            <w:r w:rsidRPr="00257F2F">
              <w:rPr>
                <w:rFonts w:cs="Arial"/>
                <w:b/>
                <w:bCs/>
                <w:color w:val="FFFFFF"/>
                <w:sz w:val="20"/>
                <w:szCs w:val="20"/>
                <w:lang w:eastAsia="en-GB"/>
              </w:rPr>
              <w:t>Balance 31 March 2021</w:t>
            </w:r>
          </w:p>
        </w:tc>
        <w:tc>
          <w:tcPr>
            <w:tcW w:w="1112" w:type="dxa"/>
            <w:tcBorders>
              <w:top w:val="single" w:sz="4" w:space="0" w:color="auto"/>
              <w:left w:val="nil"/>
              <w:bottom w:val="nil"/>
              <w:right w:val="single" w:sz="4" w:space="0" w:color="auto"/>
            </w:tcBorders>
            <w:shd w:val="clear" w:color="000000" w:fill="000000"/>
            <w:hideMark/>
          </w:tcPr>
          <w:p w14:paraId="4C9BC4FA" w14:textId="77777777" w:rsidR="00257F2F" w:rsidRPr="00257F2F" w:rsidRDefault="00257F2F" w:rsidP="00257F2F">
            <w:pPr>
              <w:jc w:val="center"/>
              <w:rPr>
                <w:rFonts w:cs="Arial"/>
                <w:b/>
                <w:bCs/>
                <w:color w:val="FFFFFF"/>
                <w:sz w:val="20"/>
                <w:szCs w:val="20"/>
                <w:lang w:eastAsia="en-GB"/>
              </w:rPr>
            </w:pPr>
            <w:r w:rsidRPr="00257F2F">
              <w:rPr>
                <w:rFonts w:cs="Arial"/>
                <w:b/>
                <w:bCs/>
                <w:color w:val="FFFFFF"/>
                <w:sz w:val="20"/>
                <w:szCs w:val="20"/>
                <w:lang w:eastAsia="en-GB"/>
              </w:rPr>
              <w:t>Transfers to/(from) reserves</w:t>
            </w:r>
          </w:p>
        </w:tc>
        <w:tc>
          <w:tcPr>
            <w:tcW w:w="970" w:type="dxa"/>
            <w:tcBorders>
              <w:top w:val="single" w:sz="4" w:space="0" w:color="auto"/>
              <w:left w:val="nil"/>
              <w:bottom w:val="nil"/>
              <w:right w:val="single" w:sz="4" w:space="0" w:color="auto"/>
            </w:tcBorders>
            <w:shd w:val="clear" w:color="000000" w:fill="000000"/>
            <w:hideMark/>
          </w:tcPr>
          <w:p w14:paraId="0EE07813" w14:textId="77777777" w:rsidR="00257F2F" w:rsidRPr="00257F2F" w:rsidRDefault="00257F2F" w:rsidP="00257F2F">
            <w:pPr>
              <w:jc w:val="center"/>
              <w:rPr>
                <w:rFonts w:cs="Arial"/>
                <w:b/>
                <w:bCs/>
                <w:color w:val="FFFFFF"/>
                <w:sz w:val="20"/>
                <w:szCs w:val="20"/>
                <w:lang w:eastAsia="en-GB"/>
              </w:rPr>
            </w:pPr>
            <w:r w:rsidRPr="00257F2F">
              <w:rPr>
                <w:rFonts w:cs="Arial"/>
                <w:b/>
                <w:bCs/>
                <w:color w:val="FFFFFF"/>
                <w:sz w:val="20"/>
                <w:szCs w:val="20"/>
                <w:lang w:eastAsia="en-GB"/>
              </w:rPr>
              <w:t>Balance 31 March 2022</w:t>
            </w:r>
          </w:p>
        </w:tc>
        <w:tc>
          <w:tcPr>
            <w:tcW w:w="1143" w:type="dxa"/>
            <w:tcBorders>
              <w:top w:val="single" w:sz="4" w:space="0" w:color="auto"/>
              <w:left w:val="nil"/>
              <w:bottom w:val="nil"/>
              <w:right w:val="single" w:sz="4" w:space="0" w:color="auto"/>
            </w:tcBorders>
            <w:shd w:val="clear" w:color="000000" w:fill="000000"/>
            <w:hideMark/>
          </w:tcPr>
          <w:p w14:paraId="546B2ECB" w14:textId="77777777" w:rsidR="00257F2F" w:rsidRPr="00257F2F" w:rsidRDefault="00257F2F" w:rsidP="00257F2F">
            <w:pPr>
              <w:jc w:val="center"/>
              <w:rPr>
                <w:rFonts w:cs="Arial"/>
                <w:b/>
                <w:bCs/>
                <w:color w:val="FFFFFF"/>
                <w:sz w:val="20"/>
                <w:szCs w:val="20"/>
                <w:lang w:eastAsia="en-GB"/>
              </w:rPr>
            </w:pPr>
            <w:r w:rsidRPr="00257F2F">
              <w:rPr>
                <w:rFonts w:cs="Arial"/>
                <w:b/>
                <w:bCs/>
                <w:color w:val="FFFFFF"/>
                <w:sz w:val="20"/>
                <w:szCs w:val="20"/>
                <w:lang w:eastAsia="en-GB"/>
              </w:rPr>
              <w:t>Transfers to/(from) reserves</w:t>
            </w:r>
          </w:p>
        </w:tc>
        <w:tc>
          <w:tcPr>
            <w:tcW w:w="970" w:type="dxa"/>
            <w:tcBorders>
              <w:top w:val="single" w:sz="4" w:space="0" w:color="auto"/>
              <w:left w:val="nil"/>
              <w:bottom w:val="nil"/>
              <w:right w:val="single" w:sz="4" w:space="0" w:color="auto"/>
            </w:tcBorders>
            <w:shd w:val="clear" w:color="000000" w:fill="000000"/>
            <w:hideMark/>
          </w:tcPr>
          <w:p w14:paraId="2EEEFCEF" w14:textId="77777777" w:rsidR="00257F2F" w:rsidRPr="00257F2F" w:rsidRDefault="00257F2F" w:rsidP="00257F2F">
            <w:pPr>
              <w:jc w:val="center"/>
              <w:rPr>
                <w:rFonts w:cs="Arial"/>
                <w:b/>
                <w:bCs/>
                <w:color w:val="FFFFFF"/>
                <w:sz w:val="20"/>
                <w:szCs w:val="20"/>
                <w:lang w:eastAsia="en-GB"/>
              </w:rPr>
            </w:pPr>
            <w:r w:rsidRPr="00257F2F">
              <w:rPr>
                <w:rFonts w:cs="Arial"/>
                <w:b/>
                <w:bCs/>
                <w:color w:val="FFFFFF"/>
                <w:sz w:val="20"/>
                <w:szCs w:val="20"/>
                <w:lang w:eastAsia="en-GB"/>
              </w:rPr>
              <w:t>Balance 31 March 2023</w:t>
            </w:r>
          </w:p>
        </w:tc>
      </w:tr>
      <w:tr w:rsidR="00257F2F" w:rsidRPr="00257F2F" w14:paraId="62D5A41C" w14:textId="77777777" w:rsidTr="00460FAE">
        <w:trPr>
          <w:trHeight w:val="290"/>
        </w:trPr>
        <w:tc>
          <w:tcPr>
            <w:tcW w:w="4442" w:type="dxa"/>
            <w:vMerge/>
            <w:tcBorders>
              <w:top w:val="single" w:sz="4" w:space="0" w:color="auto"/>
              <w:left w:val="single" w:sz="4" w:space="0" w:color="auto"/>
              <w:bottom w:val="single" w:sz="4" w:space="0" w:color="000000"/>
              <w:right w:val="single" w:sz="4" w:space="0" w:color="auto"/>
            </w:tcBorders>
            <w:vAlign w:val="center"/>
            <w:hideMark/>
          </w:tcPr>
          <w:p w14:paraId="031345AF" w14:textId="77777777" w:rsidR="00257F2F" w:rsidRPr="00257F2F" w:rsidRDefault="00257F2F" w:rsidP="00257F2F">
            <w:pPr>
              <w:rPr>
                <w:rFonts w:cs="Arial"/>
                <w:b/>
                <w:bCs/>
                <w:color w:val="FFFFFF"/>
                <w:sz w:val="20"/>
                <w:szCs w:val="20"/>
                <w:lang w:eastAsia="en-GB"/>
              </w:rPr>
            </w:pPr>
          </w:p>
        </w:tc>
        <w:tc>
          <w:tcPr>
            <w:tcW w:w="1082" w:type="dxa"/>
            <w:tcBorders>
              <w:top w:val="nil"/>
              <w:left w:val="nil"/>
              <w:bottom w:val="nil"/>
              <w:right w:val="single" w:sz="4" w:space="0" w:color="auto"/>
            </w:tcBorders>
            <w:shd w:val="clear" w:color="000000" w:fill="000000"/>
            <w:vAlign w:val="bottom"/>
            <w:hideMark/>
          </w:tcPr>
          <w:p w14:paraId="1564F92F" w14:textId="77777777" w:rsidR="00257F2F" w:rsidRPr="00257F2F" w:rsidRDefault="00257F2F" w:rsidP="00257F2F">
            <w:pPr>
              <w:jc w:val="center"/>
              <w:rPr>
                <w:rFonts w:cs="Arial"/>
                <w:b/>
                <w:bCs/>
                <w:color w:val="FFFFFF"/>
                <w:sz w:val="20"/>
                <w:szCs w:val="20"/>
                <w:lang w:eastAsia="en-GB"/>
              </w:rPr>
            </w:pPr>
            <w:r w:rsidRPr="00257F2F">
              <w:rPr>
                <w:rFonts w:cs="Arial"/>
                <w:b/>
                <w:bCs/>
                <w:color w:val="FFFFFF"/>
                <w:sz w:val="20"/>
                <w:szCs w:val="20"/>
                <w:lang w:eastAsia="en-GB"/>
              </w:rPr>
              <w:t>£000</w:t>
            </w:r>
          </w:p>
        </w:tc>
        <w:tc>
          <w:tcPr>
            <w:tcW w:w="1112" w:type="dxa"/>
            <w:tcBorders>
              <w:top w:val="nil"/>
              <w:left w:val="nil"/>
              <w:bottom w:val="nil"/>
              <w:right w:val="single" w:sz="4" w:space="0" w:color="auto"/>
            </w:tcBorders>
            <w:shd w:val="clear" w:color="000000" w:fill="000000"/>
            <w:vAlign w:val="bottom"/>
            <w:hideMark/>
          </w:tcPr>
          <w:p w14:paraId="5DB832CD" w14:textId="77777777" w:rsidR="00257F2F" w:rsidRPr="00257F2F" w:rsidRDefault="00257F2F" w:rsidP="00257F2F">
            <w:pPr>
              <w:jc w:val="center"/>
              <w:rPr>
                <w:rFonts w:cs="Arial"/>
                <w:b/>
                <w:bCs/>
                <w:color w:val="FFFFFF"/>
                <w:sz w:val="20"/>
                <w:szCs w:val="20"/>
                <w:lang w:eastAsia="en-GB"/>
              </w:rPr>
            </w:pPr>
            <w:r w:rsidRPr="00257F2F">
              <w:rPr>
                <w:rFonts w:cs="Arial"/>
                <w:b/>
                <w:bCs/>
                <w:color w:val="FFFFFF"/>
                <w:sz w:val="20"/>
                <w:szCs w:val="20"/>
                <w:lang w:eastAsia="en-GB"/>
              </w:rPr>
              <w:t>£000</w:t>
            </w:r>
          </w:p>
        </w:tc>
        <w:tc>
          <w:tcPr>
            <w:tcW w:w="970" w:type="dxa"/>
            <w:tcBorders>
              <w:top w:val="nil"/>
              <w:left w:val="nil"/>
              <w:bottom w:val="nil"/>
              <w:right w:val="single" w:sz="4" w:space="0" w:color="auto"/>
            </w:tcBorders>
            <w:shd w:val="clear" w:color="000000" w:fill="000000"/>
            <w:vAlign w:val="bottom"/>
            <w:hideMark/>
          </w:tcPr>
          <w:p w14:paraId="7E81D230" w14:textId="77777777" w:rsidR="00257F2F" w:rsidRPr="00257F2F" w:rsidRDefault="00257F2F" w:rsidP="00257F2F">
            <w:pPr>
              <w:jc w:val="center"/>
              <w:rPr>
                <w:rFonts w:cs="Arial"/>
                <w:b/>
                <w:bCs/>
                <w:color w:val="FFFFFF"/>
                <w:sz w:val="20"/>
                <w:szCs w:val="20"/>
                <w:lang w:eastAsia="en-GB"/>
              </w:rPr>
            </w:pPr>
            <w:r w:rsidRPr="00257F2F">
              <w:rPr>
                <w:rFonts w:cs="Arial"/>
                <w:b/>
                <w:bCs/>
                <w:color w:val="FFFFFF"/>
                <w:sz w:val="20"/>
                <w:szCs w:val="20"/>
                <w:lang w:eastAsia="en-GB"/>
              </w:rPr>
              <w:t>£000</w:t>
            </w:r>
          </w:p>
        </w:tc>
        <w:tc>
          <w:tcPr>
            <w:tcW w:w="1143" w:type="dxa"/>
            <w:tcBorders>
              <w:top w:val="nil"/>
              <w:left w:val="nil"/>
              <w:bottom w:val="nil"/>
              <w:right w:val="single" w:sz="4" w:space="0" w:color="auto"/>
            </w:tcBorders>
            <w:shd w:val="clear" w:color="000000" w:fill="000000"/>
            <w:vAlign w:val="bottom"/>
            <w:hideMark/>
          </w:tcPr>
          <w:p w14:paraId="556974F8" w14:textId="77777777" w:rsidR="00257F2F" w:rsidRPr="00257F2F" w:rsidRDefault="00257F2F" w:rsidP="00257F2F">
            <w:pPr>
              <w:jc w:val="center"/>
              <w:rPr>
                <w:rFonts w:cs="Arial"/>
                <w:b/>
                <w:bCs/>
                <w:color w:val="FFFFFF"/>
                <w:sz w:val="20"/>
                <w:szCs w:val="20"/>
                <w:lang w:eastAsia="en-GB"/>
              </w:rPr>
            </w:pPr>
            <w:r w:rsidRPr="00257F2F">
              <w:rPr>
                <w:rFonts w:cs="Arial"/>
                <w:b/>
                <w:bCs/>
                <w:color w:val="FFFFFF"/>
                <w:sz w:val="20"/>
                <w:szCs w:val="20"/>
                <w:lang w:eastAsia="en-GB"/>
              </w:rPr>
              <w:t>£000</w:t>
            </w:r>
          </w:p>
        </w:tc>
        <w:tc>
          <w:tcPr>
            <w:tcW w:w="970" w:type="dxa"/>
            <w:tcBorders>
              <w:top w:val="nil"/>
              <w:left w:val="nil"/>
              <w:bottom w:val="nil"/>
              <w:right w:val="single" w:sz="4" w:space="0" w:color="auto"/>
            </w:tcBorders>
            <w:shd w:val="clear" w:color="000000" w:fill="000000"/>
            <w:vAlign w:val="bottom"/>
            <w:hideMark/>
          </w:tcPr>
          <w:p w14:paraId="49B93FE9" w14:textId="77777777" w:rsidR="00257F2F" w:rsidRPr="00257F2F" w:rsidRDefault="00257F2F" w:rsidP="00257F2F">
            <w:pPr>
              <w:jc w:val="center"/>
              <w:rPr>
                <w:rFonts w:cs="Arial"/>
                <w:b/>
                <w:bCs/>
                <w:color w:val="FFFFFF"/>
                <w:sz w:val="20"/>
                <w:szCs w:val="20"/>
                <w:lang w:eastAsia="en-GB"/>
              </w:rPr>
            </w:pPr>
            <w:r w:rsidRPr="00257F2F">
              <w:rPr>
                <w:rFonts w:cs="Arial"/>
                <w:b/>
                <w:bCs/>
                <w:color w:val="FFFFFF"/>
                <w:sz w:val="20"/>
                <w:szCs w:val="20"/>
                <w:lang w:eastAsia="en-GB"/>
              </w:rPr>
              <w:t>£000</w:t>
            </w:r>
          </w:p>
        </w:tc>
      </w:tr>
      <w:tr w:rsidR="00257F2F" w:rsidRPr="00257F2F" w14:paraId="28F19CD2" w14:textId="77777777" w:rsidTr="00460FAE">
        <w:trPr>
          <w:trHeight w:val="290"/>
        </w:trPr>
        <w:tc>
          <w:tcPr>
            <w:tcW w:w="4442" w:type="dxa"/>
            <w:tcBorders>
              <w:top w:val="nil"/>
              <w:left w:val="single" w:sz="4" w:space="0" w:color="auto"/>
              <w:bottom w:val="nil"/>
              <w:right w:val="nil"/>
            </w:tcBorders>
            <w:shd w:val="clear" w:color="auto" w:fill="auto"/>
            <w:noWrap/>
            <w:vAlign w:val="bottom"/>
            <w:hideMark/>
          </w:tcPr>
          <w:p w14:paraId="3905B78A" w14:textId="7DE8F422" w:rsidR="00257F2F" w:rsidRPr="00257F2F" w:rsidRDefault="00257F2F" w:rsidP="00257F2F">
            <w:pPr>
              <w:rPr>
                <w:rFonts w:cs="Arial"/>
                <w:b/>
                <w:bCs/>
                <w:color w:val="000000"/>
                <w:sz w:val="20"/>
                <w:szCs w:val="20"/>
                <w:lang w:eastAsia="en-GB"/>
              </w:rPr>
            </w:pPr>
            <w:r w:rsidRPr="00257F2F">
              <w:rPr>
                <w:rFonts w:cs="Arial"/>
                <w:b/>
                <w:bCs/>
                <w:color w:val="000000"/>
                <w:sz w:val="20"/>
                <w:szCs w:val="20"/>
                <w:lang w:eastAsia="en-GB"/>
              </w:rPr>
              <w:t>Usable Reserves - capital</w:t>
            </w:r>
          </w:p>
        </w:tc>
        <w:tc>
          <w:tcPr>
            <w:tcW w:w="1082" w:type="dxa"/>
            <w:tcBorders>
              <w:top w:val="nil"/>
              <w:left w:val="nil"/>
              <w:bottom w:val="nil"/>
              <w:right w:val="nil"/>
            </w:tcBorders>
            <w:shd w:val="clear" w:color="auto" w:fill="auto"/>
            <w:noWrap/>
            <w:vAlign w:val="bottom"/>
            <w:hideMark/>
          </w:tcPr>
          <w:p w14:paraId="2B5EFC28" w14:textId="77777777" w:rsidR="00257F2F" w:rsidRPr="00257F2F" w:rsidRDefault="00257F2F" w:rsidP="00257F2F">
            <w:pPr>
              <w:rPr>
                <w:rFonts w:cs="Arial"/>
                <w:color w:val="000000"/>
                <w:sz w:val="20"/>
                <w:szCs w:val="20"/>
                <w:lang w:eastAsia="en-GB"/>
              </w:rPr>
            </w:pPr>
          </w:p>
        </w:tc>
        <w:tc>
          <w:tcPr>
            <w:tcW w:w="1112" w:type="dxa"/>
            <w:tcBorders>
              <w:top w:val="nil"/>
              <w:left w:val="nil"/>
              <w:bottom w:val="nil"/>
              <w:right w:val="nil"/>
            </w:tcBorders>
            <w:shd w:val="clear" w:color="auto" w:fill="auto"/>
            <w:noWrap/>
            <w:vAlign w:val="bottom"/>
            <w:hideMark/>
          </w:tcPr>
          <w:p w14:paraId="75FC47E5" w14:textId="77777777" w:rsidR="00257F2F" w:rsidRPr="00257F2F" w:rsidRDefault="00257F2F" w:rsidP="00257F2F">
            <w:pPr>
              <w:rPr>
                <w:rFonts w:ascii="Times New Roman" w:hAnsi="Times New Roman"/>
                <w:sz w:val="20"/>
                <w:szCs w:val="20"/>
                <w:lang w:eastAsia="en-GB"/>
              </w:rPr>
            </w:pPr>
          </w:p>
        </w:tc>
        <w:tc>
          <w:tcPr>
            <w:tcW w:w="970" w:type="dxa"/>
            <w:tcBorders>
              <w:top w:val="nil"/>
              <w:left w:val="nil"/>
              <w:bottom w:val="nil"/>
              <w:right w:val="nil"/>
            </w:tcBorders>
            <w:shd w:val="clear" w:color="auto" w:fill="auto"/>
            <w:noWrap/>
            <w:vAlign w:val="bottom"/>
            <w:hideMark/>
          </w:tcPr>
          <w:p w14:paraId="6A5F1353" w14:textId="77777777" w:rsidR="00257F2F" w:rsidRPr="00257F2F" w:rsidRDefault="00257F2F" w:rsidP="00257F2F">
            <w:pPr>
              <w:rPr>
                <w:rFonts w:ascii="Times New Roman" w:hAnsi="Times New Roman"/>
                <w:sz w:val="20"/>
                <w:szCs w:val="20"/>
                <w:lang w:eastAsia="en-GB"/>
              </w:rPr>
            </w:pPr>
          </w:p>
        </w:tc>
        <w:tc>
          <w:tcPr>
            <w:tcW w:w="1143" w:type="dxa"/>
            <w:tcBorders>
              <w:top w:val="nil"/>
              <w:left w:val="nil"/>
              <w:bottom w:val="nil"/>
              <w:right w:val="nil"/>
            </w:tcBorders>
            <w:shd w:val="clear" w:color="auto" w:fill="auto"/>
            <w:noWrap/>
            <w:vAlign w:val="bottom"/>
            <w:hideMark/>
          </w:tcPr>
          <w:p w14:paraId="5C755029" w14:textId="77777777" w:rsidR="00257F2F" w:rsidRPr="00257F2F" w:rsidRDefault="00257F2F" w:rsidP="00257F2F">
            <w:pPr>
              <w:rPr>
                <w:rFonts w:ascii="Times New Roman" w:hAnsi="Times New Roman"/>
                <w:sz w:val="20"/>
                <w:szCs w:val="20"/>
                <w:lang w:eastAsia="en-GB"/>
              </w:rPr>
            </w:pPr>
          </w:p>
        </w:tc>
        <w:tc>
          <w:tcPr>
            <w:tcW w:w="970" w:type="dxa"/>
            <w:tcBorders>
              <w:top w:val="nil"/>
              <w:left w:val="nil"/>
              <w:bottom w:val="nil"/>
              <w:right w:val="single" w:sz="4" w:space="0" w:color="auto"/>
            </w:tcBorders>
            <w:shd w:val="clear" w:color="auto" w:fill="auto"/>
            <w:noWrap/>
            <w:vAlign w:val="bottom"/>
            <w:hideMark/>
          </w:tcPr>
          <w:p w14:paraId="1B911C26"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 </w:t>
            </w:r>
          </w:p>
        </w:tc>
      </w:tr>
      <w:tr w:rsidR="00257F2F" w:rsidRPr="00257F2F" w14:paraId="09E360C5" w14:textId="77777777" w:rsidTr="00460FAE">
        <w:trPr>
          <w:trHeight w:val="290"/>
        </w:trPr>
        <w:tc>
          <w:tcPr>
            <w:tcW w:w="4442" w:type="dxa"/>
            <w:tcBorders>
              <w:top w:val="nil"/>
              <w:left w:val="single" w:sz="4" w:space="0" w:color="auto"/>
              <w:bottom w:val="nil"/>
              <w:right w:val="nil"/>
            </w:tcBorders>
            <w:shd w:val="clear" w:color="auto" w:fill="auto"/>
            <w:noWrap/>
            <w:vAlign w:val="bottom"/>
            <w:hideMark/>
          </w:tcPr>
          <w:p w14:paraId="5819F4E9"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Useable Capital Receipts Reserve</w:t>
            </w:r>
          </w:p>
        </w:tc>
        <w:tc>
          <w:tcPr>
            <w:tcW w:w="1082" w:type="dxa"/>
            <w:tcBorders>
              <w:top w:val="nil"/>
              <w:left w:val="nil"/>
              <w:bottom w:val="nil"/>
              <w:right w:val="nil"/>
            </w:tcBorders>
            <w:shd w:val="clear" w:color="auto" w:fill="auto"/>
            <w:noWrap/>
            <w:vAlign w:val="bottom"/>
            <w:hideMark/>
          </w:tcPr>
          <w:p w14:paraId="76D57990"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204</w:t>
            </w:r>
          </w:p>
        </w:tc>
        <w:tc>
          <w:tcPr>
            <w:tcW w:w="1112" w:type="dxa"/>
            <w:tcBorders>
              <w:top w:val="nil"/>
              <w:left w:val="nil"/>
              <w:bottom w:val="nil"/>
              <w:right w:val="nil"/>
            </w:tcBorders>
            <w:shd w:val="clear" w:color="auto" w:fill="auto"/>
            <w:noWrap/>
            <w:vAlign w:val="bottom"/>
            <w:hideMark/>
          </w:tcPr>
          <w:p w14:paraId="76A5913B"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-204</w:t>
            </w:r>
          </w:p>
        </w:tc>
        <w:tc>
          <w:tcPr>
            <w:tcW w:w="970" w:type="dxa"/>
            <w:tcBorders>
              <w:top w:val="nil"/>
              <w:left w:val="nil"/>
              <w:bottom w:val="nil"/>
              <w:right w:val="nil"/>
            </w:tcBorders>
            <w:shd w:val="clear" w:color="auto" w:fill="auto"/>
            <w:noWrap/>
            <w:vAlign w:val="bottom"/>
            <w:hideMark/>
          </w:tcPr>
          <w:p w14:paraId="48C17174"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0</w:t>
            </w:r>
          </w:p>
        </w:tc>
        <w:tc>
          <w:tcPr>
            <w:tcW w:w="1143" w:type="dxa"/>
            <w:tcBorders>
              <w:top w:val="nil"/>
              <w:left w:val="nil"/>
              <w:bottom w:val="nil"/>
              <w:right w:val="nil"/>
            </w:tcBorders>
            <w:shd w:val="clear" w:color="auto" w:fill="auto"/>
            <w:noWrap/>
            <w:vAlign w:val="bottom"/>
            <w:hideMark/>
          </w:tcPr>
          <w:p w14:paraId="402A5412"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1,275</w:t>
            </w:r>
          </w:p>
        </w:tc>
        <w:tc>
          <w:tcPr>
            <w:tcW w:w="970" w:type="dxa"/>
            <w:tcBorders>
              <w:top w:val="nil"/>
              <w:left w:val="nil"/>
              <w:bottom w:val="nil"/>
              <w:right w:val="single" w:sz="4" w:space="0" w:color="auto"/>
            </w:tcBorders>
            <w:shd w:val="clear" w:color="auto" w:fill="auto"/>
            <w:noWrap/>
            <w:vAlign w:val="bottom"/>
            <w:hideMark/>
          </w:tcPr>
          <w:p w14:paraId="32E803B7"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1,275</w:t>
            </w:r>
          </w:p>
        </w:tc>
      </w:tr>
      <w:tr w:rsidR="00257F2F" w:rsidRPr="00257F2F" w14:paraId="23753792" w14:textId="77777777" w:rsidTr="00460FAE">
        <w:trPr>
          <w:trHeight w:val="290"/>
        </w:trPr>
        <w:tc>
          <w:tcPr>
            <w:tcW w:w="4442" w:type="dxa"/>
            <w:tcBorders>
              <w:top w:val="nil"/>
              <w:left w:val="single" w:sz="4" w:space="0" w:color="auto"/>
              <w:bottom w:val="nil"/>
              <w:right w:val="nil"/>
            </w:tcBorders>
            <w:shd w:val="clear" w:color="auto" w:fill="auto"/>
            <w:noWrap/>
            <w:vAlign w:val="bottom"/>
            <w:hideMark/>
          </w:tcPr>
          <w:p w14:paraId="73041E82"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Capital Grants Unapplied Reserve</w:t>
            </w:r>
          </w:p>
        </w:tc>
        <w:tc>
          <w:tcPr>
            <w:tcW w:w="1082" w:type="dxa"/>
            <w:tcBorders>
              <w:top w:val="nil"/>
              <w:left w:val="nil"/>
              <w:bottom w:val="nil"/>
              <w:right w:val="nil"/>
            </w:tcBorders>
            <w:shd w:val="clear" w:color="auto" w:fill="auto"/>
            <w:noWrap/>
            <w:vAlign w:val="bottom"/>
            <w:hideMark/>
          </w:tcPr>
          <w:p w14:paraId="0013633B"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406</w:t>
            </w:r>
          </w:p>
        </w:tc>
        <w:tc>
          <w:tcPr>
            <w:tcW w:w="1112" w:type="dxa"/>
            <w:tcBorders>
              <w:top w:val="nil"/>
              <w:left w:val="nil"/>
              <w:bottom w:val="nil"/>
              <w:right w:val="nil"/>
            </w:tcBorders>
            <w:shd w:val="clear" w:color="auto" w:fill="auto"/>
            <w:noWrap/>
            <w:vAlign w:val="bottom"/>
            <w:hideMark/>
          </w:tcPr>
          <w:p w14:paraId="02D2879C"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-123</w:t>
            </w:r>
          </w:p>
        </w:tc>
        <w:tc>
          <w:tcPr>
            <w:tcW w:w="970" w:type="dxa"/>
            <w:tcBorders>
              <w:top w:val="nil"/>
              <w:left w:val="nil"/>
              <w:bottom w:val="nil"/>
              <w:right w:val="nil"/>
            </w:tcBorders>
            <w:shd w:val="clear" w:color="auto" w:fill="auto"/>
            <w:noWrap/>
            <w:vAlign w:val="bottom"/>
            <w:hideMark/>
          </w:tcPr>
          <w:p w14:paraId="61A90F7D"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283</w:t>
            </w:r>
          </w:p>
        </w:tc>
        <w:tc>
          <w:tcPr>
            <w:tcW w:w="1143" w:type="dxa"/>
            <w:tcBorders>
              <w:top w:val="nil"/>
              <w:left w:val="nil"/>
              <w:bottom w:val="nil"/>
              <w:right w:val="nil"/>
            </w:tcBorders>
            <w:shd w:val="clear" w:color="auto" w:fill="auto"/>
            <w:noWrap/>
            <w:vAlign w:val="bottom"/>
            <w:hideMark/>
          </w:tcPr>
          <w:p w14:paraId="2DC40F2A"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-28</w:t>
            </w:r>
          </w:p>
        </w:tc>
        <w:tc>
          <w:tcPr>
            <w:tcW w:w="970" w:type="dxa"/>
            <w:tcBorders>
              <w:top w:val="nil"/>
              <w:left w:val="nil"/>
              <w:bottom w:val="nil"/>
              <w:right w:val="single" w:sz="4" w:space="0" w:color="auto"/>
            </w:tcBorders>
            <w:shd w:val="clear" w:color="auto" w:fill="auto"/>
            <w:noWrap/>
            <w:vAlign w:val="bottom"/>
            <w:hideMark/>
          </w:tcPr>
          <w:p w14:paraId="55867CF9"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255</w:t>
            </w:r>
          </w:p>
        </w:tc>
      </w:tr>
      <w:tr w:rsidR="00257F2F" w:rsidRPr="00257F2F" w14:paraId="3C599155" w14:textId="77777777" w:rsidTr="00460FAE">
        <w:trPr>
          <w:trHeight w:val="290"/>
        </w:trPr>
        <w:tc>
          <w:tcPr>
            <w:tcW w:w="4442" w:type="dxa"/>
            <w:tcBorders>
              <w:top w:val="single" w:sz="4" w:space="0" w:color="auto"/>
              <w:left w:val="single" w:sz="4" w:space="0" w:color="auto"/>
              <w:bottom w:val="nil"/>
              <w:right w:val="nil"/>
            </w:tcBorders>
            <w:shd w:val="clear" w:color="auto" w:fill="auto"/>
            <w:noWrap/>
            <w:vAlign w:val="bottom"/>
            <w:hideMark/>
          </w:tcPr>
          <w:p w14:paraId="62E1B115" w14:textId="77777777" w:rsidR="00257F2F" w:rsidRPr="00257F2F" w:rsidRDefault="00257F2F" w:rsidP="00257F2F">
            <w:pPr>
              <w:rPr>
                <w:rFonts w:cs="Arial"/>
                <w:b/>
                <w:bCs/>
                <w:color w:val="000000"/>
                <w:sz w:val="20"/>
                <w:szCs w:val="20"/>
                <w:lang w:eastAsia="en-GB"/>
              </w:rPr>
            </w:pPr>
            <w:r w:rsidRPr="00257F2F">
              <w:rPr>
                <w:rFonts w:cs="Arial"/>
                <w:b/>
                <w:bCs/>
                <w:color w:val="000000"/>
                <w:sz w:val="20"/>
                <w:szCs w:val="20"/>
                <w:lang w:eastAsia="en-GB"/>
              </w:rPr>
              <w:t>Total capital reserves</w:t>
            </w:r>
          </w:p>
        </w:tc>
        <w:tc>
          <w:tcPr>
            <w:tcW w:w="1082" w:type="dxa"/>
            <w:tcBorders>
              <w:top w:val="single" w:sz="4" w:space="0" w:color="auto"/>
              <w:left w:val="nil"/>
              <w:bottom w:val="nil"/>
              <w:right w:val="nil"/>
            </w:tcBorders>
            <w:shd w:val="clear" w:color="auto" w:fill="auto"/>
            <w:noWrap/>
            <w:vAlign w:val="bottom"/>
            <w:hideMark/>
          </w:tcPr>
          <w:p w14:paraId="075352B1" w14:textId="77777777" w:rsidR="00257F2F" w:rsidRPr="00257F2F" w:rsidRDefault="00257F2F" w:rsidP="00257F2F">
            <w:pPr>
              <w:jc w:val="right"/>
              <w:rPr>
                <w:rFonts w:cs="Arial"/>
                <w:b/>
                <w:bCs/>
                <w:color w:val="000000"/>
                <w:sz w:val="20"/>
                <w:szCs w:val="20"/>
                <w:lang w:eastAsia="en-GB"/>
              </w:rPr>
            </w:pPr>
            <w:r w:rsidRPr="00257F2F">
              <w:rPr>
                <w:rFonts w:cs="Arial"/>
                <w:b/>
                <w:bCs/>
                <w:color w:val="000000"/>
                <w:sz w:val="20"/>
                <w:szCs w:val="20"/>
                <w:lang w:eastAsia="en-GB"/>
              </w:rPr>
              <w:t>610</w:t>
            </w:r>
          </w:p>
        </w:tc>
        <w:tc>
          <w:tcPr>
            <w:tcW w:w="1112" w:type="dxa"/>
            <w:tcBorders>
              <w:top w:val="single" w:sz="4" w:space="0" w:color="auto"/>
              <w:left w:val="nil"/>
              <w:bottom w:val="nil"/>
              <w:right w:val="nil"/>
            </w:tcBorders>
            <w:shd w:val="clear" w:color="auto" w:fill="auto"/>
            <w:noWrap/>
            <w:vAlign w:val="bottom"/>
            <w:hideMark/>
          </w:tcPr>
          <w:p w14:paraId="2297FE89" w14:textId="77777777" w:rsidR="00257F2F" w:rsidRPr="00257F2F" w:rsidRDefault="00257F2F" w:rsidP="00257F2F">
            <w:pPr>
              <w:jc w:val="right"/>
              <w:rPr>
                <w:rFonts w:cs="Arial"/>
                <w:b/>
                <w:bCs/>
                <w:color w:val="000000"/>
                <w:sz w:val="20"/>
                <w:szCs w:val="20"/>
                <w:lang w:eastAsia="en-GB"/>
              </w:rPr>
            </w:pPr>
            <w:r w:rsidRPr="00257F2F">
              <w:rPr>
                <w:rFonts w:cs="Arial"/>
                <w:b/>
                <w:bCs/>
                <w:color w:val="000000"/>
                <w:sz w:val="20"/>
                <w:szCs w:val="20"/>
                <w:lang w:eastAsia="en-GB"/>
              </w:rPr>
              <w:t>-327</w:t>
            </w:r>
          </w:p>
        </w:tc>
        <w:tc>
          <w:tcPr>
            <w:tcW w:w="970" w:type="dxa"/>
            <w:tcBorders>
              <w:top w:val="single" w:sz="4" w:space="0" w:color="auto"/>
              <w:left w:val="nil"/>
              <w:bottom w:val="nil"/>
              <w:right w:val="nil"/>
            </w:tcBorders>
            <w:shd w:val="clear" w:color="auto" w:fill="auto"/>
            <w:noWrap/>
            <w:vAlign w:val="bottom"/>
            <w:hideMark/>
          </w:tcPr>
          <w:p w14:paraId="3C0C8405" w14:textId="77777777" w:rsidR="00257F2F" w:rsidRPr="00257F2F" w:rsidRDefault="00257F2F" w:rsidP="00257F2F">
            <w:pPr>
              <w:jc w:val="right"/>
              <w:rPr>
                <w:rFonts w:cs="Arial"/>
                <w:b/>
                <w:bCs/>
                <w:color w:val="000000"/>
                <w:sz w:val="20"/>
                <w:szCs w:val="20"/>
                <w:lang w:eastAsia="en-GB"/>
              </w:rPr>
            </w:pPr>
            <w:r w:rsidRPr="00257F2F">
              <w:rPr>
                <w:rFonts w:cs="Arial"/>
                <w:b/>
                <w:bCs/>
                <w:color w:val="000000"/>
                <w:sz w:val="20"/>
                <w:szCs w:val="20"/>
                <w:lang w:eastAsia="en-GB"/>
              </w:rPr>
              <w:t>283</w:t>
            </w:r>
          </w:p>
        </w:tc>
        <w:tc>
          <w:tcPr>
            <w:tcW w:w="1143" w:type="dxa"/>
            <w:tcBorders>
              <w:top w:val="single" w:sz="4" w:space="0" w:color="auto"/>
              <w:left w:val="nil"/>
              <w:bottom w:val="nil"/>
              <w:right w:val="nil"/>
            </w:tcBorders>
            <w:shd w:val="clear" w:color="auto" w:fill="auto"/>
            <w:noWrap/>
            <w:vAlign w:val="bottom"/>
            <w:hideMark/>
          </w:tcPr>
          <w:p w14:paraId="47317AC6" w14:textId="77777777" w:rsidR="00257F2F" w:rsidRPr="00257F2F" w:rsidRDefault="00257F2F" w:rsidP="00257F2F">
            <w:pPr>
              <w:jc w:val="right"/>
              <w:rPr>
                <w:rFonts w:cs="Arial"/>
                <w:b/>
                <w:bCs/>
                <w:color w:val="000000"/>
                <w:sz w:val="20"/>
                <w:szCs w:val="20"/>
                <w:lang w:eastAsia="en-GB"/>
              </w:rPr>
            </w:pPr>
            <w:r w:rsidRPr="00257F2F">
              <w:rPr>
                <w:rFonts w:cs="Arial"/>
                <w:b/>
                <w:bCs/>
                <w:color w:val="000000"/>
                <w:sz w:val="20"/>
                <w:szCs w:val="20"/>
                <w:lang w:eastAsia="en-GB"/>
              </w:rPr>
              <w:t>1,247</w:t>
            </w:r>
          </w:p>
        </w:tc>
        <w:tc>
          <w:tcPr>
            <w:tcW w:w="970" w:type="dxa"/>
            <w:tcBorders>
              <w:top w:val="single" w:sz="4" w:space="0" w:color="auto"/>
              <w:left w:val="nil"/>
              <w:bottom w:val="nil"/>
              <w:right w:val="single" w:sz="4" w:space="0" w:color="auto"/>
            </w:tcBorders>
            <w:shd w:val="clear" w:color="auto" w:fill="auto"/>
            <w:noWrap/>
            <w:vAlign w:val="bottom"/>
            <w:hideMark/>
          </w:tcPr>
          <w:p w14:paraId="503FD84B" w14:textId="77777777" w:rsidR="00257F2F" w:rsidRPr="00257F2F" w:rsidRDefault="00257F2F" w:rsidP="00257F2F">
            <w:pPr>
              <w:jc w:val="right"/>
              <w:rPr>
                <w:rFonts w:cs="Arial"/>
                <w:b/>
                <w:bCs/>
                <w:color w:val="000000"/>
                <w:sz w:val="20"/>
                <w:szCs w:val="20"/>
                <w:lang w:eastAsia="en-GB"/>
              </w:rPr>
            </w:pPr>
            <w:r w:rsidRPr="00257F2F">
              <w:rPr>
                <w:rFonts w:cs="Arial"/>
                <w:b/>
                <w:bCs/>
                <w:color w:val="000000"/>
                <w:sz w:val="20"/>
                <w:szCs w:val="20"/>
                <w:lang w:eastAsia="en-GB"/>
              </w:rPr>
              <w:t>1,530</w:t>
            </w:r>
          </w:p>
        </w:tc>
      </w:tr>
      <w:tr w:rsidR="00257F2F" w:rsidRPr="00257F2F" w14:paraId="53DF984F" w14:textId="77777777" w:rsidTr="00460FAE">
        <w:trPr>
          <w:trHeight w:val="290"/>
        </w:trPr>
        <w:tc>
          <w:tcPr>
            <w:tcW w:w="4442" w:type="dxa"/>
            <w:tcBorders>
              <w:top w:val="nil"/>
              <w:left w:val="single" w:sz="4" w:space="0" w:color="auto"/>
              <w:bottom w:val="nil"/>
              <w:right w:val="nil"/>
            </w:tcBorders>
            <w:shd w:val="clear" w:color="auto" w:fill="auto"/>
            <w:noWrap/>
            <w:vAlign w:val="bottom"/>
            <w:hideMark/>
          </w:tcPr>
          <w:p w14:paraId="53294CC9"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 </w:t>
            </w:r>
          </w:p>
        </w:tc>
        <w:tc>
          <w:tcPr>
            <w:tcW w:w="1082" w:type="dxa"/>
            <w:tcBorders>
              <w:top w:val="nil"/>
              <w:left w:val="nil"/>
              <w:bottom w:val="nil"/>
              <w:right w:val="nil"/>
            </w:tcBorders>
            <w:shd w:val="clear" w:color="auto" w:fill="auto"/>
            <w:noWrap/>
            <w:vAlign w:val="bottom"/>
            <w:hideMark/>
          </w:tcPr>
          <w:p w14:paraId="72738BDD" w14:textId="77777777" w:rsidR="00257F2F" w:rsidRPr="00257F2F" w:rsidRDefault="00257F2F" w:rsidP="00257F2F">
            <w:pPr>
              <w:rPr>
                <w:rFonts w:cs="Arial"/>
                <w:color w:val="000000"/>
                <w:sz w:val="20"/>
                <w:szCs w:val="20"/>
                <w:lang w:eastAsia="en-GB"/>
              </w:rPr>
            </w:pPr>
          </w:p>
        </w:tc>
        <w:tc>
          <w:tcPr>
            <w:tcW w:w="1112" w:type="dxa"/>
            <w:tcBorders>
              <w:top w:val="nil"/>
              <w:left w:val="nil"/>
              <w:bottom w:val="nil"/>
              <w:right w:val="nil"/>
            </w:tcBorders>
            <w:shd w:val="clear" w:color="auto" w:fill="auto"/>
            <w:noWrap/>
            <w:vAlign w:val="bottom"/>
            <w:hideMark/>
          </w:tcPr>
          <w:p w14:paraId="55C99D1D" w14:textId="77777777" w:rsidR="00257F2F" w:rsidRPr="00257F2F" w:rsidRDefault="00257F2F" w:rsidP="00257F2F">
            <w:pPr>
              <w:rPr>
                <w:rFonts w:ascii="Times New Roman" w:hAnsi="Times New Roman"/>
                <w:sz w:val="20"/>
                <w:szCs w:val="20"/>
                <w:lang w:eastAsia="en-GB"/>
              </w:rPr>
            </w:pPr>
          </w:p>
        </w:tc>
        <w:tc>
          <w:tcPr>
            <w:tcW w:w="970" w:type="dxa"/>
            <w:tcBorders>
              <w:top w:val="nil"/>
              <w:left w:val="nil"/>
              <w:bottom w:val="nil"/>
              <w:right w:val="nil"/>
            </w:tcBorders>
            <w:shd w:val="clear" w:color="auto" w:fill="auto"/>
            <w:noWrap/>
            <w:vAlign w:val="bottom"/>
            <w:hideMark/>
          </w:tcPr>
          <w:p w14:paraId="329D36E1" w14:textId="77777777" w:rsidR="00257F2F" w:rsidRPr="00257F2F" w:rsidRDefault="00257F2F" w:rsidP="00257F2F">
            <w:pPr>
              <w:rPr>
                <w:rFonts w:ascii="Times New Roman" w:hAnsi="Times New Roman"/>
                <w:sz w:val="20"/>
                <w:szCs w:val="20"/>
                <w:lang w:eastAsia="en-GB"/>
              </w:rPr>
            </w:pPr>
          </w:p>
        </w:tc>
        <w:tc>
          <w:tcPr>
            <w:tcW w:w="1143" w:type="dxa"/>
            <w:tcBorders>
              <w:top w:val="nil"/>
              <w:left w:val="nil"/>
              <w:bottom w:val="nil"/>
              <w:right w:val="nil"/>
            </w:tcBorders>
            <w:shd w:val="clear" w:color="auto" w:fill="auto"/>
            <w:noWrap/>
            <w:vAlign w:val="bottom"/>
            <w:hideMark/>
          </w:tcPr>
          <w:p w14:paraId="544F2B4E" w14:textId="77777777" w:rsidR="00257F2F" w:rsidRPr="00257F2F" w:rsidRDefault="00257F2F" w:rsidP="00257F2F">
            <w:pPr>
              <w:rPr>
                <w:rFonts w:ascii="Times New Roman" w:hAnsi="Times New Roman"/>
                <w:sz w:val="20"/>
                <w:szCs w:val="20"/>
                <w:lang w:eastAsia="en-GB"/>
              </w:rPr>
            </w:pPr>
          </w:p>
        </w:tc>
        <w:tc>
          <w:tcPr>
            <w:tcW w:w="970" w:type="dxa"/>
            <w:tcBorders>
              <w:top w:val="nil"/>
              <w:left w:val="nil"/>
              <w:bottom w:val="nil"/>
              <w:right w:val="single" w:sz="4" w:space="0" w:color="auto"/>
            </w:tcBorders>
            <w:shd w:val="clear" w:color="auto" w:fill="auto"/>
            <w:noWrap/>
            <w:vAlign w:val="bottom"/>
            <w:hideMark/>
          </w:tcPr>
          <w:p w14:paraId="7C3D39CE"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 </w:t>
            </w:r>
          </w:p>
        </w:tc>
      </w:tr>
      <w:tr w:rsidR="00257F2F" w:rsidRPr="00257F2F" w14:paraId="12C03920" w14:textId="77777777" w:rsidTr="00460FAE">
        <w:trPr>
          <w:trHeight w:val="290"/>
        </w:trPr>
        <w:tc>
          <w:tcPr>
            <w:tcW w:w="4442" w:type="dxa"/>
            <w:tcBorders>
              <w:top w:val="nil"/>
              <w:left w:val="single" w:sz="4" w:space="0" w:color="auto"/>
              <w:bottom w:val="nil"/>
              <w:right w:val="nil"/>
            </w:tcBorders>
            <w:shd w:val="clear" w:color="auto" w:fill="auto"/>
            <w:noWrap/>
            <w:vAlign w:val="bottom"/>
            <w:hideMark/>
          </w:tcPr>
          <w:p w14:paraId="43E2EDEF" w14:textId="14E9B343" w:rsidR="00257F2F" w:rsidRPr="00257F2F" w:rsidRDefault="00257F2F" w:rsidP="00257F2F">
            <w:pPr>
              <w:rPr>
                <w:rFonts w:cs="Arial"/>
                <w:b/>
                <w:bCs/>
                <w:color w:val="000000"/>
                <w:sz w:val="20"/>
                <w:szCs w:val="20"/>
                <w:lang w:eastAsia="en-GB"/>
              </w:rPr>
            </w:pPr>
            <w:r w:rsidRPr="00257F2F">
              <w:rPr>
                <w:rFonts w:cs="Arial"/>
                <w:b/>
                <w:bCs/>
                <w:color w:val="000000"/>
                <w:sz w:val="20"/>
                <w:szCs w:val="20"/>
                <w:lang w:eastAsia="en-GB"/>
              </w:rPr>
              <w:t xml:space="preserve">Usable Reserves - revenue </w:t>
            </w:r>
          </w:p>
        </w:tc>
        <w:tc>
          <w:tcPr>
            <w:tcW w:w="1082" w:type="dxa"/>
            <w:tcBorders>
              <w:top w:val="nil"/>
              <w:left w:val="nil"/>
              <w:bottom w:val="nil"/>
              <w:right w:val="nil"/>
            </w:tcBorders>
            <w:shd w:val="clear" w:color="auto" w:fill="auto"/>
            <w:noWrap/>
            <w:vAlign w:val="bottom"/>
            <w:hideMark/>
          </w:tcPr>
          <w:p w14:paraId="73CEBE7E" w14:textId="77777777" w:rsidR="00257F2F" w:rsidRPr="00257F2F" w:rsidRDefault="00257F2F" w:rsidP="00257F2F">
            <w:pPr>
              <w:rPr>
                <w:rFonts w:cs="Arial"/>
                <w:b/>
                <w:bCs/>
                <w:color w:val="000000"/>
                <w:sz w:val="20"/>
                <w:szCs w:val="20"/>
                <w:lang w:eastAsia="en-GB"/>
              </w:rPr>
            </w:pPr>
          </w:p>
        </w:tc>
        <w:tc>
          <w:tcPr>
            <w:tcW w:w="1112" w:type="dxa"/>
            <w:tcBorders>
              <w:top w:val="nil"/>
              <w:left w:val="nil"/>
              <w:bottom w:val="nil"/>
              <w:right w:val="nil"/>
            </w:tcBorders>
            <w:shd w:val="clear" w:color="auto" w:fill="auto"/>
            <w:noWrap/>
            <w:vAlign w:val="bottom"/>
            <w:hideMark/>
          </w:tcPr>
          <w:p w14:paraId="5D6ECB5A" w14:textId="77777777" w:rsidR="00257F2F" w:rsidRPr="00257F2F" w:rsidRDefault="00257F2F" w:rsidP="00257F2F">
            <w:pPr>
              <w:rPr>
                <w:rFonts w:ascii="Times New Roman" w:hAnsi="Times New Roman"/>
                <w:sz w:val="20"/>
                <w:szCs w:val="20"/>
                <w:lang w:eastAsia="en-GB"/>
              </w:rPr>
            </w:pPr>
          </w:p>
        </w:tc>
        <w:tc>
          <w:tcPr>
            <w:tcW w:w="970" w:type="dxa"/>
            <w:tcBorders>
              <w:top w:val="nil"/>
              <w:left w:val="nil"/>
              <w:bottom w:val="nil"/>
              <w:right w:val="nil"/>
            </w:tcBorders>
            <w:shd w:val="clear" w:color="auto" w:fill="auto"/>
            <w:noWrap/>
            <w:vAlign w:val="bottom"/>
            <w:hideMark/>
          </w:tcPr>
          <w:p w14:paraId="7E7C24F7" w14:textId="77777777" w:rsidR="00257F2F" w:rsidRPr="00257F2F" w:rsidRDefault="00257F2F" w:rsidP="00257F2F">
            <w:pPr>
              <w:rPr>
                <w:rFonts w:ascii="Times New Roman" w:hAnsi="Times New Roman"/>
                <w:sz w:val="20"/>
                <w:szCs w:val="20"/>
                <w:lang w:eastAsia="en-GB"/>
              </w:rPr>
            </w:pPr>
          </w:p>
        </w:tc>
        <w:tc>
          <w:tcPr>
            <w:tcW w:w="1143" w:type="dxa"/>
            <w:tcBorders>
              <w:top w:val="nil"/>
              <w:left w:val="nil"/>
              <w:bottom w:val="nil"/>
              <w:right w:val="nil"/>
            </w:tcBorders>
            <w:shd w:val="clear" w:color="auto" w:fill="auto"/>
            <w:noWrap/>
            <w:vAlign w:val="bottom"/>
            <w:hideMark/>
          </w:tcPr>
          <w:p w14:paraId="7BA31FCC" w14:textId="77777777" w:rsidR="00257F2F" w:rsidRPr="00257F2F" w:rsidRDefault="00257F2F" w:rsidP="00257F2F">
            <w:pPr>
              <w:rPr>
                <w:rFonts w:ascii="Times New Roman" w:hAnsi="Times New Roman"/>
                <w:sz w:val="20"/>
                <w:szCs w:val="20"/>
                <w:lang w:eastAsia="en-GB"/>
              </w:rPr>
            </w:pPr>
          </w:p>
        </w:tc>
        <w:tc>
          <w:tcPr>
            <w:tcW w:w="970" w:type="dxa"/>
            <w:tcBorders>
              <w:top w:val="nil"/>
              <w:left w:val="nil"/>
              <w:bottom w:val="nil"/>
              <w:right w:val="single" w:sz="4" w:space="0" w:color="auto"/>
            </w:tcBorders>
            <w:shd w:val="clear" w:color="auto" w:fill="auto"/>
            <w:noWrap/>
            <w:vAlign w:val="bottom"/>
            <w:hideMark/>
          </w:tcPr>
          <w:p w14:paraId="3C07CFEB"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 </w:t>
            </w:r>
          </w:p>
        </w:tc>
      </w:tr>
      <w:tr w:rsidR="00257F2F" w:rsidRPr="00257F2F" w14:paraId="1B534E96" w14:textId="77777777" w:rsidTr="00460FAE">
        <w:trPr>
          <w:trHeight w:val="290"/>
        </w:trPr>
        <w:tc>
          <w:tcPr>
            <w:tcW w:w="4442" w:type="dxa"/>
            <w:tcBorders>
              <w:top w:val="nil"/>
              <w:left w:val="single" w:sz="4" w:space="0" w:color="auto"/>
              <w:bottom w:val="nil"/>
              <w:right w:val="nil"/>
            </w:tcBorders>
            <w:shd w:val="clear" w:color="auto" w:fill="auto"/>
            <w:noWrap/>
            <w:vAlign w:val="bottom"/>
            <w:hideMark/>
          </w:tcPr>
          <w:p w14:paraId="735C306D" w14:textId="77777777" w:rsidR="00257F2F" w:rsidRPr="00257F2F" w:rsidRDefault="00257F2F" w:rsidP="00257F2F">
            <w:pPr>
              <w:rPr>
                <w:rFonts w:cs="Arial"/>
                <w:b/>
                <w:bCs/>
                <w:color w:val="000000"/>
                <w:sz w:val="20"/>
                <w:szCs w:val="20"/>
                <w:lang w:eastAsia="en-GB"/>
              </w:rPr>
            </w:pPr>
            <w:r w:rsidRPr="00257F2F">
              <w:rPr>
                <w:rFonts w:cs="Arial"/>
                <w:b/>
                <w:bCs/>
                <w:color w:val="000000"/>
                <w:sz w:val="20"/>
                <w:szCs w:val="20"/>
                <w:lang w:eastAsia="en-GB"/>
              </w:rPr>
              <w:t>Earmarked Reserves</w:t>
            </w:r>
          </w:p>
        </w:tc>
        <w:tc>
          <w:tcPr>
            <w:tcW w:w="1082" w:type="dxa"/>
            <w:tcBorders>
              <w:top w:val="nil"/>
              <w:left w:val="nil"/>
              <w:bottom w:val="nil"/>
              <w:right w:val="nil"/>
            </w:tcBorders>
            <w:shd w:val="clear" w:color="auto" w:fill="auto"/>
            <w:noWrap/>
            <w:vAlign w:val="bottom"/>
            <w:hideMark/>
          </w:tcPr>
          <w:p w14:paraId="32BAC175" w14:textId="77777777" w:rsidR="00257F2F" w:rsidRPr="00257F2F" w:rsidRDefault="00257F2F" w:rsidP="00257F2F">
            <w:pPr>
              <w:rPr>
                <w:rFonts w:cs="Arial"/>
                <w:b/>
                <w:bCs/>
                <w:color w:val="000000"/>
                <w:sz w:val="20"/>
                <w:szCs w:val="20"/>
                <w:lang w:eastAsia="en-GB"/>
              </w:rPr>
            </w:pPr>
          </w:p>
        </w:tc>
        <w:tc>
          <w:tcPr>
            <w:tcW w:w="1112" w:type="dxa"/>
            <w:tcBorders>
              <w:top w:val="nil"/>
              <w:left w:val="nil"/>
              <w:bottom w:val="nil"/>
              <w:right w:val="nil"/>
            </w:tcBorders>
            <w:shd w:val="clear" w:color="auto" w:fill="auto"/>
            <w:noWrap/>
            <w:vAlign w:val="bottom"/>
            <w:hideMark/>
          </w:tcPr>
          <w:p w14:paraId="419C62B8" w14:textId="77777777" w:rsidR="00257F2F" w:rsidRPr="00257F2F" w:rsidRDefault="00257F2F" w:rsidP="00257F2F">
            <w:pPr>
              <w:rPr>
                <w:rFonts w:ascii="Times New Roman" w:hAnsi="Times New Roman"/>
                <w:sz w:val="20"/>
                <w:szCs w:val="20"/>
                <w:lang w:eastAsia="en-GB"/>
              </w:rPr>
            </w:pPr>
          </w:p>
        </w:tc>
        <w:tc>
          <w:tcPr>
            <w:tcW w:w="970" w:type="dxa"/>
            <w:tcBorders>
              <w:top w:val="nil"/>
              <w:left w:val="nil"/>
              <w:bottom w:val="nil"/>
              <w:right w:val="nil"/>
            </w:tcBorders>
            <w:shd w:val="clear" w:color="auto" w:fill="auto"/>
            <w:noWrap/>
            <w:vAlign w:val="bottom"/>
            <w:hideMark/>
          </w:tcPr>
          <w:p w14:paraId="2784160B" w14:textId="77777777" w:rsidR="00257F2F" w:rsidRPr="00257F2F" w:rsidRDefault="00257F2F" w:rsidP="00257F2F">
            <w:pPr>
              <w:rPr>
                <w:rFonts w:ascii="Times New Roman" w:hAnsi="Times New Roman"/>
                <w:sz w:val="20"/>
                <w:szCs w:val="20"/>
                <w:lang w:eastAsia="en-GB"/>
              </w:rPr>
            </w:pPr>
          </w:p>
        </w:tc>
        <w:tc>
          <w:tcPr>
            <w:tcW w:w="1143" w:type="dxa"/>
            <w:tcBorders>
              <w:top w:val="nil"/>
              <w:left w:val="nil"/>
              <w:bottom w:val="nil"/>
              <w:right w:val="nil"/>
            </w:tcBorders>
            <w:shd w:val="clear" w:color="auto" w:fill="auto"/>
            <w:noWrap/>
            <w:vAlign w:val="bottom"/>
            <w:hideMark/>
          </w:tcPr>
          <w:p w14:paraId="114E7EBD" w14:textId="77777777" w:rsidR="00257F2F" w:rsidRPr="00257F2F" w:rsidRDefault="00257F2F" w:rsidP="00257F2F">
            <w:pPr>
              <w:rPr>
                <w:rFonts w:ascii="Times New Roman" w:hAnsi="Times New Roman"/>
                <w:sz w:val="20"/>
                <w:szCs w:val="20"/>
                <w:lang w:eastAsia="en-GB"/>
              </w:rPr>
            </w:pPr>
          </w:p>
        </w:tc>
        <w:tc>
          <w:tcPr>
            <w:tcW w:w="970" w:type="dxa"/>
            <w:tcBorders>
              <w:top w:val="nil"/>
              <w:left w:val="nil"/>
              <w:bottom w:val="nil"/>
              <w:right w:val="single" w:sz="4" w:space="0" w:color="auto"/>
            </w:tcBorders>
            <w:shd w:val="clear" w:color="auto" w:fill="auto"/>
            <w:noWrap/>
            <w:vAlign w:val="bottom"/>
            <w:hideMark/>
          </w:tcPr>
          <w:p w14:paraId="0B60CADE"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 </w:t>
            </w:r>
          </w:p>
        </w:tc>
      </w:tr>
      <w:tr w:rsidR="00257F2F" w:rsidRPr="00257F2F" w14:paraId="59286BDF" w14:textId="77777777" w:rsidTr="00460FAE">
        <w:trPr>
          <w:trHeight w:val="290"/>
        </w:trPr>
        <w:tc>
          <w:tcPr>
            <w:tcW w:w="4442" w:type="dxa"/>
            <w:tcBorders>
              <w:top w:val="nil"/>
              <w:left w:val="single" w:sz="4" w:space="0" w:color="auto"/>
              <w:bottom w:val="nil"/>
              <w:right w:val="nil"/>
            </w:tcBorders>
            <w:shd w:val="clear" w:color="auto" w:fill="auto"/>
            <w:noWrap/>
            <w:vAlign w:val="bottom"/>
            <w:hideMark/>
          </w:tcPr>
          <w:p w14:paraId="65FAA336"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Ring-fenced Funds Reserve</w:t>
            </w:r>
          </w:p>
        </w:tc>
        <w:tc>
          <w:tcPr>
            <w:tcW w:w="1082" w:type="dxa"/>
            <w:tcBorders>
              <w:top w:val="nil"/>
              <w:left w:val="nil"/>
              <w:bottom w:val="nil"/>
              <w:right w:val="nil"/>
            </w:tcBorders>
            <w:shd w:val="clear" w:color="auto" w:fill="auto"/>
            <w:noWrap/>
            <w:vAlign w:val="bottom"/>
            <w:hideMark/>
          </w:tcPr>
          <w:p w14:paraId="5B543CD6"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300</w:t>
            </w:r>
          </w:p>
        </w:tc>
        <w:tc>
          <w:tcPr>
            <w:tcW w:w="1112" w:type="dxa"/>
            <w:tcBorders>
              <w:top w:val="nil"/>
              <w:left w:val="nil"/>
              <w:bottom w:val="nil"/>
              <w:right w:val="nil"/>
            </w:tcBorders>
            <w:shd w:val="clear" w:color="auto" w:fill="auto"/>
            <w:noWrap/>
            <w:vAlign w:val="bottom"/>
            <w:hideMark/>
          </w:tcPr>
          <w:p w14:paraId="49AEBF00"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-47</w:t>
            </w:r>
          </w:p>
        </w:tc>
        <w:tc>
          <w:tcPr>
            <w:tcW w:w="970" w:type="dxa"/>
            <w:tcBorders>
              <w:top w:val="nil"/>
              <w:left w:val="nil"/>
              <w:bottom w:val="nil"/>
              <w:right w:val="nil"/>
            </w:tcBorders>
            <w:shd w:val="clear" w:color="auto" w:fill="auto"/>
            <w:noWrap/>
            <w:vAlign w:val="bottom"/>
            <w:hideMark/>
          </w:tcPr>
          <w:p w14:paraId="4FE233FF"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253</w:t>
            </w:r>
          </w:p>
        </w:tc>
        <w:tc>
          <w:tcPr>
            <w:tcW w:w="1143" w:type="dxa"/>
            <w:tcBorders>
              <w:top w:val="nil"/>
              <w:left w:val="nil"/>
              <w:bottom w:val="nil"/>
              <w:right w:val="nil"/>
            </w:tcBorders>
            <w:shd w:val="clear" w:color="auto" w:fill="auto"/>
            <w:noWrap/>
            <w:vAlign w:val="bottom"/>
            <w:hideMark/>
          </w:tcPr>
          <w:p w14:paraId="33F1A50A"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-86</w:t>
            </w:r>
          </w:p>
        </w:tc>
        <w:tc>
          <w:tcPr>
            <w:tcW w:w="970" w:type="dxa"/>
            <w:tcBorders>
              <w:top w:val="nil"/>
              <w:left w:val="nil"/>
              <w:bottom w:val="nil"/>
              <w:right w:val="single" w:sz="4" w:space="0" w:color="auto"/>
            </w:tcBorders>
            <w:shd w:val="clear" w:color="auto" w:fill="auto"/>
            <w:noWrap/>
            <w:vAlign w:val="bottom"/>
            <w:hideMark/>
          </w:tcPr>
          <w:p w14:paraId="58553D95"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167</w:t>
            </w:r>
          </w:p>
        </w:tc>
      </w:tr>
      <w:tr w:rsidR="00257F2F" w:rsidRPr="00257F2F" w14:paraId="7BBB00F2" w14:textId="77777777" w:rsidTr="00460FAE">
        <w:trPr>
          <w:trHeight w:val="290"/>
        </w:trPr>
        <w:tc>
          <w:tcPr>
            <w:tcW w:w="4442" w:type="dxa"/>
            <w:tcBorders>
              <w:top w:val="nil"/>
              <w:left w:val="single" w:sz="4" w:space="0" w:color="auto"/>
              <w:bottom w:val="nil"/>
              <w:right w:val="nil"/>
            </w:tcBorders>
            <w:shd w:val="clear" w:color="auto" w:fill="auto"/>
            <w:noWrap/>
            <w:vAlign w:val="bottom"/>
            <w:hideMark/>
          </w:tcPr>
          <w:p w14:paraId="7EBF35AE"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External Grants Reserve</w:t>
            </w:r>
          </w:p>
        </w:tc>
        <w:tc>
          <w:tcPr>
            <w:tcW w:w="1082" w:type="dxa"/>
            <w:tcBorders>
              <w:top w:val="nil"/>
              <w:left w:val="nil"/>
              <w:bottom w:val="nil"/>
              <w:right w:val="nil"/>
            </w:tcBorders>
            <w:shd w:val="clear" w:color="auto" w:fill="auto"/>
            <w:noWrap/>
            <w:vAlign w:val="bottom"/>
            <w:hideMark/>
          </w:tcPr>
          <w:p w14:paraId="087B5517"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376</w:t>
            </w:r>
          </w:p>
        </w:tc>
        <w:tc>
          <w:tcPr>
            <w:tcW w:w="1112" w:type="dxa"/>
            <w:tcBorders>
              <w:top w:val="nil"/>
              <w:left w:val="nil"/>
              <w:bottom w:val="nil"/>
              <w:right w:val="nil"/>
            </w:tcBorders>
            <w:shd w:val="clear" w:color="auto" w:fill="auto"/>
            <w:noWrap/>
            <w:vAlign w:val="bottom"/>
            <w:hideMark/>
          </w:tcPr>
          <w:p w14:paraId="7E7C1703"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117</w:t>
            </w:r>
          </w:p>
        </w:tc>
        <w:tc>
          <w:tcPr>
            <w:tcW w:w="970" w:type="dxa"/>
            <w:tcBorders>
              <w:top w:val="nil"/>
              <w:left w:val="nil"/>
              <w:bottom w:val="nil"/>
              <w:right w:val="nil"/>
            </w:tcBorders>
            <w:shd w:val="clear" w:color="auto" w:fill="auto"/>
            <w:noWrap/>
            <w:vAlign w:val="bottom"/>
            <w:hideMark/>
          </w:tcPr>
          <w:p w14:paraId="798BCF1D"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493</w:t>
            </w:r>
          </w:p>
        </w:tc>
        <w:tc>
          <w:tcPr>
            <w:tcW w:w="1143" w:type="dxa"/>
            <w:tcBorders>
              <w:top w:val="nil"/>
              <w:left w:val="nil"/>
              <w:bottom w:val="nil"/>
              <w:right w:val="nil"/>
            </w:tcBorders>
            <w:shd w:val="clear" w:color="auto" w:fill="auto"/>
            <w:noWrap/>
            <w:vAlign w:val="bottom"/>
            <w:hideMark/>
          </w:tcPr>
          <w:p w14:paraId="039583A6"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-72</w:t>
            </w:r>
          </w:p>
        </w:tc>
        <w:tc>
          <w:tcPr>
            <w:tcW w:w="970" w:type="dxa"/>
            <w:tcBorders>
              <w:top w:val="nil"/>
              <w:left w:val="nil"/>
              <w:bottom w:val="nil"/>
              <w:right w:val="single" w:sz="4" w:space="0" w:color="auto"/>
            </w:tcBorders>
            <w:shd w:val="clear" w:color="auto" w:fill="auto"/>
            <w:noWrap/>
            <w:vAlign w:val="bottom"/>
            <w:hideMark/>
          </w:tcPr>
          <w:p w14:paraId="19E83160"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421</w:t>
            </w:r>
          </w:p>
        </w:tc>
      </w:tr>
      <w:tr w:rsidR="00257F2F" w:rsidRPr="00257F2F" w14:paraId="4B4A1736" w14:textId="77777777" w:rsidTr="00460FAE">
        <w:trPr>
          <w:trHeight w:val="290"/>
        </w:trPr>
        <w:tc>
          <w:tcPr>
            <w:tcW w:w="4442" w:type="dxa"/>
            <w:tcBorders>
              <w:top w:val="nil"/>
              <w:left w:val="single" w:sz="4" w:space="0" w:color="auto"/>
              <w:bottom w:val="nil"/>
              <w:right w:val="nil"/>
            </w:tcBorders>
            <w:shd w:val="clear" w:color="auto" w:fill="auto"/>
            <w:noWrap/>
            <w:vAlign w:val="bottom"/>
            <w:hideMark/>
          </w:tcPr>
          <w:p w14:paraId="50203248"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Biodiversity Net Gain Reserve</w:t>
            </w:r>
          </w:p>
        </w:tc>
        <w:tc>
          <w:tcPr>
            <w:tcW w:w="1082" w:type="dxa"/>
            <w:tcBorders>
              <w:top w:val="nil"/>
              <w:left w:val="nil"/>
              <w:bottom w:val="nil"/>
              <w:right w:val="nil"/>
            </w:tcBorders>
            <w:shd w:val="clear" w:color="auto" w:fill="auto"/>
            <w:noWrap/>
            <w:vAlign w:val="bottom"/>
            <w:hideMark/>
          </w:tcPr>
          <w:p w14:paraId="7E35E36C"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0</w:t>
            </w:r>
          </w:p>
        </w:tc>
        <w:tc>
          <w:tcPr>
            <w:tcW w:w="1112" w:type="dxa"/>
            <w:tcBorders>
              <w:top w:val="nil"/>
              <w:left w:val="nil"/>
              <w:bottom w:val="nil"/>
              <w:right w:val="nil"/>
            </w:tcBorders>
            <w:shd w:val="clear" w:color="auto" w:fill="auto"/>
            <w:noWrap/>
            <w:vAlign w:val="bottom"/>
            <w:hideMark/>
          </w:tcPr>
          <w:p w14:paraId="74629C52"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0</w:t>
            </w:r>
          </w:p>
        </w:tc>
        <w:tc>
          <w:tcPr>
            <w:tcW w:w="970" w:type="dxa"/>
            <w:tcBorders>
              <w:top w:val="nil"/>
              <w:left w:val="nil"/>
              <w:bottom w:val="nil"/>
              <w:right w:val="nil"/>
            </w:tcBorders>
            <w:shd w:val="clear" w:color="auto" w:fill="auto"/>
            <w:noWrap/>
            <w:vAlign w:val="bottom"/>
            <w:hideMark/>
          </w:tcPr>
          <w:p w14:paraId="0613D9D2"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0</w:t>
            </w:r>
          </w:p>
        </w:tc>
        <w:tc>
          <w:tcPr>
            <w:tcW w:w="1143" w:type="dxa"/>
            <w:tcBorders>
              <w:top w:val="nil"/>
              <w:left w:val="nil"/>
              <w:bottom w:val="nil"/>
              <w:right w:val="nil"/>
            </w:tcBorders>
            <w:shd w:val="clear" w:color="auto" w:fill="auto"/>
            <w:noWrap/>
            <w:vAlign w:val="bottom"/>
            <w:hideMark/>
          </w:tcPr>
          <w:p w14:paraId="429813A6"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75</w:t>
            </w:r>
          </w:p>
        </w:tc>
        <w:tc>
          <w:tcPr>
            <w:tcW w:w="970" w:type="dxa"/>
            <w:tcBorders>
              <w:top w:val="nil"/>
              <w:left w:val="nil"/>
              <w:bottom w:val="nil"/>
              <w:right w:val="single" w:sz="4" w:space="0" w:color="auto"/>
            </w:tcBorders>
            <w:shd w:val="clear" w:color="auto" w:fill="auto"/>
            <w:noWrap/>
            <w:vAlign w:val="bottom"/>
            <w:hideMark/>
          </w:tcPr>
          <w:p w14:paraId="5F369049"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75</w:t>
            </w:r>
          </w:p>
        </w:tc>
      </w:tr>
      <w:tr w:rsidR="00257F2F" w:rsidRPr="00257F2F" w14:paraId="0538136D" w14:textId="77777777" w:rsidTr="00460FAE">
        <w:trPr>
          <w:trHeight w:val="290"/>
        </w:trPr>
        <w:tc>
          <w:tcPr>
            <w:tcW w:w="4442" w:type="dxa"/>
            <w:tcBorders>
              <w:top w:val="nil"/>
              <w:left w:val="single" w:sz="4" w:space="0" w:color="auto"/>
              <w:bottom w:val="nil"/>
              <w:right w:val="nil"/>
            </w:tcBorders>
            <w:shd w:val="clear" w:color="auto" w:fill="auto"/>
            <w:noWrap/>
            <w:vAlign w:val="bottom"/>
            <w:hideMark/>
          </w:tcPr>
          <w:p w14:paraId="74695286"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Climate Change Reserve</w:t>
            </w:r>
          </w:p>
        </w:tc>
        <w:tc>
          <w:tcPr>
            <w:tcW w:w="1082" w:type="dxa"/>
            <w:tcBorders>
              <w:top w:val="nil"/>
              <w:left w:val="nil"/>
              <w:bottom w:val="nil"/>
              <w:right w:val="nil"/>
            </w:tcBorders>
            <w:shd w:val="clear" w:color="auto" w:fill="auto"/>
            <w:noWrap/>
            <w:vAlign w:val="bottom"/>
            <w:hideMark/>
          </w:tcPr>
          <w:p w14:paraId="078FCBB4"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10</w:t>
            </w:r>
          </w:p>
        </w:tc>
        <w:tc>
          <w:tcPr>
            <w:tcW w:w="1112" w:type="dxa"/>
            <w:tcBorders>
              <w:top w:val="nil"/>
              <w:left w:val="nil"/>
              <w:bottom w:val="nil"/>
              <w:right w:val="nil"/>
            </w:tcBorders>
            <w:shd w:val="clear" w:color="auto" w:fill="auto"/>
            <w:noWrap/>
            <w:vAlign w:val="bottom"/>
            <w:hideMark/>
          </w:tcPr>
          <w:p w14:paraId="328676F5"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-10</w:t>
            </w:r>
          </w:p>
        </w:tc>
        <w:tc>
          <w:tcPr>
            <w:tcW w:w="970" w:type="dxa"/>
            <w:tcBorders>
              <w:top w:val="nil"/>
              <w:left w:val="nil"/>
              <w:bottom w:val="nil"/>
              <w:right w:val="nil"/>
            </w:tcBorders>
            <w:shd w:val="clear" w:color="auto" w:fill="auto"/>
            <w:noWrap/>
            <w:vAlign w:val="bottom"/>
            <w:hideMark/>
          </w:tcPr>
          <w:p w14:paraId="6B8E622D"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0</w:t>
            </w:r>
          </w:p>
        </w:tc>
        <w:tc>
          <w:tcPr>
            <w:tcW w:w="1143" w:type="dxa"/>
            <w:tcBorders>
              <w:top w:val="nil"/>
              <w:left w:val="nil"/>
              <w:bottom w:val="nil"/>
              <w:right w:val="nil"/>
            </w:tcBorders>
            <w:shd w:val="clear" w:color="auto" w:fill="auto"/>
            <w:noWrap/>
            <w:vAlign w:val="bottom"/>
            <w:hideMark/>
          </w:tcPr>
          <w:p w14:paraId="50595BFF"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0</w:t>
            </w:r>
          </w:p>
        </w:tc>
        <w:tc>
          <w:tcPr>
            <w:tcW w:w="970" w:type="dxa"/>
            <w:tcBorders>
              <w:top w:val="nil"/>
              <w:left w:val="nil"/>
              <w:bottom w:val="nil"/>
              <w:right w:val="single" w:sz="4" w:space="0" w:color="auto"/>
            </w:tcBorders>
            <w:shd w:val="clear" w:color="auto" w:fill="auto"/>
            <w:noWrap/>
            <w:vAlign w:val="bottom"/>
            <w:hideMark/>
          </w:tcPr>
          <w:p w14:paraId="0F2B2506"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0</w:t>
            </w:r>
          </w:p>
        </w:tc>
      </w:tr>
      <w:tr w:rsidR="00257F2F" w:rsidRPr="00257F2F" w14:paraId="20493D65" w14:textId="77777777" w:rsidTr="00460FAE">
        <w:trPr>
          <w:trHeight w:val="290"/>
        </w:trPr>
        <w:tc>
          <w:tcPr>
            <w:tcW w:w="4442" w:type="dxa"/>
            <w:tcBorders>
              <w:top w:val="nil"/>
              <w:left w:val="single" w:sz="4" w:space="0" w:color="auto"/>
              <w:bottom w:val="nil"/>
              <w:right w:val="nil"/>
            </w:tcBorders>
            <w:shd w:val="clear" w:color="auto" w:fill="auto"/>
            <w:noWrap/>
            <w:vAlign w:val="bottom"/>
            <w:hideMark/>
          </w:tcPr>
          <w:p w14:paraId="534DF192"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Windermere Registration Reserve</w:t>
            </w:r>
          </w:p>
        </w:tc>
        <w:tc>
          <w:tcPr>
            <w:tcW w:w="1082" w:type="dxa"/>
            <w:tcBorders>
              <w:top w:val="nil"/>
              <w:left w:val="nil"/>
              <w:bottom w:val="nil"/>
              <w:right w:val="nil"/>
            </w:tcBorders>
            <w:shd w:val="clear" w:color="auto" w:fill="auto"/>
            <w:noWrap/>
            <w:vAlign w:val="bottom"/>
            <w:hideMark/>
          </w:tcPr>
          <w:p w14:paraId="703957FC"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30</w:t>
            </w:r>
          </w:p>
        </w:tc>
        <w:tc>
          <w:tcPr>
            <w:tcW w:w="1112" w:type="dxa"/>
            <w:tcBorders>
              <w:top w:val="nil"/>
              <w:left w:val="nil"/>
              <w:bottom w:val="nil"/>
              <w:right w:val="nil"/>
            </w:tcBorders>
            <w:shd w:val="clear" w:color="auto" w:fill="auto"/>
            <w:noWrap/>
            <w:vAlign w:val="bottom"/>
            <w:hideMark/>
          </w:tcPr>
          <w:p w14:paraId="62F1589A"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-10</w:t>
            </w:r>
          </w:p>
        </w:tc>
        <w:tc>
          <w:tcPr>
            <w:tcW w:w="970" w:type="dxa"/>
            <w:tcBorders>
              <w:top w:val="nil"/>
              <w:left w:val="nil"/>
              <w:bottom w:val="nil"/>
              <w:right w:val="nil"/>
            </w:tcBorders>
            <w:shd w:val="clear" w:color="auto" w:fill="auto"/>
            <w:noWrap/>
            <w:vAlign w:val="bottom"/>
            <w:hideMark/>
          </w:tcPr>
          <w:p w14:paraId="5FE1081A"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20</w:t>
            </w:r>
          </w:p>
        </w:tc>
        <w:tc>
          <w:tcPr>
            <w:tcW w:w="1143" w:type="dxa"/>
            <w:tcBorders>
              <w:top w:val="nil"/>
              <w:left w:val="nil"/>
              <w:bottom w:val="nil"/>
              <w:right w:val="nil"/>
            </w:tcBorders>
            <w:shd w:val="clear" w:color="auto" w:fill="auto"/>
            <w:noWrap/>
            <w:vAlign w:val="bottom"/>
            <w:hideMark/>
          </w:tcPr>
          <w:p w14:paraId="5700A676"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-10</w:t>
            </w:r>
          </w:p>
        </w:tc>
        <w:tc>
          <w:tcPr>
            <w:tcW w:w="970" w:type="dxa"/>
            <w:tcBorders>
              <w:top w:val="nil"/>
              <w:left w:val="nil"/>
              <w:bottom w:val="nil"/>
              <w:right w:val="single" w:sz="4" w:space="0" w:color="auto"/>
            </w:tcBorders>
            <w:shd w:val="clear" w:color="auto" w:fill="auto"/>
            <w:noWrap/>
            <w:vAlign w:val="bottom"/>
            <w:hideMark/>
          </w:tcPr>
          <w:p w14:paraId="4EFECE9D"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10</w:t>
            </w:r>
          </w:p>
        </w:tc>
      </w:tr>
      <w:tr w:rsidR="00257F2F" w:rsidRPr="00257F2F" w14:paraId="6A3771F6" w14:textId="77777777" w:rsidTr="00460FAE">
        <w:trPr>
          <w:trHeight w:val="290"/>
        </w:trPr>
        <w:tc>
          <w:tcPr>
            <w:tcW w:w="4442" w:type="dxa"/>
            <w:tcBorders>
              <w:top w:val="nil"/>
              <w:left w:val="single" w:sz="4" w:space="0" w:color="auto"/>
              <w:bottom w:val="nil"/>
              <w:right w:val="nil"/>
            </w:tcBorders>
            <w:shd w:val="clear" w:color="auto" w:fill="auto"/>
            <w:noWrap/>
            <w:vAlign w:val="bottom"/>
            <w:hideMark/>
          </w:tcPr>
          <w:p w14:paraId="34C515CC"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Lake District Communities Fund</w:t>
            </w:r>
          </w:p>
        </w:tc>
        <w:tc>
          <w:tcPr>
            <w:tcW w:w="1082" w:type="dxa"/>
            <w:tcBorders>
              <w:top w:val="nil"/>
              <w:left w:val="nil"/>
              <w:bottom w:val="nil"/>
              <w:right w:val="nil"/>
            </w:tcBorders>
            <w:shd w:val="clear" w:color="auto" w:fill="auto"/>
            <w:noWrap/>
            <w:vAlign w:val="bottom"/>
            <w:hideMark/>
          </w:tcPr>
          <w:p w14:paraId="07E1FF3E"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8</w:t>
            </w:r>
          </w:p>
        </w:tc>
        <w:tc>
          <w:tcPr>
            <w:tcW w:w="1112" w:type="dxa"/>
            <w:tcBorders>
              <w:top w:val="nil"/>
              <w:left w:val="nil"/>
              <w:bottom w:val="nil"/>
              <w:right w:val="nil"/>
            </w:tcBorders>
            <w:shd w:val="clear" w:color="auto" w:fill="auto"/>
            <w:noWrap/>
            <w:vAlign w:val="bottom"/>
            <w:hideMark/>
          </w:tcPr>
          <w:p w14:paraId="04098F9F"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-8</w:t>
            </w:r>
          </w:p>
        </w:tc>
        <w:tc>
          <w:tcPr>
            <w:tcW w:w="970" w:type="dxa"/>
            <w:tcBorders>
              <w:top w:val="nil"/>
              <w:left w:val="nil"/>
              <w:bottom w:val="nil"/>
              <w:right w:val="nil"/>
            </w:tcBorders>
            <w:shd w:val="clear" w:color="auto" w:fill="auto"/>
            <w:noWrap/>
            <w:vAlign w:val="bottom"/>
            <w:hideMark/>
          </w:tcPr>
          <w:p w14:paraId="7DD76CAC"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0</w:t>
            </w:r>
          </w:p>
        </w:tc>
        <w:tc>
          <w:tcPr>
            <w:tcW w:w="1143" w:type="dxa"/>
            <w:tcBorders>
              <w:top w:val="nil"/>
              <w:left w:val="nil"/>
              <w:bottom w:val="nil"/>
              <w:right w:val="nil"/>
            </w:tcBorders>
            <w:shd w:val="clear" w:color="auto" w:fill="auto"/>
            <w:noWrap/>
            <w:vAlign w:val="bottom"/>
            <w:hideMark/>
          </w:tcPr>
          <w:p w14:paraId="4C70FF3D"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0</w:t>
            </w:r>
          </w:p>
        </w:tc>
        <w:tc>
          <w:tcPr>
            <w:tcW w:w="970" w:type="dxa"/>
            <w:tcBorders>
              <w:top w:val="nil"/>
              <w:left w:val="nil"/>
              <w:bottom w:val="nil"/>
              <w:right w:val="single" w:sz="4" w:space="0" w:color="auto"/>
            </w:tcBorders>
            <w:shd w:val="clear" w:color="auto" w:fill="auto"/>
            <w:noWrap/>
            <w:vAlign w:val="bottom"/>
            <w:hideMark/>
          </w:tcPr>
          <w:p w14:paraId="25FCB1A3"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0</w:t>
            </w:r>
          </w:p>
        </w:tc>
      </w:tr>
      <w:tr w:rsidR="00257F2F" w:rsidRPr="00257F2F" w14:paraId="3FCEE96F" w14:textId="77777777" w:rsidTr="00460FAE">
        <w:trPr>
          <w:trHeight w:val="320"/>
        </w:trPr>
        <w:tc>
          <w:tcPr>
            <w:tcW w:w="4442" w:type="dxa"/>
            <w:tcBorders>
              <w:top w:val="nil"/>
              <w:left w:val="single" w:sz="4" w:space="0" w:color="auto"/>
              <w:bottom w:val="nil"/>
              <w:right w:val="nil"/>
            </w:tcBorders>
            <w:shd w:val="clear" w:color="auto" w:fill="auto"/>
            <w:noWrap/>
            <w:vAlign w:val="bottom"/>
            <w:hideMark/>
          </w:tcPr>
          <w:p w14:paraId="6C1BC999"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Cumbria Woodlands</w:t>
            </w:r>
          </w:p>
        </w:tc>
        <w:tc>
          <w:tcPr>
            <w:tcW w:w="1082" w:type="dxa"/>
            <w:tcBorders>
              <w:top w:val="nil"/>
              <w:left w:val="nil"/>
              <w:bottom w:val="nil"/>
              <w:right w:val="nil"/>
            </w:tcBorders>
            <w:shd w:val="clear" w:color="auto" w:fill="auto"/>
            <w:noWrap/>
            <w:vAlign w:val="bottom"/>
            <w:hideMark/>
          </w:tcPr>
          <w:p w14:paraId="0111ED9E"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117</w:t>
            </w:r>
          </w:p>
        </w:tc>
        <w:tc>
          <w:tcPr>
            <w:tcW w:w="1112" w:type="dxa"/>
            <w:tcBorders>
              <w:top w:val="nil"/>
              <w:left w:val="nil"/>
              <w:bottom w:val="nil"/>
              <w:right w:val="nil"/>
            </w:tcBorders>
            <w:shd w:val="clear" w:color="auto" w:fill="auto"/>
            <w:noWrap/>
            <w:vAlign w:val="bottom"/>
            <w:hideMark/>
          </w:tcPr>
          <w:p w14:paraId="27D583C4"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-26</w:t>
            </w:r>
          </w:p>
        </w:tc>
        <w:tc>
          <w:tcPr>
            <w:tcW w:w="970" w:type="dxa"/>
            <w:tcBorders>
              <w:top w:val="nil"/>
              <w:left w:val="nil"/>
              <w:bottom w:val="nil"/>
              <w:right w:val="nil"/>
            </w:tcBorders>
            <w:shd w:val="clear" w:color="auto" w:fill="auto"/>
            <w:noWrap/>
            <w:vAlign w:val="bottom"/>
            <w:hideMark/>
          </w:tcPr>
          <w:p w14:paraId="452CC6FA"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91</w:t>
            </w:r>
          </w:p>
        </w:tc>
        <w:tc>
          <w:tcPr>
            <w:tcW w:w="1143" w:type="dxa"/>
            <w:tcBorders>
              <w:top w:val="nil"/>
              <w:left w:val="nil"/>
              <w:bottom w:val="nil"/>
              <w:right w:val="nil"/>
            </w:tcBorders>
            <w:shd w:val="clear" w:color="auto" w:fill="auto"/>
            <w:noWrap/>
            <w:vAlign w:val="bottom"/>
            <w:hideMark/>
          </w:tcPr>
          <w:p w14:paraId="61DA42D1"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-9</w:t>
            </w:r>
          </w:p>
        </w:tc>
        <w:tc>
          <w:tcPr>
            <w:tcW w:w="970" w:type="dxa"/>
            <w:tcBorders>
              <w:top w:val="nil"/>
              <w:left w:val="nil"/>
              <w:bottom w:val="nil"/>
              <w:right w:val="single" w:sz="4" w:space="0" w:color="auto"/>
            </w:tcBorders>
            <w:shd w:val="clear" w:color="auto" w:fill="auto"/>
            <w:noWrap/>
            <w:vAlign w:val="bottom"/>
            <w:hideMark/>
          </w:tcPr>
          <w:p w14:paraId="0D4233EE"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82</w:t>
            </w:r>
          </w:p>
        </w:tc>
      </w:tr>
      <w:tr w:rsidR="00257F2F" w:rsidRPr="00257F2F" w14:paraId="74DC63D8" w14:textId="77777777" w:rsidTr="00460FAE">
        <w:trPr>
          <w:trHeight w:val="320"/>
        </w:trPr>
        <w:tc>
          <w:tcPr>
            <w:tcW w:w="4442" w:type="dxa"/>
            <w:tcBorders>
              <w:top w:val="nil"/>
              <w:left w:val="single" w:sz="4" w:space="0" w:color="auto"/>
              <w:bottom w:val="nil"/>
              <w:right w:val="nil"/>
            </w:tcBorders>
            <w:shd w:val="clear" w:color="auto" w:fill="auto"/>
            <w:noWrap/>
            <w:vAlign w:val="bottom"/>
            <w:hideMark/>
          </w:tcPr>
          <w:p w14:paraId="7FDE1519"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Investing for our Future</w:t>
            </w:r>
          </w:p>
        </w:tc>
        <w:tc>
          <w:tcPr>
            <w:tcW w:w="1082" w:type="dxa"/>
            <w:tcBorders>
              <w:top w:val="nil"/>
              <w:left w:val="nil"/>
              <w:bottom w:val="nil"/>
              <w:right w:val="nil"/>
            </w:tcBorders>
            <w:shd w:val="clear" w:color="auto" w:fill="auto"/>
            <w:noWrap/>
            <w:vAlign w:val="bottom"/>
            <w:hideMark/>
          </w:tcPr>
          <w:p w14:paraId="05DC4EC1"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0</w:t>
            </w:r>
          </w:p>
        </w:tc>
        <w:tc>
          <w:tcPr>
            <w:tcW w:w="1112" w:type="dxa"/>
            <w:tcBorders>
              <w:top w:val="nil"/>
              <w:left w:val="nil"/>
              <w:bottom w:val="nil"/>
              <w:right w:val="nil"/>
            </w:tcBorders>
            <w:shd w:val="clear" w:color="auto" w:fill="auto"/>
            <w:noWrap/>
            <w:vAlign w:val="bottom"/>
            <w:hideMark/>
          </w:tcPr>
          <w:p w14:paraId="6FC60087"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281</w:t>
            </w:r>
          </w:p>
        </w:tc>
        <w:tc>
          <w:tcPr>
            <w:tcW w:w="970" w:type="dxa"/>
            <w:tcBorders>
              <w:top w:val="nil"/>
              <w:left w:val="nil"/>
              <w:bottom w:val="nil"/>
              <w:right w:val="nil"/>
            </w:tcBorders>
            <w:shd w:val="clear" w:color="auto" w:fill="auto"/>
            <w:noWrap/>
            <w:vAlign w:val="bottom"/>
            <w:hideMark/>
          </w:tcPr>
          <w:p w14:paraId="1A0F20A6"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281</w:t>
            </w:r>
          </w:p>
        </w:tc>
        <w:tc>
          <w:tcPr>
            <w:tcW w:w="1143" w:type="dxa"/>
            <w:tcBorders>
              <w:top w:val="nil"/>
              <w:left w:val="nil"/>
              <w:bottom w:val="nil"/>
              <w:right w:val="nil"/>
            </w:tcBorders>
            <w:shd w:val="clear" w:color="auto" w:fill="auto"/>
            <w:noWrap/>
            <w:vAlign w:val="bottom"/>
            <w:hideMark/>
          </w:tcPr>
          <w:p w14:paraId="51643F78"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0</w:t>
            </w:r>
          </w:p>
        </w:tc>
        <w:tc>
          <w:tcPr>
            <w:tcW w:w="970" w:type="dxa"/>
            <w:tcBorders>
              <w:top w:val="nil"/>
              <w:left w:val="nil"/>
              <w:bottom w:val="nil"/>
              <w:right w:val="single" w:sz="4" w:space="0" w:color="auto"/>
            </w:tcBorders>
            <w:shd w:val="clear" w:color="auto" w:fill="auto"/>
            <w:noWrap/>
            <w:vAlign w:val="bottom"/>
            <w:hideMark/>
          </w:tcPr>
          <w:p w14:paraId="0DE3BD28"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281</w:t>
            </w:r>
          </w:p>
        </w:tc>
      </w:tr>
      <w:tr w:rsidR="00257F2F" w:rsidRPr="00257F2F" w14:paraId="5C52F77F" w14:textId="77777777" w:rsidTr="00460FAE">
        <w:trPr>
          <w:trHeight w:val="290"/>
        </w:trPr>
        <w:tc>
          <w:tcPr>
            <w:tcW w:w="4442" w:type="dxa"/>
            <w:tcBorders>
              <w:top w:val="nil"/>
              <w:left w:val="single" w:sz="4" w:space="0" w:color="auto"/>
              <w:bottom w:val="nil"/>
              <w:right w:val="nil"/>
            </w:tcBorders>
            <w:shd w:val="clear" w:color="auto" w:fill="auto"/>
            <w:noWrap/>
            <w:vAlign w:val="bottom"/>
            <w:hideMark/>
          </w:tcPr>
          <w:p w14:paraId="45EF5E23"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Inquiry reserve</w:t>
            </w:r>
          </w:p>
        </w:tc>
        <w:tc>
          <w:tcPr>
            <w:tcW w:w="1082" w:type="dxa"/>
            <w:tcBorders>
              <w:top w:val="nil"/>
              <w:left w:val="nil"/>
              <w:bottom w:val="nil"/>
              <w:right w:val="nil"/>
            </w:tcBorders>
            <w:shd w:val="clear" w:color="auto" w:fill="auto"/>
            <w:noWrap/>
            <w:vAlign w:val="bottom"/>
            <w:hideMark/>
          </w:tcPr>
          <w:p w14:paraId="0AFB4A8C"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0</w:t>
            </w:r>
          </w:p>
        </w:tc>
        <w:tc>
          <w:tcPr>
            <w:tcW w:w="1112" w:type="dxa"/>
            <w:tcBorders>
              <w:top w:val="nil"/>
              <w:left w:val="nil"/>
              <w:bottom w:val="nil"/>
              <w:right w:val="nil"/>
            </w:tcBorders>
            <w:shd w:val="clear" w:color="auto" w:fill="auto"/>
            <w:noWrap/>
            <w:vAlign w:val="bottom"/>
            <w:hideMark/>
          </w:tcPr>
          <w:p w14:paraId="65678A90"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0</w:t>
            </w:r>
          </w:p>
        </w:tc>
        <w:tc>
          <w:tcPr>
            <w:tcW w:w="970" w:type="dxa"/>
            <w:tcBorders>
              <w:top w:val="nil"/>
              <w:left w:val="nil"/>
              <w:bottom w:val="nil"/>
              <w:right w:val="nil"/>
            </w:tcBorders>
            <w:shd w:val="clear" w:color="auto" w:fill="auto"/>
            <w:noWrap/>
            <w:vAlign w:val="bottom"/>
            <w:hideMark/>
          </w:tcPr>
          <w:p w14:paraId="503BAEDF"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0</w:t>
            </w:r>
          </w:p>
        </w:tc>
        <w:tc>
          <w:tcPr>
            <w:tcW w:w="1143" w:type="dxa"/>
            <w:tcBorders>
              <w:top w:val="nil"/>
              <w:left w:val="nil"/>
              <w:bottom w:val="nil"/>
              <w:right w:val="nil"/>
            </w:tcBorders>
            <w:shd w:val="clear" w:color="auto" w:fill="auto"/>
            <w:noWrap/>
            <w:vAlign w:val="bottom"/>
            <w:hideMark/>
          </w:tcPr>
          <w:p w14:paraId="1CB084D2"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15</w:t>
            </w:r>
          </w:p>
        </w:tc>
        <w:tc>
          <w:tcPr>
            <w:tcW w:w="970" w:type="dxa"/>
            <w:tcBorders>
              <w:top w:val="nil"/>
              <w:left w:val="nil"/>
              <w:bottom w:val="nil"/>
              <w:right w:val="single" w:sz="4" w:space="0" w:color="auto"/>
            </w:tcBorders>
            <w:shd w:val="clear" w:color="auto" w:fill="auto"/>
            <w:noWrap/>
            <w:vAlign w:val="bottom"/>
            <w:hideMark/>
          </w:tcPr>
          <w:p w14:paraId="3AE41DAB"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15</w:t>
            </w:r>
          </w:p>
        </w:tc>
      </w:tr>
      <w:tr w:rsidR="00257F2F" w:rsidRPr="00257F2F" w14:paraId="6BD7D021" w14:textId="77777777" w:rsidTr="00460FAE">
        <w:trPr>
          <w:trHeight w:val="290"/>
        </w:trPr>
        <w:tc>
          <w:tcPr>
            <w:tcW w:w="4442" w:type="dxa"/>
            <w:tcBorders>
              <w:top w:val="nil"/>
              <w:left w:val="single" w:sz="4" w:space="0" w:color="auto"/>
              <w:bottom w:val="nil"/>
              <w:right w:val="nil"/>
            </w:tcBorders>
            <w:shd w:val="clear" w:color="auto" w:fill="auto"/>
            <w:noWrap/>
            <w:vAlign w:val="bottom"/>
            <w:hideMark/>
          </w:tcPr>
          <w:p w14:paraId="75ED9CD3"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Partnership Priorities Reserve</w:t>
            </w:r>
          </w:p>
        </w:tc>
        <w:tc>
          <w:tcPr>
            <w:tcW w:w="1082" w:type="dxa"/>
            <w:tcBorders>
              <w:top w:val="nil"/>
              <w:left w:val="nil"/>
              <w:bottom w:val="nil"/>
              <w:right w:val="nil"/>
            </w:tcBorders>
            <w:shd w:val="clear" w:color="auto" w:fill="auto"/>
            <w:noWrap/>
            <w:vAlign w:val="bottom"/>
            <w:hideMark/>
          </w:tcPr>
          <w:p w14:paraId="37A634C0"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162</w:t>
            </w:r>
          </w:p>
        </w:tc>
        <w:tc>
          <w:tcPr>
            <w:tcW w:w="1112" w:type="dxa"/>
            <w:tcBorders>
              <w:top w:val="nil"/>
              <w:left w:val="nil"/>
              <w:bottom w:val="nil"/>
              <w:right w:val="nil"/>
            </w:tcBorders>
            <w:shd w:val="clear" w:color="auto" w:fill="auto"/>
            <w:noWrap/>
            <w:vAlign w:val="bottom"/>
            <w:hideMark/>
          </w:tcPr>
          <w:p w14:paraId="7E428B61"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-46</w:t>
            </w:r>
          </w:p>
        </w:tc>
        <w:tc>
          <w:tcPr>
            <w:tcW w:w="970" w:type="dxa"/>
            <w:tcBorders>
              <w:top w:val="nil"/>
              <w:left w:val="nil"/>
              <w:bottom w:val="nil"/>
              <w:right w:val="nil"/>
            </w:tcBorders>
            <w:shd w:val="clear" w:color="auto" w:fill="auto"/>
            <w:noWrap/>
            <w:vAlign w:val="bottom"/>
            <w:hideMark/>
          </w:tcPr>
          <w:p w14:paraId="59E9FC14"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116</w:t>
            </w:r>
          </w:p>
        </w:tc>
        <w:tc>
          <w:tcPr>
            <w:tcW w:w="1143" w:type="dxa"/>
            <w:tcBorders>
              <w:top w:val="nil"/>
              <w:left w:val="nil"/>
              <w:bottom w:val="nil"/>
              <w:right w:val="nil"/>
            </w:tcBorders>
            <w:shd w:val="clear" w:color="auto" w:fill="auto"/>
            <w:noWrap/>
            <w:vAlign w:val="bottom"/>
            <w:hideMark/>
          </w:tcPr>
          <w:p w14:paraId="00785E37"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136</w:t>
            </w:r>
          </w:p>
        </w:tc>
        <w:tc>
          <w:tcPr>
            <w:tcW w:w="970" w:type="dxa"/>
            <w:tcBorders>
              <w:top w:val="nil"/>
              <w:left w:val="nil"/>
              <w:bottom w:val="nil"/>
              <w:right w:val="single" w:sz="4" w:space="0" w:color="auto"/>
            </w:tcBorders>
            <w:shd w:val="clear" w:color="auto" w:fill="auto"/>
            <w:noWrap/>
            <w:vAlign w:val="bottom"/>
            <w:hideMark/>
          </w:tcPr>
          <w:p w14:paraId="24C31A61"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252</w:t>
            </w:r>
          </w:p>
        </w:tc>
      </w:tr>
      <w:tr w:rsidR="00257F2F" w:rsidRPr="00257F2F" w14:paraId="227F9849" w14:textId="77777777" w:rsidTr="00460FAE">
        <w:trPr>
          <w:trHeight w:val="290"/>
        </w:trPr>
        <w:tc>
          <w:tcPr>
            <w:tcW w:w="4442" w:type="dxa"/>
            <w:tcBorders>
              <w:top w:val="nil"/>
              <w:left w:val="single" w:sz="4" w:space="0" w:color="auto"/>
              <w:bottom w:val="nil"/>
              <w:right w:val="nil"/>
            </w:tcBorders>
            <w:shd w:val="clear" w:color="auto" w:fill="auto"/>
            <w:noWrap/>
            <w:vAlign w:val="bottom"/>
            <w:hideMark/>
          </w:tcPr>
          <w:p w14:paraId="515885F9"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Fix the Fells Reserve</w:t>
            </w:r>
          </w:p>
        </w:tc>
        <w:tc>
          <w:tcPr>
            <w:tcW w:w="1082" w:type="dxa"/>
            <w:tcBorders>
              <w:top w:val="nil"/>
              <w:left w:val="nil"/>
              <w:bottom w:val="nil"/>
              <w:right w:val="nil"/>
            </w:tcBorders>
            <w:shd w:val="clear" w:color="auto" w:fill="auto"/>
            <w:noWrap/>
            <w:vAlign w:val="bottom"/>
            <w:hideMark/>
          </w:tcPr>
          <w:p w14:paraId="4C188CFB"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194</w:t>
            </w:r>
          </w:p>
        </w:tc>
        <w:tc>
          <w:tcPr>
            <w:tcW w:w="1112" w:type="dxa"/>
            <w:tcBorders>
              <w:top w:val="nil"/>
              <w:left w:val="nil"/>
              <w:bottom w:val="nil"/>
              <w:right w:val="nil"/>
            </w:tcBorders>
            <w:shd w:val="clear" w:color="auto" w:fill="auto"/>
            <w:noWrap/>
            <w:vAlign w:val="bottom"/>
            <w:hideMark/>
          </w:tcPr>
          <w:p w14:paraId="64E545C2"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-28</w:t>
            </w:r>
          </w:p>
        </w:tc>
        <w:tc>
          <w:tcPr>
            <w:tcW w:w="970" w:type="dxa"/>
            <w:tcBorders>
              <w:top w:val="nil"/>
              <w:left w:val="nil"/>
              <w:bottom w:val="nil"/>
              <w:right w:val="nil"/>
            </w:tcBorders>
            <w:shd w:val="clear" w:color="auto" w:fill="auto"/>
            <w:noWrap/>
            <w:vAlign w:val="bottom"/>
            <w:hideMark/>
          </w:tcPr>
          <w:p w14:paraId="4AB215BE"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166</w:t>
            </w:r>
          </w:p>
        </w:tc>
        <w:tc>
          <w:tcPr>
            <w:tcW w:w="1143" w:type="dxa"/>
            <w:tcBorders>
              <w:top w:val="nil"/>
              <w:left w:val="nil"/>
              <w:bottom w:val="nil"/>
              <w:right w:val="nil"/>
            </w:tcBorders>
            <w:shd w:val="clear" w:color="auto" w:fill="auto"/>
            <w:noWrap/>
            <w:vAlign w:val="bottom"/>
            <w:hideMark/>
          </w:tcPr>
          <w:p w14:paraId="2CF8F3F0"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-128</w:t>
            </w:r>
          </w:p>
        </w:tc>
        <w:tc>
          <w:tcPr>
            <w:tcW w:w="970" w:type="dxa"/>
            <w:tcBorders>
              <w:top w:val="nil"/>
              <w:left w:val="nil"/>
              <w:bottom w:val="nil"/>
              <w:right w:val="single" w:sz="4" w:space="0" w:color="auto"/>
            </w:tcBorders>
            <w:shd w:val="clear" w:color="auto" w:fill="auto"/>
            <w:noWrap/>
            <w:vAlign w:val="bottom"/>
            <w:hideMark/>
          </w:tcPr>
          <w:p w14:paraId="65B316D3"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38</w:t>
            </w:r>
          </w:p>
        </w:tc>
      </w:tr>
      <w:tr w:rsidR="00257F2F" w:rsidRPr="00257F2F" w14:paraId="0A203FFF" w14:textId="77777777" w:rsidTr="00460FAE">
        <w:trPr>
          <w:trHeight w:val="290"/>
        </w:trPr>
        <w:tc>
          <w:tcPr>
            <w:tcW w:w="4442" w:type="dxa"/>
            <w:tcBorders>
              <w:top w:val="nil"/>
              <w:left w:val="single" w:sz="4" w:space="0" w:color="auto"/>
              <w:bottom w:val="nil"/>
              <w:right w:val="nil"/>
            </w:tcBorders>
            <w:shd w:val="clear" w:color="auto" w:fill="auto"/>
            <w:noWrap/>
            <w:vAlign w:val="bottom"/>
            <w:hideMark/>
          </w:tcPr>
          <w:p w14:paraId="1401F71F"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Post Contract Works Reserve</w:t>
            </w:r>
          </w:p>
        </w:tc>
        <w:tc>
          <w:tcPr>
            <w:tcW w:w="1082" w:type="dxa"/>
            <w:tcBorders>
              <w:top w:val="nil"/>
              <w:left w:val="nil"/>
              <w:bottom w:val="nil"/>
              <w:right w:val="nil"/>
            </w:tcBorders>
            <w:shd w:val="clear" w:color="auto" w:fill="auto"/>
            <w:noWrap/>
            <w:vAlign w:val="bottom"/>
            <w:hideMark/>
          </w:tcPr>
          <w:p w14:paraId="2A72287F"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17</w:t>
            </w:r>
          </w:p>
        </w:tc>
        <w:tc>
          <w:tcPr>
            <w:tcW w:w="1112" w:type="dxa"/>
            <w:tcBorders>
              <w:top w:val="nil"/>
              <w:left w:val="nil"/>
              <w:bottom w:val="nil"/>
              <w:right w:val="nil"/>
            </w:tcBorders>
            <w:shd w:val="clear" w:color="auto" w:fill="auto"/>
            <w:noWrap/>
            <w:vAlign w:val="bottom"/>
            <w:hideMark/>
          </w:tcPr>
          <w:p w14:paraId="78884781"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-17</w:t>
            </w:r>
          </w:p>
        </w:tc>
        <w:tc>
          <w:tcPr>
            <w:tcW w:w="970" w:type="dxa"/>
            <w:tcBorders>
              <w:top w:val="nil"/>
              <w:left w:val="nil"/>
              <w:bottom w:val="nil"/>
              <w:right w:val="nil"/>
            </w:tcBorders>
            <w:shd w:val="clear" w:color="auto" w:fill="auto"/>
            <w:noWrap/>
            <w:vAlign w:val="bottom"/>
            <w:hideMark/>
          </w:tcPr>
          <w:p w14:paraId="1F2C28FC"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0</w:t>
            </w:r>
          </w:p>
        </w:tc>
        <w:tc>
          <w:tcPr>
            <w:tcW w:w="1143" w:type="dxa"/>
            <w:tcBorders>
              <w:top w:val="nil"/>
              <w:left w:val="nil"/>
              <w:bottom w:val="nil"/>
              <w:right w:val="nil"/>
            </w:tcBorders>
            <w:shd w:val="clear" w:color="auto" w:fill="auto"/>
            <w:noWrap/>
            <w:vAlign w:val="bottom"/>
            <w:hideMark/>
          </w:tcPr>
          <w:p w14:paraId="7C2D0E9B"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0</w:t>
            </w:r>
          </w:p>
        </w:tc>
        <w:tc>
          <w:tcPr>
            <w:tcW w:w="970" w:type="dxa"/>
            <w:tcBorders>
              <w:top w:val="nil"/>
              <w:left w:val="nil"/>
              <w:bottom w:val="nil"/>
              <w:right w:val="single" w:sz="4" w:space="0" w:color="auto"/>
            </w:tcBorders>
            <w:shd w:val="clear" w:color="auto" w:fill="auto"/>
            <w:noWrap/>
            <w:vAlign w:val="bottom"/>
            <w:hideMark/>
          </w:tcPr>
          <w:p w14:paraId="67963FF3"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0</w:t>
            </w:r>
          </w:p>
        </w:tc>
      </w:tr>
      <w:tr w:rsidR="00257F2F" w:rsidRPr="00257F2F" w14:paraId="4FF9E769" w14:textId="77777777" w:rsidTr="00460FAE">
        <w:trPr>
          <w:trHeight w:val="320"/>
        </w:trPr>
        <w:tc>
          <w:tcPr>
            <w:tcW w:w="4442" w:type="dxa"/>
            <w:tcBorders>
              <w:top w:val="nil"/>
              <w:left w:val="single" w:sz="4" w:space="0" w:color="auto"/>
              <w:bottom w:val="nil"/>
              <w:right w:val="nil"/>
            </w:tcBorders>
            <w:shd w:val="clear" w:color="auto" w:fill="auto"/>
            <w:noWrap/>
            <w:vAlign w:val="bottom"/>
            <w:hideMark/>
          </w:tcPr>
          <w:p w14:paraId="1243D0A3"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Public Rights of Way Reserve</w:t>
            </w:r>
          </w:p>
        </w:tc>
        <w:tc>
          <w:tcPr>
            <w:tcW w:w="1082" w:type="dxa"/>
            <w:tcBorders>
              <w:top w:val="nil"/>
              <w:left w:val="nil"/>
              <w:bottom w:val="nil"/>
              <w:right w:val="nil"/>
            </w:tcBorders>
            <w:shd w:val="clear" w:color="auto" w:fill="auto"/>
            <w:noWrap/>
            <w:vAlign w:val="bottom"/>
            <w:hideMark/>
          </w:tcPr>
          <w:p w14:paraId="4EA7BD21"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112</w:t>
            </w:r>
          </w:p>
        </w:tc>
        <w:tc>
          <w:tcPr>
            <w:tcW w:w="1112" w:type="dxa"/>
            <w:tcBorders>
              <w:top w:val="nil"/>
              <w:left w:val="nil"/>
              <w:bottom w:val="nil"/>
              <w:right w:val="nil"/>
            </w:tcBorders>
            <w:shd w:val="clear" w:color="auto" w:fill="auto"/>
            <w:noWrap/>
            <w:vAlign w:val="bottom"/>
            <w:hideMark/>
          </w:tcPr>
          <w:p w14:paraId="140F7282"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-25</w:t>
            </w:r>
          </w:p>
        </w:tc>
        <w:tc>
          <w:tcPr>
            <w:tcW w:w="970" w:type="dxa"/>
            <w:tcBorders>
              <w:top w:val="nil"/>
              <w:left w:val="nil"/>
              <w:bottom w:val="nil"/>
              <w:right w:val="nil"/>
            </w:tcBorders>
            <w:shd w:val="clear" w:color="auto" w:fill="auto"/>
            <w:noWrap/>
            <w:vAlign w:val="bottom"/>
            <w:hideMark/>
          </w:tcPr>
          <w:p w14:paraId="2FA89EB3"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87</w:t>
            </w:r>
          </w:p>
        </w:tc>
        <w:tc>
          <w:tcPr>
            <w:tcW w:w="1143" w:type="dxa"/>
            <w:tcBorders>
              <w:top w:val="nil"/>
              <w:left w:val="nil"/>
              <w:bottom w:val="nil"/>
              <w:right w:val="nil"/>
            </w:tcBorders>
            <w:shd w:val="clear" w:color="auto" w:fill="auto"/>
            <w:noWrap/>
            <w:vAlign w:val="bottom"/>
            <w:hideMark/>
          </w:tcPr>
          <w:p w14:paraId="72DCF8B7"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-40</w:t>
            </w:r>
          </w:p>
        </w:tc>
        <w:tc>
          <w:tcPr>
            <w:tcW w:w="970" w:type="dxa"/>
            <w:tcBorders>
              <w:top w:val="nil"/>
              <w:left w:val="nil"/>
              <w:bottom w:val="nil"/>
              <w:right w:val="single" w:sz="4" w:space="0" w:color="auto"/>
            </w:tcBorders>
            <w:shd w:val="clear" w:color="auto" w:fill="auto"/>
            <w:noWrap/>
            <w:vAlign w:val="bottom"/>
            <w:hideMark/>
          </w:tcPr>
          <w:p w14:paraId="223E6D75"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47</w:t>
            </w:r>
          </w:p>
        </w:tc>
      </w:tr>
      <w:tr w:rsidR="00257F2F" w:rsidRPr="00257F2F" w14:paraId="53B84627" w14:textId="77777777" w:rsidTr="00460FAE">
        <w:trPr>
          <w:trHeight w:val="290"/>
        </w:trPr>
        <w:tc>
          <w:tcPr>
            <w:tcW w:w="4442" w:type="dxa"/>
            <w:tcBorders>
              <w:top w:val="nil"/>
              <w:left w:val="single" w:sz="4" w:space="0" w:color="auto"/>
              <w:bottom w:val="nil"/>
              <w:right w:val="nil"/>
            </w:tcBorders>
            <w:shd w:val="clear" w:color="auto" w:fill="auto"/>
            <w:noWrap/>
            <w:vAlign w:val="bottom"/>
            <w:hideMark/>
          </w:tcPr>
          <w:p w14:paraId="412F930B"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Planning Fee Increase Reserve</w:t>
            </w:r>
          </w:p>
        </w:tc>
        <w:tc>
          <w:tcPr>
            <w:tcW w:w="1082" w:type="dxa"/>
            <w:tcBorders>
              <w:top w:val="nil"/>
              <w:left w:val="nil"/>
              <w:bottom w:val="nil"/>
              <w:right w:val="nil"/>
            </w:tcBorders>
            <w:shd w:val="clear" w:color="auto" w:fill="auto"/>
            <w:noWrap/>
            <w:vAlign w:val="bottom"/>
            <w:hideMark/>
          </w:tcPr>
          <w:p w14:paraId="5928D60D"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157</w:t>
            </w:r>
          </w:p>
        </w:tc>
        <w:tc>
          <w:tcPr>
            <w:tcW w:w="1112" w:type="dxa"/>
            <w:tcBorders>
              <w:top w:val="nil"/>
              <w:left w:val="nil"/>
              <w:bottom w:val="nil"/>
              <w:right w:val="nil"/>
            </w:tcBorders>
            <w:shd w:val="clear" w:color="auto" w:fill="auto"/>
            <w:noWrap/>
            <w:vAlign w:val="bottom"/>
            <w:hideMark/>
          </w:tcPr>
          <w:p w14:paraId="0EA88E63"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44</w:t>
            </w:r>
          </w:p>
        </w:tc>
        <w:tc>
          <w:tcPr>
            <w:tcW w:w="970" w:type="dxa"/>
            <w:tcBorders>
              <w:top w:val="nil"/>
              <w:left w:val="nil"/>
              <w:bottom w:val="nil"/>
              <w:right w:val="nil"/>
            </w:tcBorders>
            <w:shd w:val="clear" w:color="auto" w:fill="auto"/>
            <w:noWrap/>
            <w:vAlign w:val="bottom"/>
            <w:hideMark/>
          </w:tcPr>
          <w:p w14:paraId="736B2163"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201</w:t>
            </w:r>
          </w:p>
        </w:tc>
        <w:tc>
          <w:tcPr>
            <w:tcW w:w="1143" w:type="dxa"/>
            <w:tcBorders>
              <w:top w:val="nil"/>
              <w:left w:val="nil"/>
              <w:bottom w:val="nil"/>
              <w:right w:val="nil"/>
            </w:tcBorders>
            <w:shd w:val="clear" w:color="auto" w:fill="auto"/>
            <w:noWrap/>
            <w:vAlign w:val="bottom"/>
            <w:hideMark/>
          </w:tcPr>
          <w:p w14:paraId="6FECC05C"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-175</w:t>
            </w:r>
          </w:p>
        </w:tc>
        <w:tc>
          <w:tcPr>
            <w:tcW w:w="970" w:type="dxa"/>
            <w:tcBorders>
              <w:top w:val="nil"/>
              <w:left w:val="nil"/>
              <w:bottom w:val="nil"/>
              <w:right w:val="single" w:sz="4" w:space="0" w:color="auto"/>
            </w:tcBorders>
            <w:shd w:val="clear" w:color="auto" w:fill="auto"/>
            <w:noWrap/>
            <w:vAlign w:val="bottom"/>
            <w:hideMark/>
          </w:tcPr>
          <w:p w14:paraId="689C6AC0"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26</w:t>
            </w:r>
          </w:p>
        </w:tc>
      </w:tr>
      <w:tr w:rsidR="00257F2F" w:rsidRPr="00257F2F" w14:paraId="1ACA2A45" w14:textId="77777777" w:rsidTr="00460FAE">
        <w:trPr>
          <w:trHeight w:val="290"/>
        </w:trPr>
        <w:tc>
          <w:tcPr>
            <w:tcW w:w="4442" w:type="dxa"/>
            <w:tcBorders>
              <w:top w:val="nil"/>
              <w:left w:val="single" w:sz="4" w:space="0" w:color="auto"/>
              <w:bottom w:val="nil"/>
              <w:right w:val="nil"/>
            </w:tcBorders>
            <w:shd w:val="clear" w:color="auto" w:fill="auto"/>
            <w:noWrap/>
            <w:vAlign w:val="bottom"/>
            <w:hideMark/>
          </w:tcPr>
          <w:p w14:paraId="5F68306A"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Planning Interim Support Reserve</w:t>
            </w:r>
          </w:p>
        </w:tc>
        <w:tc>
          <w:tcPr>
            <w:tcW w:w="1082" w:type="dxa"/>
            <w:tcBorders>
              <w:top w:val="nil"/>
              <w:left w:val="nil"/>
              <w:bottom w:val="nil"/>
              <w:right w:val="nil"/>
            </w:tcBorders>
            <w:shd w:val="clear" w:color="auto" w:fill="auto"/>
            <w:noWrap/>
            <w:vAlign w:val="bottom"/>
            <w:hideMark/>
          </w:tcPr>
          <w:p w14:paraId="3B164214" w14:textId="77777777" w:rsidR="00257F2F" w:rsidRPr="00257F2F" w:rsidRDefault="00257F2F" w:rsidP="00257F2F">
            <w:pPr>
              <w:rPr>
                <w:rFonts w:cs="Arial"/>
                <w:color w:val="000000"/>
                <w:sz w:val="20"/>
                <w:szCs w:val="20"/>
                <w:lang w:eastAsia="en-GB"/>
              </w:rPr>
            </w:pPr>
          </w:p>
        </w:tc>
        <w:tc>
          <w:tcPr>
            <w:tcW w:w="1112" w:type="dxa"/>
            <w:tcBorders>
              <w:top w:val="nil"/>
              <w:left w:val="nil"/>
              <w:bottom w:val="nil"/>
              <w:right w:val="nil"/>
            </w:tcBorders>
            <w:shd w:val="clear" w:color="auto" w:fill="auto"/>
            <w:noWrap/>
            <w:vAlign w:val="bottom"/>
            <w:hideMark/>
          </w:tcPr>
          <w:p w14:paraId="5FF1BE7F" w14:textId="77777777" w:rsidR="00257F2F" w:rsidRPr="00257F2F" w:rsidRDefault="00257F2F" w:rsidP="00257F2F">
            <w:pPr>
              <w:rPr>
                <w:rFonts w:ascii="Times New Roman" w:hAnsi="Times New Roman"/>
                <w:sz w:val="20"/>
                <w:szCs w:val="20"/>
                <w:lang w:eastAsia="en-GB"/>
              </w:rPr>
            </w:pPr>
          </w:p>
        </w:tc>
        <w:tc>
          <w:tcPr>
            <w:tcW w:w="970" w:type="dxa"/>
            <w:tcBorders>
              <w:top w:val="nil"/>
              <w:left w:val="nil"/>
              <w:bottom w:val="nil"/>
              <w:right w:val="nil"/>
            </w:tcBorders>
            <w:shd w:val="clear" w:color="auto" w:fill="auto"/>
            <w:noWrap/>
            <w:vAlign w:val="bottom"/>
            <w:hideMark/>
          </w:tcPr>
          <w:p w14:paraId="5826080B"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0</w:t>
            </w:r>
          </w:p>
        </w:tc>
        <w:tc>
          <w:tcPr>
            <w:tcW w:w="1143" w:type="dxa"/>
            <w:tcBorders>
              <w:top w:val="nil"/>
              <w:left w:val="nil"/>
              <w:bottom w:val="nil"/>
              <w:right w:val="nil"/>
            </w:tcBorders>
            <w:shd w:val="clear" w:color="auto" w:fill="auto"/>
            <w:noWrap/>
            <w:vAlign w:val="bottom"/>
            <w:hideMark/>
          </w:tcPr>
          <w:p w14:paraId="460F7C24"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106</w:t>
            </w:r>
          </w:p>
        </w:tc>
        <w:tc>
          <w:tcPr>
            <w:tcW w:w="970" w:type="dxa"/>
            <w:tcBorders>
              <w:top w:val="nil"/>
              <w:left w:val="nil"/>
              <w:bottom w:val="nil"/>
              <w:right w:val="single" w:sz="4" w:space="0" w:color="auto"/>
            </w:tcBorders>
            <w:shd w:val="clear" w:color="auto" w:fill="auto"/>
            <w:noWrap/>
            <w:vAlign w:val="bottom"/>
            <w:hideMark/>
          </w:tcPr>
          <w:p w14:paraId="5B1A4B5E"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106</w:t>
            </w:r>
          </w:p>
        </w:tc>
      </w:tr>
      <w:tr w:rsidR="00257F2F" w:rsidRPr="00257F2F" w14:paraId="7EF6DD34" w14:textId="77777777" w:rsidTr="00460FAE">
        <w:trPr>
          <w:trHeight w:val="320"/>
        </w:trPr>
        <w:tc>
          <w:tcPr>
            <w:tcW w:w="4442" w:type="dxa"/>
            <w:tcBorders>
              <w:top w:val="nil"/>
              <w:left w:val="single" w:sz="4" w:space="0" w:color="auto"/>
              <w:bottom w:val="nil"/>
              <w:right w:val="nil"/>
            </w:tcBorders>
            <w:shd w:val="clear" w:color="auto" w:fill="auto"/>
            <w:noWrap/>
            <w:vAlign w:val="bottom"/>
            <w:hideMark/>
          </w:tcPr>
          <w:p w14:paraId="58C459BA"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National Parks Portal Reserve</w:t>
            </w:r>
          </w:p>
        </w:tc>
        <w:tc>
          <w:tcPr>
            <w:tcW w:w="1082" w:type="dxa"/>
            <w:tcBorders>
              <w:top w:val="nil"/>
              <w:left w:val="nil"/>
              <w:bottom w:val="nil"/>
              <w:right w:val="nil"/>
            </w:tcBorders>
            <w:shd w:val="clear" w:color="auto" w:fill="auto"/>
            <w:noWrap/>
            <w:vAlign w:val="bottom"/>
            <w:hideMark/>
          </w:tcPr>
          <w:p w14:paraId="7FB32B67"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36</w:t>
            </w:r>
          </w:p>
        </w:tc>
        <w:tc>
          <w:tcPr>
            <w:tcW w:w="1112" w:type="dxa"/>
            <w:tcBorders>
              <w:top w:val="nil"/>
              <w:left w:val="nil"/>
              <w:bottom w:val="nil"/>
              <w:right w:val="nil"/>
            </w:tcBorders>
            <w:shd w:val="clear" w:color="auto" w:fill="auto"/>
            <w:noWrap/>
            <w:vAlign w:val="bottom"/>
            <w:hideMark/>
          </w:tcPr>
          <w:p w14:paraId="179511C5"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-12</w:t>
            </w:r>
          </w:p>
        </w:tc>
        <w:tc>
          <w:tcPr>
            <w:tcW w:w="970" w:type="dxa"/>
            <w:tcBorders>
              <w:top w:val="nil"/>
              <w:left w:val="nil"/>
              <w:bottom w:val="nil"/>
              <w:right w:val="nil"/>
            </w:tcBorders>
            <w:shd w:val="clear" w:color="auto" w:fill="auto"/>
            <w:noWrap/>
            <w:vAlign w:val="bottom"/>
            <w:hideMark/>
          </w:tcPr>
          <w:p w14:paraId="4CD77614"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24</w:t>
            </w:r>
          </w:p>
        </w:tc>
        <w:tc>
          <w:tcPr>
            <w:tcW w:w="1143" w:type="dxa"/>
            <w:tcBorders>
              <w:top w:val="nil"/>
              <w:left w:val="nil"/>
              <w:bottom w:val="nil"/>
              <w:right w:val="nil"/>
            </w:tcBorders>
            <w:shd w:val="clear" w:color="auto" w:fill="auto"/>
            <w:noWrap/>
            <w:vAlign w:val="bottom"/>
            <w:hideMark/>
          </w:tcPr>
          <w:p w14:paraId="00D9A9FF"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-5</w:t>
            </w:r>
          </w:p>
        </w:tc>
        <w:tc>
          <w:tcPr>
            <w:tcW w:w="970" w:type="dxa"/>
            <w:tcBorders>
              <w:top w:val="nil"/>
              <w:left w:val="nil"/>
              <w:bottom w:val="nil"/>
              <w:right w:val="single" w:sz="4" w:space="0" w:color="auto"/>
            </w:tcBorders>
            <w:shd w:val="clear" w:color="auto" w:fill="auto"/>
            <w:noWrap/>
            <w:vAlign w:val="bottom"/>
            <w:hideMark/>
          </w:tcPr>
          <w:p w14:paraId="395B4F1D"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19</w:t>
            </w:r>
          </w:p>
        </w:tc>
      </w:tr>
      <w:tr w:rsidR="00257F2F" w:rsidRPr="00257F2F" w14:paraId="2F805B1C" w14:textId="77777777" w:rsidTr="00460FAE">
        <w:trPr>
          <w:trHeight w:val="290"/>
        </w:trPr>
        <w:tc>
          <w:tcPr>
            <w:tcW w:w="4442" w:type="dxa"/>
            <w:tcBorders>
              <w:top w:val="nil"/>
              <w:left w:val="single" w:sz="4" w:space="0" w:color="auto"/>
              <w:bottom w:val="nil"/>
              <w:right w:val="nil"/>
            </w:tcBorders>
            <w:shd w:val="clear" w:color="auto" w:fill="auto"/>
            <w:noWrap/>
            <w:vAlign w:val="bottom"/>
            <w:hideMark/>
          </w:tcPr>
          <w:p w14:paraId="5F911F1B"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Farming in Protected Landscapes</w:t>
            </w:r>
          </w:p>
        </w:tc>
        <w:tc>
          <w:tcPr>
            <w:tcW w:w="1082" w:type="dxa"/>
            <w:tcBorders>
              <w:top w:val="nil"/>
              <w:left w:val="nil"/>
              <w:bottom w:val="nil"/>
              <w:right w:val="nil"/>
            </w:tcBorders>
            <w:shd w:val="clear" w:color="auto" w:fill="auto"/>
            <w:noWrap/>
            <w:vAlign w:val="bottom"/>
            <w:hideMark/>
          </w:tcPr>
          <w:p w14:paraId="5D633B87"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0</w:t>
            </w:r>
          </w:p>
        </w:tc>
        <w:tc>
          <w:tcPr>
            <w:tcW w:w="1112" w:type="dxa"/>
            <w:tcBorders>
              <w:top w:val="nil"/>
              <w:left w:val="nil"/>
              <w:bottom w:val="nil"/>
              <w:right w:val="nil"/>
            </w:tcBorders>
            <w:shd w:val="clear" w:color="auto" w:fill="auto"/>
            <w:noWrap/>
            <w:vAlign w:val="bottom"/>
            <w:hideMark/>
          </w:tcPr>
          <w:p w14:paraId="42EF9963"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44</w:t>
            </w:r>
          </w:p>
        </w:tc>
        <w:tc>
          <w:tcPr>
            <w:tcW w:w="970" w:type="dxa"/>
            <w:tcBorders>
              <w:top w:val="nil"/>
              <w:left w:val="nil"/>
              <w:bottom w:val="nil"/>
              <w:right w:val="nil"/>
            </w:tcBorders>
            <w:shd w:val="clear" w:color="auto" w:fill="auto"/>
            <w:noWrap/>
            <w:vAlign w:val="bottom"/>
            <w:hideMark/>
          </w:tcPr>
          <w:p w14:paraId="7CDC41A7"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44</w:t>
            </w:r>
          </w:p>
        </w:tc>
        <w:tc>
          <w:tcPr>
            <w:tcW w:w="1143" w:type="dxa"/>
            <w:tcBorders>
              <w:top w:val="nil"/>
              <w:left w:val="nil"/>
              <w:bottom w:val="nil"/>
              <w:right w:val="nil"/>
            </w:tcBorders>
            <w:shd w:val="clear" w:color="auto" w:fill="auto"/>
            <w:noWrap/>
            <w:vAlign w:val="bottom"/>
            <w:hideMark/>
          </w:tcPr>
          <w:p w14:paraId="28CFA9F1"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7</w:t>
            </w:r>
          </w:p>
        </w:tc>
        <w:tc>
          <w:tcPr>
            <w:tcW w:w="970" w:type="dxa"/>
            <w:tcBorders>
              <w:top w:val="nil"/>
              <w:left w:val="nil"/>
              <w:bottom w:val="nil"/>
              <w:right w:val="single" w:sz="4" w:space="0" w:color="auto"/>
            </w:tcBorders>
            <w:shd w:val="clear" w:color="auto" w:fill="auto"/>
            <w:noWrap/>
            <w:vAlign w:val="bottom"/>
            <w:hideMark/>
          </w:tcPr>
          <w:p w14:paraId="41B74935"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51</w:t>
            </w:r>
          </w:p>
        </w:tc>
      </w:tr>
      <w:tr w:rsidR="00257F2F" w:rsidRPr="00257F2F" w14:paraId="562E7312" w14:textId="77777777" w:rsidTr="00460FAE">
        <w:trPr>
          <w:trHeight w:val="290"/>
        </w:trPr>
        <w:tc>
          <w:tcPr>
            <w:tcW w:w="4442" w:type="dxa"/>
            <w:tcBorders>
              <w:top w:val="nil"/>
              <w:left w:val="single" w:sz="4" w:space="0" w:color="auto"/>
              <w:bottom w:val="nil"/>
              <w:right w:val="nil"/>
            </w:tcBorders>
            <w:shd w:val="clear" w:color="auto" w:fill="auto"/>
            <w:noWrap/>
            <w:vAlign w:val="bottom"/>
            <w:hideMark/>
          </w:tcPr>
          <w:p w14:paraId="6A340761"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Visitor Services Trading</w:t>
            </w:r>
          </w:p>
        </w:tc>
        <w:tc>
          <w:tcPr>
            <w:tcW w:w="1082" w:type="dxa"/>
            <w:tcBorders>
              <w:top w:val="nil"/>
              <w:left w:val="nil"/>
              <w:bottom w:val="nil"/>
              <w:right w:val="nil"/>
            </w:tcBorders>
            <w:shd w:val="clear" w:color="auto" w:fill="auto"/>
            <w:noWrap/>
            <w:vAlign w:val="bottom"/>
            <w:hideMark/>
          </w:tcPr>
          <w:p w14:paraId="690BF5A5"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0</w:t>
            </w:r>
          </w:p>
        </w:tc>
        <w:tc>
          <w:tcPr>
            <w:tcW w:w="1112" w:type="dxa"/>
            <w:tcBorders>
              <w:top w:val="nil"/>
              <w:left w:val="nil"/>
              <w:bottom w:val="nil"/>
              <w:right w:val="nil"/>
            </w:tcBorders>
            <w:shd w:val="clear" w:color="auto" w:fill="auto"/>
            <w:noWrap/>
            <w:vAlign w:val="bottom"/>
            <w:hideMark/>
          </w:tcPr>
          <w:p w14:paraId="0ADB99E1"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500</w:t>
            </w:r>
          </w:p>
        </w:tc>
        <w:tc>
          <w:tcPr>
            <w:tcW w:w="970" w:type="dxa"/>
            <w:tcBorders>
              <w:top w:val="nil"/>
              <w:left w:val="nil"/>
              <w:bottom w:val="nil"/>
              <w:right w:val="nil"/>
            </w:tcBorders>
            <w:shd w:val="clear" w:color="auto" w:fill="auto"/>
            <w:noWrap/>
            <w:vAlign w:val="bottom"/>
            <w:hideMark/>
          </w:tcPr>
          <w:p w14:paraId="25AB0589"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500</w:t>
            </w:r>
          </w:p>
        </w:tc>
        <w:tc>
          <w:tcPr>
            <w:tcW w:w="1143" w:type="dxa"/>
            <w:tcBorders>
              <w:top w:val="nil"/>
              <w:left w:val="nil"/>
              <w:bottom w:val="nil"/>
              <w:right w:val="nil"/>
            </w:tcBorders>
            <w:shd w:val="clear" w:color="auto" w:fill="auto"/>
            <w:noWrap/>
            <w:vAlign w:val="bottom"/>
            <w:hideMark/>
          </w:tcPr>
          <w:p w14:paraId="2D002679"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-249</w:t>
            </w:r>
          </w:p>
        </w:tc>
        <w:tc>
          <w:tcPr>
            <w:tcW w:w="970" w:type="dxa"/>
            <w:tcBorders>
              <w:top w:val="nil"/>
              <w:left w:val="nil"/>
              <w:bottom w:val="nil"/>
              <w:right w:val="single" w:sz="4" w:space="0" w:color="auto"/>
            </w:tcBorders>
            <w:shd w:val="clear" w:color="auto" w:fill="auto"/>
            <w:noWrap/>
            <w:vAlign w:val="bottom"/>
            <w:hideMark/>
          </w:tcPr>
          <w:p w14:paraId="79D0B14B"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251</w:t>
            </w:r>
          </w:p>
        </w:tc>
      </w:tr>
      <w:tr w:rsidR="00257F2F" w:rsidRPr="00257F2F" w14:paraId="550A4F55" w14:textId="77777777" w:rsidTr="00460FAE">
        <w:trPr>
          <w:trHeight w:val="290"/>
        </w:trPr>
        <w:tc>
          <w:tcPr>
            <w:tcW w:w="4442" w:type="dxa"/>
            <w:tcBorders>
              <w:top w:val="single" w:sz="4" w:space="0" w:color="auto"/>
              <w:left w:val="single" w:sz="4" w:space="0" w:color="auto"/>
              <w:bottom w:val="nil"/>
              <w:right w:val="nil"/>
            </w:tcBorders>
            <w:shd w:val="clear" w:color="auto" w:fill="auto"/>
            <w:noWrap/>
            <w:vAlign w:val="bottom"/>
            <w:hideMark/>
          </w:tcPr>
          <w:p w14:paraId="4F0157E0" w14:textId="77777777" w:rsidR="00257F2F" w:rsidRPr="00257F2F" w:rsidRDefault="00257F2F" w:rsidP="00257F2F">
            <w:pPr>
              <w:rPr>
                <w:rFonts w:cs="Arial"/>
                <w:b/>
                <w:bCs/>
                <w:color w:val="000000"/>
                <w:sz w:val="20"/>
                <w:szCs w:val="20"/>
                <w:lang w:eastAsia="en-GB"/>
              </w:rPr>
            </w:pPr>
            <w:r w:rsidRPr="00257F2F">
              <w:rPr>
                <w:rFonts w:cs="Arial"/>
                <w:b/>
                <w:bCs/>
                <w:color w:val="000000"/>
                <w:sz w:val="20"/>
                <w:szCs w:val="20"/>
                <w:lang w:eastAsia="en-GB"/>
              </w:rPr>
              <w:t>Total Earmarked Reserves</w:t>
            </w:r>
          </w:p>
        </w:tc>
        <w:tc>
          <w:tcPr>
            <w:tcW w:w="1082" w:type="dxa"/>
            <w:tcBorders>
              <w:top w:val="single" w:sz="4" w:space="0" w:color="auto"/>
              <w:left w:val="nil"/>
              <w:bottom w:val="nil"/>
              <w:right w:val="nil"/>
            </w:tcBorders>
            <w:shd w:val="clear" w:color="auto" w:fill="auto"/>
            <w:noWrap/>
            <w:vAlign w:val="bottom"/>
            <w:hideMark/>
          </w:tcPr>
          <w:p w14:paraId="0194FA28" w14:textId="77777777" w:rsidR="00257F2F" w:rsidRPr="00257F2F" w:rsidRDefault="00257F2F" w:rsidP="00257F2F">
            <w:pPr>
              <w:jc w:val="right"/>
              <w:rPr>
                <w:rFonts w:cs="Arial"/>
                <w:b/>
                <w:bCs/>
                <w:color w:val="000000"/>
                <w:sz w:val="20"/>
                <w:szCs w:val="20"/>
                <w:lang w:eastAsia="en-GB"/>
              </w:rPr>
            </w:pPr>
            <w:r w:rsidRPr="00257F2F">
              <w:rPr>
                <w:rFonts w:cs="Arial"/>
                <w:b/>
                <w:bCs/>
                <w:color w:val="000000"/>
                <w:sz w:val="20"/>
                <w:szCs w:val="20"/>
                <w:lang w:eastAsia="en-GB"/>
              </w:rPr>
              <w:t>1,519</w:t>
            </w:r>
          </w:p>
        </w:tc>
        <w:tc>
          <w:tcPr>
            <w:tcW w:w="1112" w:type="dxa"/>
            <w:tcBorders>
              <w:top w:val="single" w:sz="4" w:space="0" w:color="auto"/>
              <w:left w:val="nil"/>
              <w:bottom w:val="nil"/>
              <w:right w:val="nil"/>
            </w:tcBorders>
            <w:shd w:val="clear" w:color="auto" w:fill="auto"/>
            <w:noWrap/>
            <w:vAlign w:val="bottom"/>
            <w:hideMark/>
          </w:tcPr>
          <w:p w14:paraId="4B4D7279" w14:textId="77777777" w:rsidR="00257F2F" w:rsidRPr="00257F2F" w:rsidRDefault="00257F2F" w:rsidP="00257F2F">
            <w:pPr>
              <w:jc w:val="right"/>
              <w:rPr>
                <w:rFonts w:cs="Arial"/>
                <w:b/>
                <w:bCs/>
                <w:color w:val="000000"/>
                <w:sz w:val="20"/>
                <w:szCs w:val="20"/>
                <w:lang w:eastAsia="en-GB"/>
              </w:rPr>
            </w:pPr>
            <w:r w:rsidRPr="00257F2F">
              <w:rPr>
                <w:rFonts w:cs="Arial"/>
                <w:b/>
                <w:bCs/>
                <w:color w:val="000000"/>
                <w:sz w:val="20"/>
                <w:szCs w:val="20"/>
                <w:lang w:eastAsia="en-GB"/>
              </w:rPr>
              <w:t>757</w:t>
            </w:r>
          </w:p>
        </w:tc>
        <w:tc>
          <w:tcPr>
            <w:tcW w:w="970" w:type="dxa"/>
            <w:tcBorders>
              <w:top w:val="single" w:sz="4" w:space="0" w:color="auto"/>
              <w:left w:val="nil"/>
              <w:bottom w:val="nil"/>
              <w:right w:val="nil"/>
            </w:tcBorders>
            <w:shd w:val="clear" w:color="auto" w:fill="auto"/>
            <w:noWrap/>
            <w:vAlign w:val="bottom"/>
            <w:hideMark/>
          </w:tcPr>
          <w:p w14:paraId="752D70A9" w14:textId="77777777" w:rsidR="00257F2F" w:rsidRPr="00257F2F" w:rsidRDefault="00257F2F" w:rsidP="00257F2F">
            <w:pPr>
              <w:jc w:val="right"/>
              <w:rPr>
                <w:rFonts w:cs="Arial"/>
                <w:b/>
                <w:bCs/>
                <w:color w:val="000000"/>
                <w:sz w:val="20"/>
                <w:szCs w:val="20"/>
                <w:lang w:eastAsia="en-GB"/>
              </w:rPr>
            </w:pPr>
            <w:r w:rsidRPr="00257F2F">
              <w:rPr>
                <w:rFonts w:cs="Arial"/>
                <w:b/>
                <w:bCs/>
                <w:color w:val="000000"/>
                <w:sz w:val="20"/>
                <w:szCs w:val="20"/>
                <w:lang w:eastAsia="en-GB"/>
              </w:rPr>
              <w:t>2,276</w:t>
            </w:r>
          </w:p>
        </w:tc>
        <w:tc>
          <w:tcPr>
            <w:tcW w:w="1143" w:type="dxa"/>
            <w:tcBorders>
              <w:top w:val="single" w:sz="4" w:space="0" w:color="auto"/>
              <w:left w:val="nil"/>
              <w:bottom w:val="nil"/>
              <w:right w:val="nil"/>
            </w:tcBorders>
            <w:shd w:val="clear" w:color="auto" w:fill="auto"/>
            <w:noWrap/>
            <w:vAlign w:val="bottom"/>
            <w:hideMark/>
          </w:tcPr>
          <w:p w14:paraId="6B47ED7E" w14:textId="77777777" w:rsidR="00257F2F" w:rsidRPr="00257F2F" w:rsidRDefault="00257F2F" w:rsidP="00257F2F">
            <w:pPr>
              <w:jc w:val="right"/>
              <w:rPr>
                <w:rFonts w:cs="Arial"/>
                <w:b/>
                <w:bCs/>
                <w:color w:val="000000"/>
                <w:sz w:val="20"/>
                <w:szCs w:val="20"/>
                <w:lang w:eastAsia="en-GB"/>
              </w:rPr>
            </w:pPr>
            <w:r w:rsidRPr="00257F2F">
              <w:rPr>
                <w:rFonts w:cs="Arial"/>
                <w:b/>
                <w:bCs/>
                <w:color w:val="000000"/>
                <w:sz w:val="20"/>
                <w:szCs w:val="20"/>
                <w:lang w:eastAsia="en-GB"/>
              </w:rPr>
              <w:t>-435</w:t>
            </w:r>
          </w:p>
        </w:tc>
        <w:tc>
          <w:tcPr>
            <w:tcW w:w="970" w:type="dxa"/>
            <w:tcBorders>
              <w:top w:val="single" w:sz="4" w:space="0" w:color="auto"/>
              <w:left w:val="nil"/>
              <w:bottom w:val="nil"/>
              <w:right w:val="single" w:sz="4" w:space="0" w:color="auto"/>
            </w:tcBorders>
            <w:shd w:val="clear" w:color="auto" w:fill="auto"/>
            <w:noWrap/>
            <w:vAlign w:val="bottom"/>
            <w:hideMark/>
          </w:tcPr>
          <w:p w14:paraId="416EDC68" w14:textId="77777777" w:rsidR="00257F2F" w:rsidRPr="00257F2F" w:rsidRDefault="00257F2F" w:rsidP="00257F2F">
            <w:pPr>
              <w:jc w:val="right"/>
              <w:rPr>
                <w:rFonts w:cs="Arial"/>
                <w:b/>
                <w:bCs/>
                <w:color w:val="000000"/>
                <w:sz w:val="20"/>
                <w:szCs w:val="20"/>
                <w:lang w:eastAsia="en-GB"/>
              </w:rPr>
            </w:pPr>
            <w:r w:rsidRPr="00257F2F">
              <w:rPr>
                <w:rFonts w:cs="Arial"/>
                <w:b/>
                <w:bCs/>
                <w:color w:val="000000"/>
                <w:sz w:val="20"/>
                <w:szCs w:val="20"/>
                <w:lang w:eastAsia="en-GB"/>
              </w:rPr>
              <w:t>1,841</w:t>
            </w:r>
          </w:p>
        </w:tc>
      </w:tr>
      <w:tr w:rsidR="00257F2F" w:rsidRPr="00257F2F" w14:paraId="24CB651A" w14:textId="77777777" w:rsidTr="00460FAE">
        <w:trPr>
          <w:trHeight w:val="320"/>
        </w:trPr>
        <w:tc>
          <w:tcPr>
            <w:tcW w:w="4442" w:type="dxa"/>
            <w:tcBorders>
              <w:top w:val="nil"/>
              <w:left w:val="single" w:sz="4" w:space="0" w:color="auto"/>
              <w:bottom w:val="nil"/>
              <w:right w:val="nil"/>
            </w:tcBorders>
            <w:shd w:val="clear" w:color="auto" w:fill="auto"/>
            <w:noWrap/>
            <w:vAlign w:val="bottom"/>
            <w:hideMark/>
          </w:tcPr>
          <w:p w14:paraId="079249A6"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 </w:t>
            </w:r>
          </w:p>
        </w:tc>
        <w:tc>
          <w:tcPr>
            <w:tcW w:w="1082" w:type="dxa"/>
            <w:tcBorders>
              <w:top w:val="nil"/>
              <w:left w:val="nil"/>
              <w:bottom w:val="nil"/>
              <w:right w:val="nil"/>
            </w:tcBorders>
            <w:shd w:val="clear" w:color="auto" w:fill="auto"/>
            <w:noWrap/>
            <w:vAlign w:val="bottom"/>
            <w:hideMark/>
          </w:tcPr>
          <w:p w14:paraId="122009A6" w14:textId="77777777" w:rsidR="00257F2F" w:rsidRPr="00257F2F" w:rsidRDefault="00257F2F" w:rsidP="00257F2F">
            <w:pPr>
              <w:rPr>
                <w:rFonts w:cs="Arial"/>
                <w:color w:val="000000"/>
                <w:sz w:val="20"/>
                <w:szCs w:val="20"/>
                <w:lang w:eastAsia="en-GB"/>
              </w:rPr>
            </w:pPr>
          </w:p>
        </w:tc>
        <w:tc>
          <w:tcPr>
            <w:tcW w:w="1112" w:type="dxa"/>
            <w:tcBorders>
              <w:top w:val="nil"/>
              <w:left w:val="nil"/>
              <w:bottom w:val="nil"/>
              <w:right w:val="nil"/>
            </w:tcBorders>
            <w:shd w:val="clear" w:color="auto" w:fill="auto"/>
            <w:noWrap/>
            <w:vAlign w:val="bottom"/>
            <w:hideMark/>
          </w:tcPr>
          <w:p w14:paraId="721EDC73" w14:textId="77777777" w:rsidR="00257F2F" w:rsidRPr="00257F2F" w:rsidRDefault="00257F2F" w:rsidP="00257F2F">
            <w:pPr>
              <w:rPr>
                <w:rFonts w:ascii="Times New Roman" w:hAnsi="Times New Roman"/>
                <w:sz w:val="20"/>
                <w:szCs w:val="20"/>
                <w:lang w:eastAsia="en-GB"/>
              </w:rPr>
            </w:pPr>
          </w:p>
        </w:tc>
        <w:tc>
          <w:tcPr>
            <w:tcW w:w="970" w:type="dxa"/>
            <w:tcBorders>
              <w:top w:val="nil"/>
              <w:left w:val="nil"/>
              <w:bottom w:val="nil"/>
              <w:right w:val="nil"/>
            </w:tcBorders>
            <w:shd w:val="clear" w:color="auto" w:fill="auto"/>
            <w:noWrap/>
            <w:vAlign w:val="bottom"/>
            <w:hideMark/>
          </w:tcPr>
          <w:p w14:paraId="24FC1BFE" w14:textId="77777777" w:rsidR="00257F2F" w:rsidRPr="00257F2F" w:rsidRDefault="00257F2F" w:rsidP="00257F2F">
            <w:pPr>
              <w:rPr>
                <w:rFonts w:ascii="Times New Roman" w:hAnsi="Times New Roman"/>
                <w:sz w:val="20"/>
                <w:szCs w:val="20"/>
                <w:lang w:eastAsia="en-GB"/>
              </w:rPr>
            </w:pPr>
          </w:p>
        </w:tc>
        <w:tc>
          <w:tcPr>
            <w:tcW w:w="1143" w:type="dxa"/>
            <w:tcBorders>
              <w:top w:val="nil"/>
              <w:left w:val="nil"/>
              <w:bottom w:val="nil"/>
              <w:right w:val="nil"/>
            </w:tcBorders>
            <w:shd w:val="clear" w:color="auto" w:fill="auto"/>
            <w:noWrap/>
            <w:vAlign w:val="bottom"/>
            <w:hideMark/>
          </w:tcPr>
          <w:p w14:paraId="76CAAE9F" w14:textId="77777777" w:rsidR="00257F2F" w:rsidRPr="00257F2F" w:rsidRDefault="00257F2F" w:rsidP="00257F2F">
            <w:pPr>
              <w:rPr>
                <w:rFonts w:ascii="Times New Roman" w:hAnsi="Times New Roman"/>
                <w:sz w:val="20"/>
                <w:szCs w:val="20"/>
                <w:lang w:eastAsia="en-GB"/>
              </w:rPr>
            </w:pPr>
          </w:p>
        </w:tc>
        <w:tc>
          <w:tcPr>
            <w:tcW w:w="970" w:type="dxa"/>
            <w:tcBorders>
              <w:top w:val="nil"/>
              <w:left w:val="nil"/>
              <w:bottom w:val="nil"/>
              <w:right w:val="single" w:sz="4" w:space="0" w:color="auto"/>
            </w:tcBorders>
            <w:shd w:val="clear" w:color="auto" w:fill="auto"/>
            <w:noWrap/>
            <w:vAlign w:val="bottom"/>
            <w:hideMark/>
          </w:tcPr>
          <w:p w14:paraId="5899F150"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 </w:t>
            </w:r>
          </w:p>
        </w:tc>
      </w:tr>
      <w:tr w:rsidR="00257F2F" w:rsidRPr="00257F2F" w14:paraId="45EE8E21" w14:textId="77777777" w:rsidTr="00460FAE">
        <w:trPr>
          <w:trHeight w:val="320"/>
        </w:trPr>
        <w:tc>
          <w:tcPr>
            <w:tcW w:w="4442" w:type="dxa"/>
            <w:tcBorders>
              <w:top w:val="nil"/>
              <w:left w:val="single" w:sz="4" w:space="0" w:color="auto"/>
              <w:bottom w:val="nil"/>
              <w:right w:val="nil"/>
            </w:tcBorders>
            <w:shd w:val="clear" w:color="auto" w:fill="auto"/>
            <w:noWrap/>
            <w:vAlign w:val="bottom"/>
            <w:hideMark/>
          </w:tcPr>
          <w:p w14:paraId="29F26486"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 xml:space="preserve">General Reserve </w:t>
            </w:r>
          </w:p>
        </w:tc>
        <w:tc>
          <w:tcPr>
            <w:tcW w:w="1082" w:type="dxa"/>
            <w:tcBorders>
              <w:top w:val="nil"/>
              <w:left w:val="nil"/>
              <w:bottom w:val="nil"/>
              <w:right w:val="nil"/>
            </w:tcBorders>
            <w:shd w:val="clear" w:color="auto" w:fill="auto"/>
            <w:noWrap/>
            <w:vAlign w:val="bottom"/>
            <w:hideMark/>
          </w:tcPr>
          <w:p w14:paraId="5307267F"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1,073</w:t>
            </w:r>
          </w:p>
        </w:tc>
        <w:tc>
          <w:tcPr>
            <w:tcW w:w="1112" w:type="dxa"/>
            <w:tcBorders>
              <w:top w:val="nil"/>
              <w:left w:val="nil"/>
              <w:bottom w:val="nil"/>
              <w:right w:val="nil"/>
            </w:tcBorders>
            <w:shd w:val="clear" w:color="auto" w:fill="auto"/>
            <w:noWrap/>
            <w:vAlign w:val="bottom"/>
            <w:hideMark/>
          </w:tcPr>
          <w:p w14:paraId="545CAA5B"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186</w:t>
            </w:r>
          </w:p>
        </w:tc>
        <w:tc>
          <w:tcPr>
            <w:tcW w:w="970" w:type="dxa"/>
            <w:tcBorders>
              <w:top w:val="nil"/>
              <w:left w:val="nil"/>
              <w:bottom w:val="nil"/>
              <w:right w:val="nil"/>
            </w:tcBorders>
            <w:shd w:val="clear" w:color="auto" w:fill="auto"/>
            <w:noWrap/>
            <w:vAlign w:val="bottom"/>
            <w:hideMark/>
          </w:tcPr>
          <w:p w14:paraId="02004532"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1,259</w:t>
            </w:r>
          </w:p>
        </w:tc>
        <w:tc>
          <w:tcPr>
            <w:tcW w:w="1143" w:type="dxa"/>
            <w:tcBorders>
              <w:top w:val="nil"/>
              <w:left w:val="nil"/>
              <w:bottom w:val="nil"/>
              <w:right w:val="nil"/>
            </w:tcBorders>
            <w:shd w:val="clear" w:color="auto" w:fill="auto"/>
            <w:noWrap/>
            <w:vAlign w:val="bottom"/>
            <w:hideMark/>
          </w:tcPr>
          <w:p w14:paraId="5F6B445D"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311</w:t>
            </w:r>
          </w:p>
        </w:tc>
        <w:tc>
          <w:tcPr>
            <w:tcW w:w="970" w:type="dxa"/>
            <w:tcBorders>
              <w:top w:val="nil"/>
              <w:left w:val="nil"/>
              <w:bottom w:val="nil"/>
              <w:right w:val="single" w:sz="4" w:space="0" w:color="auto"/>
            </w:tcBorders>
            <w:shd w:val="clear" w:color="auto" w:fill="auto"/>
            <w:noWrap/>
            <w:vAlign w:val="bottom"/>
            <w:hideMark/>
          </w:tcPr>
          <w:p w14:paraId="312A7C47" w14:textId="77777777" w:rsidR="00257F2F" w:rsidRPr="00257F2F" w:rsidRDefault="00257F2F" w:rsidP="00257F2F">
            <w:pPr>
              <w:jc w:val="right"/>
              <w:rPr>
                <w:rFonts w:cs="Arial"/>
                <w:color w:val="000000"/>
                <w:sz w:val="20"/>
                <w:szCs w:val="20"/>
                <w:lang w:eastAsia="en-GB"/>
              </w:rPr>
            </w:pPr>
            <w:r w:rsidRPr="00257F2F">
              <w:rPr>
                <w:rFonts w:cs="Arial"/>
                <w:color w:val="000000"/>
                <w:sz w:val="20"/>
                <w:szCs w:val="20"/>
                <w:lang w:eastAsia="en-GB"/>
              </w:rPr>
              <w:t>1,570</w:t>
            </w:r>
          </w:p>
        </w:tc>
      </w:tr>
      <w:tr w:rsidR="00257F2F" w:rsidRPr="00257F2F" w14:paraId="144AB453" w14:textId="77777777" w:rsidTr="00460FAE">
        <w:trPr>
          <w:trHeight w:val="320"/>
        </w:trPr>
        <w:tc>
          <w:tcPr>
            <w:tcW w:w="4442" w:type="dxa"/>
            <w:tcBorders>
              <w:top w:val="nil"/>
              <w:left w:val="single" w:sz="4" w:space="0" w:color="auto"/>
              <w:bottom w:val="nil"/>
              <w:right w:val="nil"/>
            </w:tcBorders>
            <w:shd w:val="clear" w:color="auto" w:fill="auto"/>
            <w:noWrap/>
            <w:vAlign w:val="bottom"/>
            <w:hideMark/>
          </w:tcPr>
          <w:p w14:paraId="6BCF55C3"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 </w:t>
            </w:r>
          </w:p>
        </w:tc>
        <w:tc>
          <w:tcPr>
            <w:tcW w:w="1082" w:type="dxa"/>
            <w:tcBorders>
              <w:top w:val="nil"/>
              <w:left w:val="nil"/>
              <w:bottom w:val="nil"/>
              <w:right w:val="nil"/>
            </w:tcBorders>
            <w:shd w:val="clear" w:color="auto" w:fill="auto"/>
            <w:noWrap/>
            <w:vAlign w:val="bottom"/>
            <w:hideMark/>
          </w:tcPr>
          <w:p w14:paraId="0C1A0883" w14:textId="77777777" w:rsidR="00257F2F" w:rsidRPr="00257F2F" w:rsidRDefault="00257F2F" w:rsidP="00257F2F">
            <w:pPr>
              <w:rPr>
                <w:rFonts w:cs="Arial"/>
                <w:color w:val="000000"/>
                <w:sz w:val="20"/>
                <w:szCs w:val="20"/>
                <w:lang w:eastAsia="en-GB"/>
              </w:rPr>
            </w:pPr>
          </w:p>
        </w:tc>
        <w:tc>
          <w:tcPr>
            <w:tcW w:w="1112" w:type="dxa"/>
            <w:tcBorders>
              <w:top w:val="nil"/>
              <w:left w:val="nil"/>
              <w:bottom w:val="nil"/>
              <w:right w:val="nil"/>
            </w:tcBorders>
            <w:shd w:val="clear" w:color="auto" w:fill="auto"/>
            <w:noWrap/>
            <w:vAlign w:val="bottom"/>
            <w:hideMark/>
          </w:tcPr>
          <w:p w14:paraId="5DC54801" w14:textId="77777777" w:rsidR="00257F2F" w:rsidRPr="00257F2F" w:rsidRDefault="00257F2F" w:rsidP="00257F2F">
            <w:pPr>
              <w:rPr>
                <w:rFonts w:ascii="Times New Roman" w:hAnsi="Times New Roman"/>
                <w:sz w:val="20"/>
                <w:szCs w:val="20"/>
                <w:lang w:eastAsia="en-GB"/>
              </w:rPr>
            </w:pPr>
          </w:p>
        </w:tc>
        <w:tc>
          <w:tcPr>
            <w:tcW w:w="970" w:type="dxa"/>
            <w:tcBorders>
              <w:top w:val="nil"/>
              <w:left w:val="nil"/>
              <w:bottom w:val="nil"/>
              <w:right w:val="nil"/>
            </w:tcBorders>
            <w:shd w:val="clear" w:color="auto" w:fill="auto"/>
            <w:noWrap/>
            <w:vAlign w:val="bottom"/>
            <w:hideMark/>
          </w:tcPr>
          <w:p w14:paraId="746833F7" w14:textId="77777777" w:rsidR="00257F2F" w:rsidRPr="00257F2F" w:rsidRDefault="00257F2F" w:rsidP="00257F2F">
            <w:pPr>
              <w:rPr>
                <w:rFonts w:ascii="Times New Roman" w:hAnsi="Times New Roman"/>
                <w:sz w:val="20"/>
                <w:szCs w:val="20"/>
                <w:lang w:eastAsia="en-GB"/>
              </w:rPr>
            </w:pPr>
          </w:p>
        </w:tc>
        <w:tc>
          <w:tcPr>
            <w:tcW w:w="1143" w:type="dxa"/>
            <w:tcBorders>
              <w:top w:val="nil"/>
              <w:left w:val="nil"/>
              <w:bottom w:val="nil"/>
              <w:right w:val="nil"/>
            </w:tcBorders>
            <w:shd w:val="clear" w:color="auto" w:fill="auto"/>
            <w:noWrap/>
            <w:vAlign w:val="bottom"/>
            <w:hideMark/>
          </w:tcPr>
          <w:p w14:paraId="5C9E7042" w14:textId="77777777" w:rsidR="00257F2F" w:rsidRPr="00257F2F" w:rsidRDefault="00257F2F" w:rsidP="00257F2F">
            <w:pPr>
              <w:rPr>
                <w:rFonts w:ascii="Times New Roman" w:hAnsi="Times New Roman"/>
                <w:sz w:val="20"/>
                <w:szCs w:val="20"/>
                <w:lang w:eastAsia="en-GB"/>
              </w:rPr>
            </w:pPr>
          </w:p>
        </w:tc>
        <w:tc>
          <w:tcPr>
            <w:tcW w:w="970" w:type="dxa"/>
            <w:tcBorders>
              <w:top w:val="nil"/>
              <w:left w:val="nil"/>
              <w:bottom w:val="nil"/>
              <w:right w:val="single" w:sz="4" w:space="0" w:color="auto"/>
            </w:tcBorders>
            <w:shd w:val="clear" w:color="auto" w:fill="auto"/>
            <w:noWrap/>
            <w:vAlign w:val="bottom"/>
            <w:hideMark/>
          </w:tcPr>
          <w:p w14:paraId="4545729C" w14:textId="77777777" w:rsidR="00257F2F" w:rsidRPr="00257F2F" w:rsidRDefault="00257F2F" w:rsidP="00257F2F">
            <w:pPr>
              <w:rPr>
                <w:rFonts w:cs="Arial"/>
                <w:color w:val="000000"/>
                <w:sz w:val="20"/>
                <w:szCs w:val="20"/>
                <w:lang w:eastAsia="en-GB"/>
              </w:rPr>
            </w:pPr>
            <w:r w:rsidRPr="00257F2F">
              <w:rPr>
                <w:rFonts w:cs="Arial"/>
                <w:color w:val="000000"/>
                <w:sz w:val="20"/>
                <w:szCs w:val="20"/>
                <w:lang w:eastAsia="en-GB"/>
              </w:rPr>
              <w:t> </w:t>
            </w:r>
          </w:p>
        </w:tc>
      </w:tr>
      <w:tr w:rsidR="00257F2F" w:rsidRPr="00257F2F" w14:paraId="294AC864" w14:textId="77777777" w:rsidTr="00460FAE">
        <w:trPr>
          <w:trHeight w:val="320"/>
        </w:trPr>
        <w:tc>
          <w:tcPr>
            <w:tcW w:w="4442" w:type="dxa"/>
            <w:tcBorders>
              <w:top w:val="single" w:sz="4" w:space="0" w:color="auto"/>
              <w:left w:val="single" w:sz="4" w:space="0" w:color="auto"/>
              <w:bottom w:val="single" w:sz="4" w:space="0" w:color="auto"/>
              <w:right w:val="nil"/>
            </w:tcBorders>
            <w:shd w:val="clear" w:color="auto" w:fill="auto"/>
            <w:noWrap/>
            <w:vAlign w:val="bottom"/>
            <w:hideMark/>
          </w:tcPr>
          <w:p w14:paraId="10F48BFA" w14:textId="77777777" w:rsidR="00257F2F" w:rsidRPr="00257F2F" w:rsidRDefault="00257F2F" w:rsidP="00257F2F">
            <w:pPr>
              <w:rPr>
                <w:rFonts w:cs="Arial"/>
                <w:b/>
                <w:bCs/>
                <w:color w:val="000000"/>
                <w:sz w:val="20"/>
                <w:szCs w:val="20"/>
                <w:lang w:eastAsia="en-GB"/>
              </w:rPr>
            </w:pPr>
            <w:r w:rsidRPr="00257F2F">
              <w:rPr>
                <w:rFonts w:cs="Arial"/>
                <w:b/>
                <w:bCs/>
                <w:color w:val="000000"/>
                <w:sz w:val="20"/>
                <w:szCs w:val="20"/>
                <w:lang w:eastAsia="en-GB"/>
              </w:rPr>
              <w:t>Total Usable Reserves</w:t>
            </w:r>
          </w:p>
        </w:tc>
        <w:tc>
          <w:tcPr>
            <w:tcW w:w="1082" w:type="dxa"/>
            <w:tcBorders>
              <w:top w:val="single" w:sz="4" w:space="0" w:color="auto"/>
              <w:left w:val="nil"/>
              <w:bottom w:val="single" w:sz="4" w:space="0" w:color="auto"/>
              <w:right w:val="nil"/>
            </w:tcBorders>
            <w:shd w:val="clear" w:color="auto" w:fill="auto"/>
            <w:noWrap/>
            <w:vAlign w:val="bottom"/>
            <w:hideMark/>
          </w:tcPr>
          <w:p w14:paraId="10AAB5AA" w14:textId="77777777" w:rsidR="00257F2F" w:rsidRPr="00257F2F" w:rsidRDefault="00257F2F" w:rsidP="00257F2F">
            <w:pPr>
              <w:jc w:val="right"/>
              <w:rPr>
                <w:rFonts w:cs="Arial"/>
                <w:b/>
                <w:bCs/>
                <w:color w:val="000000"/>
                <w:sz w:val="20"/>
                <w:szCs w:val="20"/>
                <w:lang w:eastAsia="en-GB"/>
              </w:rPr>
            </w:pPr>
            <w:r w:rsidRPr="00257F2F">
              <w:rPr>
                <w:rFonts w:cs="Arial"/>
                <w:b/>
                <w:bCs/>
                <w:color w:val="000000"/>
                <w:sz w:val="20"/>
                <w:szCs w:val="20"/>
                <w:lang w:eastAsia="en-GB"/>
              </w:rPr>
              <w:t>3,202</w:t>
            </w:r>
          </w:p>
        </w:tc>
        <w:tc>
          <w:tcPr>
            <w:tcW w:w="1112" w:type="dxa"/>
            <w:tcBorders>
              <w:top w:val="single" w:sz="4" w:space="0" w:color="auto"/>
              <w:left w:val="nil"/>
              <w:bottom w:val="single" w:sz="4" w:space="0" w:color="auto"/>
              <w:right w:val="nil"/>
            </w:tcBorders>
            <w:shd w:val="clear" w:color="auto" w:fill="auto"/>
            <w:noWrap/>
            <w:vAlign w:val="bottom"/>
            <w:hideMark/>
          </w:tcPr>
          <w:p w14:paraId="0007E4F2" w14:textId="77777777" w:rsidR="00257F2F" w:rsidRPr="00257F2F" w:rsidRDefault="00257F2F" w:rsidP="00257F2F">
            <w:pPr>
              <w:jc w:val="right"/>
              <w:rPr>
                <w:rFonts w:cs="Arial"/>
                <w:b/>
                <w:bCs/>
                <w:color w:val="000000"/>
                <w:sz w:val="20"/>
                <w:szCs w:val="20"/>
                <w:lang w:eastAsia="en-GB"/>
              </w:rPr>
            </w:pPr>
            <w:r w:rsidRPr="00257F2F">
              <w:rPr>
                <w:rFonts w:cs="Arial"/>
                <w:b/>
                <w:bCs/>
                <w:color w:val="000000"/>
                <w:sz w:val="20"/>
                <w:szCs w:val="20"/>
                <w:lang w:eastAsia="en-GB"/>
              </w:rPr>
              <w:t>616</w:t>
            </w:r>
          </w:p>
        </w:tc>
        <w:tc>
          <w:tcPr>
            <w:tcW w:w="970" w:type="dxa"/>
            <w:tcBorders>
              <w:top w:val="single" w:sz="4" w:space="0" w:color="auto"/>
              <w:left w:val="nil"/>
              <w:bottom w:val="single" w:sz="4" w:space="0" w:color="auto"/>
              <w:right w:val="nil"/>
            </w:tcBorders>
            <w:shd w:val="clear" w:color="auto" w:fill="auto"/>
            <w:noWrap/>
            <w:vAlign w:val="bottom"/>
            <w:hideMark/>
          </w:tcPr>
          <w:p w14:paraId="49E6D581" w14:textId="77777777" w:rsidR="00257F2F" w:rsidRPr="00257F2F" w:rsidRDefault="00257F2F" w:rsidP="00257F2F">
            <w:pPr>
              <w:jc w:val="right"/>
              <w:rPr>
                <w:rFonts w:cs="Arial"/>
                <w:b/>
                <w:bCs/>
                <w:color w:val="000000"/>
                <w:sz w:val="20"/>
                <w:szCs w:val="20"/>
                <w:lang w:eastAsia="en-GB"/>
              </w:rPr>
            </w:pPr>
            <w:r w:rsidRPr="00257F2F">
              <w:rPr>
                <w:rFonts w:cs="Arial"/>
                <w:b/>
                <w:bCs/>
                <w:color w:val="000000"/>
                <w:sz w:val="20"/>
                <w:szCs w:val="20"/>
                <w:lang w:eastAsia="en-GB"/>
              </w:rPr>
              <w:t>3,818</w:t>
            </w:r>
          </w:p>
        </w:tc>
        <w:tc>
          <w:tcPr>
            <w:tcW w:w="1143" w:type="dxa"/>
            <w:tcBorders>
              <w:top w:val="single" w:sz="4" w:space="0" w:color="auto"/>
              <w:left w:val="nil"/>
              <w:bottom w:val="single" w:sz="4" w:space="0" w:color="auto"/>
              <w:right w:val="nil"/>
            </w:tcBorders>
            <w:shd w:val="clear" w:color="auto" w:fill="auto"/>
            <w:noWrap/>
            <w:vAlign w:val="bottom"/>
            <w:hideMark/>
          </w:tcPr>
          <w:p w14:paraId="37999B8B" w14:textId="77777777" w:rsidR="00257F2F" w:rsidRPr="00257F2F" w:rsidRDefault="00257F2F" w:rsidP="00257F2F">
            <w:pPr>
              <w:jc w:val="right"/>
              <w:rPr>
                <w:rFonts w:cs="Arial"/>
                <w:b/>
                <w:bCs/>
                <w:color w:val="000000"/>
                <w:sz w:val="20"/>
                <w:szCs w:val="20"/>
                <w:lang w:eastAsia="en-GB"/>
              </w:rPr>
            </w:pPr>
            <w:r w:rsidRPr="00257F2F">
              <w:rPr>
                <w:rFonts w:cs="Arial"/>
                <w:b/>
                <w:bCs/>
                <w:color w:val="000000"/>
                <w:sz w:val="20"/>
                <w:szCs w:val="20"/>
                <w:lang w:eastAsia="en-GB"/>
              </w:rPr>
              <w:t>1,123</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1AF0F745" w14:textId="77777777" w:rsidR="00257F2F" w:rsidRPr="00257F2F" w:rsidRDefault="00257F2F" w:rsidP="00257F2F">
            <w:pPr>
              <w:jc w:val="right"/>
              <w:rPr>
                <w:rFonts w:cs="Arial"/>
                <w:b/>
                <w:bCs/>
                <w:color w:val="000000"/>
                <w:sz w:val="20"/>
                <w:szCs w:val="20"/>
                <w:lang w:eastAsia="en-GB"/>
              </w:rPr>
            </w:pPr>
            <w:r w:rsidRPr="00257F2F">
              <w:rPr>
                <w:rFonts w:cs="Arial"/>
                <w:b/>
                <w:bCs/>
                <w:color w:val="000000"/>
                <w:sz w:val="20"/>
                <w:szCs w:val="20"/>
                <w:lang w:eastAsia="en-GB"/>
              </w:rPr>
              <w:t>4,941</w:t>
            </w:r>
          </w:p>
        </w:tc>
      </w:tr>
    </w:tbl>
    <w:p w14:paraId="1B04BEA9" w14:textId="77777777" w:rsidR="00257F2F" w:rsidRDefault="00257F2F" w:rsidP="00257F2F">
      <w:pPr>
        <w:rPr>
          <w:highlight w:val="yellow"/>
        </w:rPr>
      </w:pPr>
    </w:p>
    <w:p w14:paraId="0450F7CB" w14:textId="5C3783B7" w:rsidR="00C5297D" w:rsidRPr="004D5CA8" w:rsidRDefault="00C5297D" w:rsidP="00C5297D">
      <w:pPr>
        <w:rPr>
          <w:highlight w:val="yellow"/>
        </w:rPr>
      </w:pPr>
    </w:p>
    <w:p w14:paraId="3AEB89C1" w14:textId="77777777" w:rsidR="00C5297D" w:rsidRPr="004D5CA8" w:rsidRDefault="00C5297D" w:rsidP="006D2EED">
      <w:pPr>
        <w:pStyle w:val="Subtitle"/>
        <w:tabs>
          <w:tab w:val="left" w:pos="0"/>
        </w:tabs>
        <w:rPr>
          <w:rFonts w:ascii="Arial" w:hAnsi="Arial" w:cs="Arial"/>
          <w:b/>
          <w:i w:val="0"/>
          <w:sz w:val="23"/>
          <w:szCs w:val="23"/>
          <w:highlight w:val="yellow"/>
          <w:u w:val="none"/>
        </w:rPr>
      </w:pPr>
    </w:p>
    <w:p w14:paraId="485A491A" w14:textId="2E84E8FF" w:rsidR="00E00863" w:rsidRPr="00400441" w:rsidRDefault="006B6C2E" w:rsidP="006D2EED">
      <w:pPr>
        <w:pStyle w:val="Subtitle"/>
        <w:tabs>
          <w:tab w:val="left" w:pos="0"/>
        </w:tabs>
        <w:rPr>
          <w:rFonts w:ascii="Arial" w:hAnsi="Arial" w:cs="Arial"/>
          <w:b/>
          <w:i w:val="0"/>
          <w:sz w:val="22"/>
          <w:u w:val="none"/>
        </w:rPr>
      </w:pPr>
      <w:r w:rsidRPr="00400441">
        <w:rPr>
          <w:rFonts w:ascii="Arial" w:hAnsi="Arial" w:cs="Arial"/>
          <w:b/>
          <w:i w:val="0"/>
          <w:sz w:val="23"/>
          <w:szCs w:val="23"/>
          <w:u w:val="none"/>
        </w:rPr>
        <w:t>31.</w:t>
      </w:r>
      <w:r w:rsidR="002116F2">
        <w:rPr>
          <w:rFonts w:ascii="Arial" w:hAnsi="Arial" w:cs="Arial"/>
          <w:b/>
          <w:i w:val="0"/>
          <w:sz w:val="23"/>
          <w:szCs w:val="23"/>
          <w:u w:val="none"/>
        </w:rPr>
        <w:tab/>
      </w:r>
      <w:r w:rsidRPr="00400441">
        <w:rPr>
          <w:rFonts w:ascii="Arial" w:eastAsia="Times New Roman" w:hAnsi="Arial"/>
          <w:b/>
          <w:i w:val="0"/>
          <w:iCs w:val="0"/>
          <w:spacing w:val="0"/>
          <w:sz w:val="23"/>
          <w:szCs w:val="23"/>
          <w:u w:val="none"/>
          <w:lang w:eastAsia="en-US"/>
        </w:rPr>
        <w:t>Prior Period Adjustment</w:t>
      </w:r>
    </w:p>
    <w:p w14:paraId="485A491B" w14:textId="77777777" w:rsidR="00420AE5" w:rsidRPr="00400441" w:rsidRDefault="00420AE5" w:rsidP="00040C1A"/>
    <w:p w14:paraId="485A491C" w14:textId="189FEDE9" w:rsidR="00420AE5" w:rsidRPr="00400441" w:rsidRDefault="00400441" w:rsidP="001A221F">
      <w:r w:rsidRPr="00400441">
        <w:t>There have been no prior period adjustments made</w:t>
      </w:r>
      <w:r w:rsidR="001A57C0" w:rsidRPr="00400441">
        <w:t>.</w:t>
      </w:r>
      <w:r w:rsidR="002116F2">
        <w:t xml:space="preserve"> A small number of note disclosures have been amended where it was judged necessary to do so to allow year on year comparison.</w:t>
      </w:r>
    </w:p>
    <w:p w14:paraId="485A491F" w14:textId="77777777" w:rsidR="00AA0D58" w:rsidRPr="004D5CA8" w:rsidRDefault="00AA0D58">
      <w:pPr>
        <w:rPr>
          <w:rFonts w:cs="Arial"/>
          <w:b/>
          <w:i/>
          <w:highlight w:val="yellow"/>
        </w:rPr>
      </w:pPr>
      <w:r w:rsidRPr="004D5CA8">
        <w:rPr>
          <w:rFonts w:cs="Arial"/>
          <w:b/>
          <w:i/>
          <w:highlight w:val="yellow"/>
        </w:rPr>
        <w:br w:type="page"/>
      </w:r>
    </w:p>
    <w:p w14:paraId="262EC1E2" w14:textId="0D0870DF" w:rsidR="00400441" w:rsidRPr="002D7873" w:rsidRDefault="00400441" w:rsidP="00400441">
      <w:pPr>
        <w:rPr>
          <w:b/>
          <w:sz w:val="20"/>
        </w:rPr>
      </w:pPr>
      <w:bookmarkStart w:id="276" w:name="_MON_1368451425"/>
      <w:bookmarkStart w:id="277" w:name="_MON_1368451503"/>
      <w:bookmarkStart w:id="278" w:name="_MON_1368451669"/>
      <w:bookmarkStart w:id="279" w:name="_MON_1368451857"/>
      <w:bookmarkStart w:id="280" w:name="_MON_1369487905"/>
      <w:bookmarkStart w:id="281" w:name="_MON_1369553433"/>
      <w:bookmarkStart w:id="282" w:name="_MON_1369728394"/>
      <w:bookmarkStart w:id="283" w:name="_MON_1369742105"/>
      <w:bookmarkStart w:id="284" w:name="_MON_1369744058"/>
      <w:bookmarkStart w:id="285" w:name="_MON_1369744068"/>
      <w:bookmarkStart w:id="286" w:name="_MON_1370423066"/>
      <w:bookmarkStart w:id="287" w:name="_MON_1370423645"/>
      <w:bookmarkStart w:id="288" w:name="_MON_1372679091"/>
      <w:bookmarkStart w:id="289" w:name="_MON_1372679135"/>
      <w:bookmarkStart w:id="290" w:name="_MON_1372834692"/>
      <w:bookmarkStart w:id="291" w:name="_MON_1395571479"/>
      <w:bookmarkStart w:id="292" w:name="_MON_1401095325"/>
      <w:bookmarkStart w:id="293" w:name="_MON_1401539600"/>
      <w:bookmarkStart w:id="294" w:name="_MON_1402138718"/>
      <w:bookmarkStart w:id="295" w:name="_MON_1429981462"/>
      <w:bookmarkStart w:id="296" w:name="_MON_1362490614"/>
      <w:bookmarkStart w:id="297" w:name="_MON_1362490765"/>
      <w:bookmarkStart w:id="298" w:name="_MON_1362490773"/>
      <w:bookmarkStart w:id="299" w:name="_MON_1362490866"/>
      <w:bookmarkStart w:id="300" w:name="_MON_1363762803"/>
      <w:bookmarkStart w:id="301" w:name="_MON_1372679189"/>
      <w:bookmarkStart w:id="302" w:name="_MON_1372834714"/>
      <w:bookmarkStart w:id="303" w:name="_MON_1395571545"/>
      <w:bookmarkStart w:id="304" w:name="_MON_1401095350"/>
      <w:bookmarkStart w:id="305" w:name="_MON_1401527019"/>
      <w:bookmarkStart w:id="306" w:name="_MON_1401539607"/>
      <w:bookmarkStart w:id="307" w:name="_MON_1401877453"/>
      <w:bookmarkStart w:id="308" w:name="_MON_1402138743"/>
      <w:bookmarkStart w:id="309" w:name="_MON_1429981418"/>
      <w:bookmarkStart w:id="310" w:name="_MON_1362490782"/>
      <w:bookmarkStart w:id="311" w:name="_MON_1362490859"/>
      <w:bookmarkStart w:id="312" w:name="_MON_1363763004"/>
      <w:bookmarkStart w:id="313" w:name="_MON_1363763519"/>
      <w:bookmarkStart w:id="314" w:name="_MON_1364130036"/>
      <w:bookmarkStart w:id="315" w:name="_MON_1368451912"/>
      <w:bookmarkStart w:id="316" w:name="_MON_1368453049"/>
      <w:bookmarkStart w:id="317" w:name="_MON_1368538141"/>
      <w:bookmarkStart w:id="318" w:name="_MON_1368538180"/>
      <w:bookmarkStart w:id="319" w:name="_MON_1368538191"/>
      <w:bookmarkStart w:id="320" w:name="_MON_1368615878"/>
      <w:bookmarkStart w:id="321" w:name="_MON_1369552145"/>
      <w:bookmarkStart w:id="322" w:name="_MON_1369553443"/>
      <w:bookmarkStart w:id="323" w:name="_MON_1369728419"/>
      <w:bookmarkStart w:id="324" w:name="_MON_1369742148"/>
      <w:bookmarkStart w:id="325" w:name="_MON_1370423469"/>
      <w:bookmarkStart w:id="326" w:name="_MON_1370423669"/>
      <w:bookmarkStart w:id="327" w:name="_MON_1370423701"/>
      <w:bookmarkStart w:id="328" w:name="_MON_1370695731"/>
      <w:bookmarkStart w:id="329" w:name="_MON_1370179999"/>
      <w:bookmarkStart w:id="330" w:name="_MON_1370695773"/>
      <w:bookmarkStart w:id="331" w:name="_MON_1395571610"/>
      <w:bookmarkStart w:id="332" w:name="_MON_1401095380"/>
      <w:bookmarkStart w:id="333" w:name="_MON_1401539616"/>
      <w:bookmarkStart w:id="334" w:name="_MON_1402138770"/>
      <w:bookmarkStart w:id="335" w:name="_MON_1402138796"/>
      <w:bookmarkStart w:id="336" w:name="_MON_1429979321"/>
      <w:bookmarkStart w:id="337" w:name="_MON_1362402442"/>
      <w:bookmarkStart w:id="338" w:name="_MON_1362491129"/>
      <w:bookmarkStart w:id="339" w:name="_MON_1364130138"/>
      <w:bookmarkStart w:id="340" w:name="_MON_1366612530"/>
      <w:bookmarkStart w:id="341" w:name="_MON_1366612735"/>
      <w:bookmarkStart w:id="342" w:name="_MON_1368451306"/>
      <w:bookmarkStart w:id="343" w:name="_MON_1369553453"/>
      <w:bookmarkStart w:id="344" w:name="_MON_1401539685"/>
      <w:bookmarkStart w:id="345" w:name="_MON_1402138843"/>
      <w:bookmarkStart w:id="346" w:name="_MON_1402138866"/>
      <w:bookmarkStart w:id="347" w:name="_MON_1429979478"/>
      <w:bookmarkStart w:id="348" w:name="_MON_1362403871"/>
      <w:bookmarkStart w:id="349" w:name="_MON_1362404325"/>
      <w:bookmarkStart w:id="350" w:name="_MON_1362404379"/>
      <w:bookmarkStart w:id="351" w:name="_MON_1362491349"/>
      <w:bookmarkStart w:id="352" w:name="_MON_1362491395"/>
      <w:bookmarkStart w:id="353" w:name="_MON_1362491814"/>
      <w:bookmarkStart w:id="354" w:name="_MON_1362491838"/>
      <w:bookmarkStart w:id="355" w:name="_MON_1363763783"/>
      <w:bookmarkStart w:id="356" w:name="_MON_1363763824"/>
      <w:bookmarkStart w:id="357" w:name="_MON_1364130283"/>
      <w:bookmarkStart w:id="358" w:name="_MON_1364130297"/>
      <w:bookmarkStart w:id="359" w:name="_MON_1368448592"/>
      <w:bookmarkStart w:id="360" w:name="_MON_1369553468"/>
      <w:bookmarkStart w:id="361" w:name="_MON_1369728517"/>
      <w:bookmarkStart w:id="362" w:name="_MON_1369742312"/>
      <w:bookmarkStart w:id="363" w:name="_MON_1370695919"/>
      <w:bookmarkStart w:id="364" w:name="_MON_1372661855"/>
      <w:bookmarkStart w:id="365" w:name="_MON_1372662193"/>
      <w:bookmarkStart w:id="366" w:name="_MON_1372679254"/>
      <w:bookmarkStart w:id="367" w:name="_MON_1395571768"/>
      <w:bookmarkStart w:id="368" w:name="_MON_1395579057"/>
      <w:bookmarkStart w:id="369" w:name="_MON_1401095547"/>
      <w:bookmarkStart w:id="370" w:name="_MON_1401539646"/>
      <w:bookmarkStart w:id="371" w:name="_MON_1463396986"/>
      <w:bookmarkStart w:id="372" w:name="_MON_1395577611"/>
      <w:bookmarkStart w:id="373" w:name="_MON_1395577727"/>
      <w:bookmarkStart w:id="374" w:name="_MON_1395578292"/>
      <w:bookmarkStart w:id="375" w:name="_MON_1401110159"/>
      <w:bookmarkStart w:id="376" w:name="_MON_1401539701"/>
      <w:bookmarkStart w:id="377" w:name="_MON_1402138896"/>
      <w:bookmarkStart w:id="378" w:name="_MON_1429979675"/>
      <w:bookmarkStart w:id="379" w:name="_MON_1363763854"/>
      <w:bookmarkStart w:id="380" w:name="_MON_1366612757"/>
      <w:bookmarkStart w:id="381" w:name="_MON_1369553477"/>
      <w:bookmarkStart w:id="382" w:name="_MON_1361953052"/>
      <w:bookmarkStart w:id="383" w:name="_MON_1361953404"/>
      <w:bookmarkStart w:id="384" w:name="_MON_1363694014"/>
      <w:bookmarkStart w:id="385" w:name="_MON_1363757763"/>
      <w:bookmarkStart w:id="386" w:name="_MON_1363764215"/>
      <w:bookmarkStart w:id="387" w:name="_MON_1364125293"/>
      <w:bookmarkStart w:id="388" w:name="_MON_1364125395"/>
      <w:bookmarkStart w:id="389" w:name="_MON_1364125414"/>
      <w:bookmarkStart w:id="390" w:name="_MON_1364125467"/>
      <w:bookmarkStart w:id="391" w:name="_MON_1364130793"/>
      <w:bookmarkStart w:id="392" w:name="_MON_1368448851"/>
      <w:bookmarkStart w:id="393" w:name="_MON_1368538221"/>
      <w:bookmarkStart w:id="394" w:name="_MON_1368618635"/>
      <w:bookmarkStart w:id="395" w:name="_MON_1369552184"/>
      <w:bookmarkStart w:id="396" w:name="_MON_1369657847"/>
      <w:bookmarkStart w:id="397" w:name="_MON_1369657917"/>
      <w:bookmarkStart w:id="398" w:name="_MON_1369657925"/>
      <w:bookmarkStart w:id="399" w:name="_MON_1369728928"/>
      <w:bookmarkStart w:id="400" w:name="_MON_1369742344"/>
      <w:bookmarkStart w:id="401" w:name="_MON_1370696322"/>
      <w:bookmarkStart w:id="402" w:name="_MON_1370696451"/>
      <w:bookmarkStart w:id="403" w:name="_MON_1372679518"/>
      <w:bookmarkStart w:id="404" w:name="_MON_1372838585"/>
      <w:bookmarkStart w:id="405" w:name="_MON_1373048690"/>
      <w:bookmarkStart w:id="406" w:name="_MON_1395578918"/>
      <w:bookmarkStart w:id="407" w:name="_MON_1395578964"/>
      <w:bookmarkStart w:id="408" w:name="_MON_1401111393"/>
      <w:bookmarkStart w:id="409" w:name="_MON_1401521064"/>
      <w:bookmarkStart w:id="410" w:name="_MON_1401527063"/>
      <w:bookmarkStart w:id="411" w:name="_MON_1401539774"/>
      <w:bookmarkStart w:id="412" w:name="_MON_1401539800"/>
      <w:bookmarkStart w:id="413" w:name="_MON_1401877494"/>
      <w:bookmarkStart w:id="414" w:name="_MON_1402139034"/>
      <w:bookmarkStart w:id="415" w:name="_MON_1395579196"/>
      <w:bookmarkStart w:id="416" w:name="_MON_1401111513"/>
      <w:bookmarkStart w:id="417" w:name="_MON_1401521273"/>
      <w:bookmarkStart w:id="418" w:name="_MON_1401539813"/>
      <w:bookmarkStart w:id="419" w:name="_MON_1401877538"/>
      <w:bookmarkStart w:id="420" w:name="_MON_1402139085"/>
      <w:bookmarkStart w:id="421" w:name="_MON_1402465918"/>
      <w:bookmarkStart w:id="422" w:name="_MON_1402465938"/>
      <w:bookmarkStart w:id="423" w:name="_MON_1369564548"/>
      <w:bookmarkStart w:id="424" w:name="_MON_1369657987"/>
      <w:bookmarkStart w:id="425" w:name="_MON_1369658100"/>
      <w:bookmarkStart w:id="426" w:name="_MON_1369659967"/>
      <w:bookmarkStart w:id="427" w:name="_MON_1369660722"/>
      <w:bookmarkStart w:id="428" w:name="_MON_1369728955"/>
      <w:bookmarkStart w:id="429" w:name="_MON_1369742434"/>
      <w:bookmarkStart w:id="430" w:name="_MON_1368451056"/>
      <w:bookmarkStart w:id="431" w:name="_MON_1368451227"/>
      <w:bookmarkStart w:id="432" w:name="_MON_1368451247"/>
      <w:bookmarkStart w:id="433" w:name="_MON_1369487850"/>
      <w:bookmarkStart w:id="434" w:name="_MON_1369728963"/>
      <w:bookmarkStart w:id="435" w:name="_MON_1369728978"/>
      <w:bookmarkStart w:id="436" w:name="_MON_1369728998"/>
      <w:bookmarkStart w:id="437" w:name="_MON_1369729053"/>
      <w:bookmarkStart w:id="438" w:name="_MON_1369729068"/>
      <w:bookmarkStart w:id="439" w:name="_MON_1370696351"/>
      <w:bookmarkStart w:id="440" w:name="_MON_1372679572"/>
      <w:bookmarkStart w:id="441" w:name="_MON_1373048964"/>
      <w:bookmarkStart w:id="442" w:name="_MON_1395579238"/>
      <w:bookmarkStart w:id="443" w:name="_MON_1401111561"/>
      <w:bookmarkStart w:id="444" w:name="_MON_1401111569"/>
      <w:bookmarkStart w:id="445" w:name="_MON_1401539822"/>
      <w:bookmarkStart w:id="446" w:name="_MON_1401877549"/>
      <w:bookmarkStart w:id="447" w:name="_MON_1402139098"/>
      <w:bookmarkStart w:id="448" w:name="_MON_1402139307"/>
      <w:bookmarkStart w:id="449" w:name="_MON_1402139327"/>
      <w:bookmarkStart w:id="450" w:name="_MON_1361953148"/>
      <w:bookmarkStart w:id="451" w:name="_MON_1361953196"/>
      <w:bookmarkStart w:id="452" w:name="_MON_1361953217"/>
      <w:bookmarkStart w:id="453" w:name="_MON_1363757740"/>
      <w:bookmarkStart w:id="454" w:name="_MON_1363764716"/>
      <w:bookmarkStart w:id="455" w:name="_Toc107817303"/>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2D7873">
        <w:rPr>
          <w:rFonts w:cs="Arial"/>
          <w:b/>
          <w:sz w:val="24"/>
          <w:szCs w:val="24"/>
        </w:rPr>
        <w:lastRenderedPageBreak/>
        <w:t xml:space="preserve">Annual Governance Statement </w:t>
      </w:r>
      <w:r w:rsidR="004C2EC8">
        <w:rPr>
          <w:rFonts w:cs="Arial"/>
          <w:b/>
          <w:sz w:val="24"/>
          <w:szCs w:val="24"/>
        </w:rPr>
        <w:t>2022/23</w:t>
      </w:r>
      <w:r w:rsidRPr="002D7873">
        <w:rPr>
          <w:rFonts w:cs="Arial"/>
          <w:b/>
          <w:sz w:val="24"/>
          <w:szCs w:val="24"/>
        </w:rPr>
        <w:t xml:space="preserve"> Lake District National Park Authority.</w:t>
      </w:r>
    </w:p>
    <w:p w14:paraId="031FFA6F" w14:textId="77777777" w:rsidR="004C2EC8" w:rsidRPr="004C2EC8" w:rsidRDefault="004C2EC8" w:rsidP="004C2EC8">
      <w:pPr>
        <w:jc w:val="center"/>
        <w:rPr>
          <w:rFonts w:cs="Arial"/>
          <w:b/>
          <w:sz w:val="24"/>
          <w:szCs w:val="24"/>
        </w:rPr>
      </w:pPr>
    </w:p>
    <w:p w14:paraId="7CD729E5" w14:textId="77777777" w:rsidR="004C2EC8" w:rsidRPr="004C2EC8" w:rsidRDefault="004C2EC8" w:rsidP="004C2EC8">
      <w:pPr>
        <w:numPr>
          <w:ilvl w:val="0"/>
          <w:numId w:val="20"/>
        </w:numPr>
        <w:spacing w:after="160" w:line="259" w:lineRule="auto"/>
        <w:ind w:hanging="643"/>
        <w:contextualSpacing/>
        <w:rPr>
          <w:rFonts w:eastAsia="Calibri" w:cs="Arial"/>
          <w:b/>
          <w:sz w:val="24"/>
          <w:szCs w:val="24"/>
          <w:lang w:eastAsia="en-GB"/>
        </w:rPr>
      </w:pPr>
      <w:r w:rsidRPr="004C2EC8">
        <w:rPr>
          <w:rFonts w:eastAsia="Calibri" w:cs="Arial"/>
          <w:b/>
          <w:sz w:val="24"/>
          <w:szCs w:val="24"/>
          <w:lang w:eastAsia="en-GB"/>
        </w:rPr>
        <w:t>Scope of responsibility</w:t>
      </w:r>
    </w:p>
    <w:p w14:paraId="656F3186" w14:textId="77777777" w:rsidR="004C2EC8" w:rsidRPr="004C2EC8" w:rsidRDefault="004C2EC8" w:rsidP="004C2EC8">
      <w:pPr>
        <w:spacing w:after="160" w:line="259" w:lineRule="auto"/>
        <w:ind w:left="643"/>
        <w:contextualSpacing/>
        <w:rPr>
          <w:rFonts w:eastAsia="Calibri" w:cs="Arial"/>
          <w:b/>
          <w:sz w:val="24"/>
          <w:szCs w:val="24"/>
          <w:lang w:eastAsia="en-GB"/>
        </w:rPr>
      </w:pPr>
    </w:p>
    <w:p w14:paraId="75CBD1D8" w14:textId="77777777" w:rsidR="004C2EC8" w:rsidRPr="004C2EC8" w:rsidRDefault="004C2EC8" w:rsidP="004C2EC8">
      <w:pPr>
        <w:rPr>
          <w:rFonts w:cs="Arial"/>
        </w:rPr>
      </w:pPr>
      <w:r w:rsidRPr="004C2EC8">
        <w:rPr>
          <w:rFonts w:cs="Arial"/>
        </w:rPr>
        <w:t xml:space="preserve">Lake District National Park Authority (the Authority), is responsible for ensuring that its business is conducted in accordance with the law and proper standards, and that public money is safeguarded and properly accounted for, and used economically, efficiently and effectively. The Authority also has a duty under the Local Government Act 1999 to make arrangements to secure continuous improvement in the way its functions are exercised, having regard to a combination of economy, efficiency and effectiveness. </w:t>
      </w:r>
    </w:p>
    <w:p w14:paraId="273E4873" w14:textId="77777777" w:rsidR="004C2EC8" w:rsidRPr="004C2EC8" w:rsidRDefault="004C2EC8" w:rsidP="004C2EC8">
      <w:pPr>
        <w:rPr>
          <w:rFonts w:cs="Arial"/>
        </w:rPr>
      </w:pPr>
    </w:p>
    <w:p w14:paraId="1B6E3CB8" w14:textId="77777777" w:rsidR="004C2EC8" w:rsidRPr="004C2EC8" w:rsidRDefault="004C2EC8" w:rsidP="004C2EC8">
      <w:pPr>
        <w:rPr>
          <w:rFonts w:cs="Arial"/>
        </w:rPr>
      </w:pPr>
      <w:r w:rsidRPr="004C2EC8">
        <w:rPr>
          <w:rFonts w:cs="Arial"/>
        </w:rPr>
        <w:t>In discharging this overall responsibility, the Authority is responsible for putting in place proper arrangements for the governance of its affairs, facilitating the effective exercise of its functions, and which includes arrangements for the management of risk.</w:t>
      </w:r>
    </w:p>
    <w:p w14:paraId="6F1C299F" w14:textId="77777777" w:rsidR="004C2EC8" w:rsidRPr="004C2EC8" w:rsidRDefault="004C2EC8" w:rsidP="004C2EC8">
      <w:pPr>
        <w:rPr>
          <w:rFonts w:cs="Arial"/>
        </w:rPr>
      </w:pPr>
    </w:p>
    <w:p w14:paraId="26759D3E" w14:textId="77777777" w:rsidR="004C2EC8" w:rsidRPr="004C2EC8" w:rsidRDefault="004C2EC8" w:rsidP="004C2EC8">
      <w:pPr>
        <w:rPr>
          <w:rFonts w:cs="Arial"/>
        </w:rPr>
      </w:pPr>
      <w:r w:rsidRPr="004C2EC8">
        <w:rPr>
          <w:rFonts w:cs="Arial"/>
        </w:rPr>
        <w:t>The Authority has approved and adopted a Local Code of Corporate Governance (</w:t>
      </w:r>
      <w:proofErr w:type="spellStart"/>
      <w:r w:rsidRPr="004C2EC8">
        <w:rPr>
          <w:rFonts w:cs="Arial"/>
        </w:rPr>
        <w:t>LCoCG</w:t>
      </w:r>
      <w:proofErr w:type="spellEnd"/>
      <w:r w:rsidRPr="004C2EC8">
        <w:rPr>
          <w:rFonts w:cs="Arial"/>
        </w:rPr>
        <w:t xml:space="preserve">). This forms part of the Authority Handbook and is consistent with the principles of the CIPFA/SOLACE Framework </w:t>
      </w:r>
      <w:r w:rsidRPr="004C2EC8">
        <w:rPr>
          <w:rFonts w:cs="Arial"/>
          <w:i/>
        </w:rPr>
        <w:t>Delivering Good Governance in Local Government</w:t>
      </w:r>
      <w:r w:rsidRPr="004C2EC8">
        <w:rPr>
          <w:rFonts w:cs="Arial"/>
        </w:rPr>
        <w:t xml:space="preserve">. This statement explains how the Authority has complied with the </w:t>
      </w:r>
      <w:proofErr w:type="spellStart"/>
      <w:r w:rsidRPr="004C2EC8">
        <w:rPr>
          <w:rFonts w:cs="Arial"/>
        </w:rPr>
        <w:t>LCoGC</w:t>
      </w:r>
      <w:proofErr w:type="spellEnd"/>
      <w:r w:rsidRPr="004C2EC8">
        <w:rPr>
          <w:rFonts w:cs="Arial"/>
        </w:rPr>
        <w:t xml:space="preserve"> and also meets the requirements of Accounts and Audit (England) Regulations 2015, regulation 6 (1) (b), which requires all relevant authorities to prepare an annual governance statement.</w:t>
      </w:r>
    </w:p>
    <w:p w14:paraId="091E1D55" w14:textId="77777777" w:rsidR="004C2EC8" w:rsidRPr="004C2EC8" w:rsidRDefault="004C2EC8" w:rsidP="004C2EC8">
      <w:pPr>
        <w:rPr>
          <w:rFonts w:cs="Arial"/>
        </w:rPr>
      </w:pPr>
    </w:p>
    <w:p w14:paraId="6357F622" w14:textId="77777777" w:rsidR="004C2EC8" w:rsidRPr="004C2EC8" w:rsidRDefault="004C2EC8" w:rsidP="004C2EC8">
      <w:pPr>
        <w:numPr>
          <w:ilvl w:val="0"/>
          <w:numId w:val="20"/>
        </w:numPr>
        <w:spacing w:after="160" w:line="259" w:lineRule="auto"/>
        <w:ind w:hanging="643"/>
        <w:contextualSpacing/>
        <w:rPr>
          <w:rFonts w:eastAsia="Calibri" w:cs="Arial"/>
          <w:b/>
          <w:sz w:val="24"/>
          <w:szCs w:val="24"/>
          <w:lang w:eastAsia="en-GB"/>
        </w:rPr>
      </w:pPr>
      <w:r w:rsidRPr="004C2EC8">
        <w:rPr>
          <w:rFonts w:eastAsia="Calibri" w:cs="Arial"/>
          <w:b/>
          <w:sz w:val="24"/>
          <w:szCs w:val="24"/>
          <w:lang w:eastAsia="en-GB"/>
        </w:rPr>
        <w:t>The Purpose of the Governance Framework</w:t>
      </w:r>
    </w:p>
    <w:p w14:paraId="408A4F4B" w14:textId="77777777" w:rsidR="004C2EC8" w:rsidRPr="004C2EC8" w:rsidRDefault="004C2EC8" w:rsidP="004C2EC8">
      <w:pPr>
        <w:spacing w:after="160" w:line="259" w:lineRule="auto"/>
        <w:ind w:left="643"/>
        <w:contextualSpacing/>
        <w:rPr>
          <w:rFonts w:eastAsia="Calibri" w:cs="Arial"/>
          <w:b/>
          <w:sz w:val="24"/>
          <w:szCs w:val="24"/>
          <w:lang w:eastAsia="en-GB"/>
        </w:rPr>
      </w:pPr>
    </w:p>
    <w:p w14:paraId="1510BB07" w14:textId="77777777" w:rsidR="004C2EC8" w:rsidRPr="004C2EC8" w:rsidRDefault="004C2EC8" w:rsidP="004C2EC8">
      <w:pPr>
        <w:rPr>
          <w:rFonts w:cs="Arial"/>
        </w:rPr>
      </w:pPr>
      <w:r w:rsidRPr="004C2EC8">
        <w:rPr>
          <w:rFonts w:cs="Arial"/>
        </w:rPr>
        <w:t xml:space="preserve">The Governance Framework comprises the systems and processes, culture and values by which the Authority is directed and controlled and its activities through which it accounts to, engages with and leads its communities. It enables the Authority to monitor the achievement of its priorities and to consider whether those priorities have led to the delivery of appropriate services and value for money. This is brought together in the Authority’s </w:t>
      </w:r>
      <w:proofErr w:type="spellStart"/>
      <w:r w:rsidRPr="004C2EC8">
        <w:rPr>
          <w:rFonts w:cs="Arial"/>
        </w:rPr>
        <w:t>LCoCG</w:t>
      </w:r>
      <w:proofErr w:type="spellEnd"/>
      <w:r w:rsidRPr="004C2EC8">
        <w:rPr>
          <w:rFonts w:cs="Arial"/>
        </w:rPr>
        <w:t xml:space="preserve">; this review has been completed with reference to the detailed provisions set out in the </w:t>
      </w:r>
      <w:proofErr w:type="spellStart"/>
      <w:r w:rsidRPr="004C2EC8">
        <w:rPr>
          <w:rFonts w:cs="Arial"/>
        </w:rPr>
        <w:t>LCoCG</w:t>
      </w:r>
      <w:proofErr w:type="spellEnd"/>
      <w:r w:rsidRPr="004C2EC8">
        <w:rPr>
          <w:rFonts w:cs="Arial"/>
        </w:rPr>
        <w:t>.</w:t>
      </w:r>
    </w:p>
    <w:p w14:paraId="3DE3B9A9" w14:textId="77777777" w:rsidR="004C2EC8" w:rsidRPr="004C2EC8" w:rsidRDefault="004C2EC8" w:rsidP="004C2EC8">
      <w:pPr>
        <w:rPr>
          <w:rFonts w:cs="Arial"/>
        </w:rPr>
      </w:pPr>
    </w:p>
    <w:p w14:paraId="6456521F" w14:textId="77777777" w:rsidR="004C2EC8" w:rsidRPr="004C2EC8" w:rsidRDefault="004C2EC8" w:rsidP="004C2EC8">
      <w:pPr>
        <w:rPr>
          <w:rFonts w:cs="Arial"/>
        </w:rPr>
      </w:pPr>
      <w:r w:rsidRPr="004C2EC8">
        <w:rPr>
          <w:rFonts w:cs="Arial"/>
        </w:rPr>
        <w:t>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The system of internal control is based on an ongoing process designed to identify and prioritise the risks to the achievement of the Authority’s Business Plan, policies, aims and objectives, to evaluate the likelihood and potential impact of those risks being realised, and to manage them efficiently, effectively and economically.</w:t>
      </w:r>
    </w:p>
    <w:p w14:paraId="5E996546" w14:textId="77777777" w:rsidR="004C2EC8" w:rsidRPr="004C2EC8" w:rsidRDefault="004C2EC8" w:rsidP="004C2EC8">
      <w:pPr>
        <w:rPr>
          <w:rFonts w:cs="Arial"/>
        </w:rPr>
      </w:pPr>
    </w:p>
    <w:p w14:paraId="3DCF0B7E" w14:textId="77777777" w:rsidR="004C2EC8" w:rsidRPr="004C2EC8" w:rsidRDefault="004C2EC8" w:rsidP="004C2EC8">
      <w:pPr>
        <w:rPr>
          <w:rFonts w:cs="Arial"/>
        </w:rPr>
      </w:pPr>
      <w:r w:rsidRPr="004C2EC8">
        <w:rPr>
          <w:rFonts w:cs="Arial"/>
        </w:rPr>
        <w:t xml:space="preserve">There are seven key principles to good governance highlighted in the CIPFA/Solace framework, the </w:t>
      </w:r>
      <w:proofErr w:type="spellStart"/>
      <w:r w:rsidRPr="004C2EC8">
        <w:rPr>
          <w:rFonts w:cs="Arial"/>
        </w:rPr>
        <w:t>LCoGC</w:t>
      </w:r>
      <w:proofErr w:type="spellEnd"/>
      <w:r w:rsidRPr="004C2EC8">
        <w:rPr>
          <w:rFonts w:cs="Arial"/>
        </w:rPr>
        <w:t xml:space="preserve"> is also structured around these:</w:t>
      </w:r>
    </w:p>
    <w:p w14:paraId="4AF8AB2D" w14:textId="77777777" w:rsidR="004C2EC8" w:rsidRPr="004C2EC8" w:rsidRDefault="004C2EC8" w:rsidP="004C2EC8">
      <w:pPr>
        <w:rPr>
          <w:rFonts w:cs="Arial"/>
        </w:rPr>
      </w:pPr>
    </w:p>
    <w:p w14:paraId="40CBC559" w14:textId="77777777" w:rsidR="004C2EC8" w:rsidRPr="004C2EC8" w:rsidRDefault="004C2EC8" w:rsidP="004C2EC8">
      <w:pPr>
        <w:ind w:left="1418" w:hanging="1418"/>
      </w:pPr>
      <w:r w:rsidRPr="004C2EC8">
        <w:t xml:space="preserve">Principle A </w:t>
      </w:r>
      <w:r w:rsidRPr="004C2EC8">
        <w:tab/>
        <w:t xml:space="preserve">Behaving with integrity, demonstrating strong commitment to ethical values, and respecting the rule of law </w:t>
      </w:r>
    </w:p>
    <w:p w14:paraId="645EC5AA" w14:textId="77777777" w:rsidR="004C2EC8" w:rsidRPr="004C2EC8" w:rsidRDefault="004C2EC8" w:rsidP="004C2EC8">
      <w:r w:rsidRPr="004C2EC8">
        <w:t xml:space="preserve">Principle B </w:t>
      </w:r>
      <w:r w:rsidRPr="004C2EC8">
        <w:tab/>
        <w:t xml:space="preserve">Ensuring openness and comprehensive stakeholder engagement </w:t>
      </w:r>
    </w:p>
    <w:p w14:paraId="22D1FEE6" w14:textId="77777777" w:rsidR="004C2EC8" w:rsidRPr="004C2EC8" w:rsidRDefault="004C2EC8" w:rsidP="004C2EC8">
      <w:pPr>
        <w:ind w:left="1418" w:hanging="1418"/>
      </w:pPr>
      <w:r w:rsidRPr="004C2EC8">
        <w:t xml:space="preserve">Principle C </w:t>
      </w:r>
      <w:r w:rsidRPr="004C2EC8">
        <w:tab/>
        <w:t xml:space="preserve">Defining outcomes in terms of sustainable economic, social, and environmental benefits </w:t>
      </w:r>
    </w:p>
    <w:p w14:paraId="6D2C85DC" w14:textId="77777777" w:rsidR="004C2EC8" w:rsidRPr="004C2EC8" w:rsidRDefault="004C2EC8" w:rsidP="004C2EC8">
      <w:pPr>
        <w:ind w:left="1418" w:hanging="1418"/>
      </w:pPr>
      <w:r w:rsidRPr="004C2EC8">
        <w:t xml:space="preserve">Principle D </w:t>
      </w:r>
      <w:r w:rsidRPr="004C2EC8">
        <w:tab/>
        <w:t xml:space="preserve">Determining the interventions necessary to optimise the achievement of the intended outcomes </w:t>
      </w:r>
    </w:p>
    <w:p w14:paraId="60182DA0" w14:textId="77777777" w:rsidR="004C2EC8" w:rsidRPr="004C2EC8" w:rsidRDefault="004C2EC8" w:rsidP="004C2EC8">
      <w:pPr>
        <w:ind w:left="1418" w:hanging="1418"/>
      </w:pPr>
      <w:r w:rsidRPr="004C2EC8">
        <w:t xml:space="preserve">Principle E </w:t>
      </w:r>
      <w:r w:rsidRPr="004C2EC8">
        <w:tab/>
        <w:t xml:space="preserve">Developing the entity’s capacity, including the capability of its leadership and the individuals within it </w:t>
      </w:r>
    </w:p>
    <w:p w14:paraId="1A9B31C3" w14:textId="77777777" w:rsidR="004C2EC8" w:rsidRPr="004C2EC8" w:rsidRDefault="004C2EC8" w:rsidP="004C2EC8">
      <w:pPr>
        <w:ind w:left="1418" w:hanging="1418"/>
      </w:pPr>
      <w:r w:rsidRPr="004C2EC8">
        <w:t>Principle F</w:t>
      </w:r>
      <w:r w:rsidRPr="004C2EC8">
        <w:tab/>
        <w:t xml:space="preserve">Managing risks and performance through robust internal control and strong public financial management </w:t>
      </w:r>
    </w:p>
    <w:p w14:paraId="4ED0C920" w14:textId="77777777" w:rsidR="004C2EC8" w:rsidRPr="004C2EC8" w:rsidRDefault="004C2EC8" w:rsidP="004C2EC8">
      <w:pPr>
        <w:ind w:left="1418" w:hanging="1418"/>
        <w:rPr>
          <w:rFonts w:cs="Arial"/>
        </w:rPr>
      </w:pPr>
      <w:r w:rsidRPr="004C2EC8">
        <w:t xml:space="preserve">Principle G </w:t>
      </w:r>
      <w:r w:rsidRPr="004C2EC8">
        <w:tab/>
        <w:t>Implementing good practices in transparency, reporting, and audit to deliver effective accountability</w:t>
      </w:r>
    </w:p>
    <w:p w14:paraId="3AC0AECF" w14:textId="77777777" w:rsidR="004C2EC8" w:rsidRPr="004C2EC8" w:rsidRDefault="004C2EC8" w:rsidP="004C2EC8">
      <w:pPr>
        <w:rPr>
          <w:rFonts w:cs="Arial"/>
        </w:rPr>
      </w:pPr>
    </w:p>
    <w:p w14:paraId="0CFF2168" w14:textId="77777777" w:rsidR="004C2EC8" w:rsidRPr="004C2EC8" w:rsidRDefault="004C2EC8" w:rsidP="004C2EC8">
      <w:pPr>
        <w:rPr>
          <w:rFonts w:cs="Arial"/>
        </w:rPr>
      </w:pPr>
      <w:r w:rsidRPr="004C2EC8">
        <w:rPr>
          <w:rFonts w:cs="Arial"/>
        </w:rPr>
        <w:t>The following section summarises the Authority’s Governance arrangements in place during the year ended 31 March 2023 and up to the date of approval of the statement of accounts. Section 4 sets out the review of effectiveness and section 5 contains the action plan for implementation during 2023/24.</w:t>
      </w:r>
    </w:p>
    <w:p w14:paraId="32B13CF8" w14:textId="77777777" w:rsidR="004C2EC8" w:rsidRPr="004C2EC8" w:rsidRDefault="004C2EC8" w:rsidP="004C2EC8">
      <w:pPr>
        <w:rPr>
          <w:rFonts w:cs="Arial"/>
        </w:rPr>
      </w:pPr>
    </w:p>
    <w:p w14:paraId="547CB3AF" w14:textId="77777777" w:rsidR="004C2EC8" w:rsidRPr="004C2EC8" w:rsidRDefault="004C2EC8" w:rsidP="004C2EC8">
      <w:pPr>
        <w:rPr>
          <w:rFonts w:cs="Arial"/>
        </w:rPr>
      </w:pPr>
    </w:p>
    <w:p w14:paraId="4F062640" w14:textId="77777777" w:rsidR="004C2EC8" w:rsidRPr="004C2EC8" w:rsidRDefault="004C2EC8" w:rsidP="004C2EC8">
      <w:pPr>
        <w:numPr>
          <w:ilvl w:val="0"/>
          <w:numId w:val="20"/>
        </w:numPr>
        <w:spacing w:after="160" w:line="259" w:lineRule="auto"/>
        <w:ind w:hanging="643"/>
        <w:contextualSpacing/>
        <w:rPr>
          <w:rFonts w:eastAsia="Calibri" w:cs="Arial"/>
          <w:b/>
          <w:sz w:val="24"/>
          <w:szCs w:val="24"/>
          <w:lang w:eastAsia="en-GB"/>
        </w:rPr>
      </w:pPr>
      <w:r w:rsidRPr="004C2EC8">
        <w:rPr>
          <w:rFonts w:eastAsia="Calibri" w:cs="Arial"/>
          <w:b/>
          <w:sz w:val="24"/>
          <w:szCs w:val="24"/>
          <w:lang w:eastAsia="en-GB"/>
        </w:rPr>
        <w:t>Governance Arrangements.</w:t>
      </w:r>
    </w:p>
    <w:p w14:paraId="39F651BF" w14:textId="77777777" w:rsidR="004C2EC8" w:rsidRPr="004C2EC8" w:rsidRDefault="004C2EC8" w:rsidP="004C2EC8">
      <w:pPr>
        <w:spacing w:after="160" w:line="259" w:lineRule="auto"/>
        <w:ind w:left="720"/>
        <w:contextualSpacing/>
        <w:rPr>
          <w:rFonts w:eastAsia="Calibri" w:cs="Arial"/>
          <w:b/>
          <w:sz w:val="24"/>
          <w:lang w:eastAsia="en-GB"/>
        </w:rPr>
      </w:pPr>
    </w:p>
    <w:p w14:paraId="39AAE6D3" w14:textId="77777777" w:rsidR="004C2EC8" w:rsidRPr="004C2EC8" w:rsidRDefault="004C2EC8" w:rsidP="004C2EC8">
      <w:pPr>
        <w:numPr>
          <w:ilvl w:val="1"/>
          <w:numId w:val="20"/>
        </w:numPr>
        <w:spacing w:after="160" w:line="259" w:lineRule="auto"/>
        <w:ind w:hanging="780"/>
        <w:contextualSpacing/>
        <w:rPr>
          <w:rFonts w:eastAsia="Calibri" w:cs="Arial"/>
          <w:b/>
          <w:sz w:val="24"/>
          <w:szCs w:val="24"/>
          <w:lang w:eastAsia="en-GB"/>
        </w:rPr>
      </w:pPr>
      <w:r w:rsidRPr="004C2EC8">
        <w:rPr>
          <w:rFonts w:eastAsia="Calibri" w:cs="Arial"/>
          <w:b/>
          <w:sz w:val="24"/>
          <w:szCs w:val="24"/>
          <w:lang w:eastAsia="en-GB"/>
        </w:rPr>
        <w:t xml:space="preserve">The Authority’s Vision </w:t>
      </w:r>
      <w:r w:rsidRPr="004C2EC8">
        <w:rPr>
          <w:rFonts w:eastAsia="Calibri" w:cs="Arial"/>
          <w:b/>
          <w:bCs/>
          <w:sz w:val="24"/>
          <w:szCs w:val="24"/>
          <w:lang w:eastAsia="en-GB"/>
        </w:rPr>
        <w:t>–</w:t>
      </w:r>
      <w:r w:rsidRPr="004C2EC8">
        <w:rPr>
          <w:rFonts w:eastAsia="Calibri" w:cs="Arial"/>
          <w:b/>
          <w:sz w:val="24"/>
          <w:szCs w:val="24"/>
          <w:lang w:eastAsia="en-GB"/>
        </w:rPr>
        <w:t xml:space="preserve"> Purpose</w:t>
      </w:r>
      <w:r w:rsidRPr="004C2EC8">
        <w:rPr>
          <w:rFonts w:eastAsia="Calibri" w:cs="Arial"/>
          <w:b/>
          <w:bCs/>
          <w:sz w:val="24"/>
          <w:szCs w:val="24"/>
          <w:lang w:eastAsia="en-GB"/>
        </w:rPr>
        <w:t>,</w:t>
      </w:r>
      <w:r w:rsidRPr="004C2EC8">
        <w:rPr>
          <w:rFonts w:eastAsia="Calibri" w:cs="Arial"/>
          <w:b/>
          <w:sz w:val="24"/>
          <w:szCs w:val="24"/>
          <w:lang w:eastAsia="en-GB"/>
        </w:rPr>
        <w:t xml:space="preserve"> Outcomes and Objectives</w:t>
      </w:r>
    </w:p>
    <w:p w14:paraId="6C660FB5" w14:textId="77777777" w:rsidR="004C2EC8" w:rsidRPr="004C2EC8" w:rsidRDefault="004C2EC8" w:rsidP="004C2EC8">
      <w:pPr>
        <w:spacing w:after="160" w:line="259" w:lineRule="auto"/>
        <w:ind w:left="780"/>
        <w:contextualSpacing/>
        <w:rPr>
          <w:rFonts w:eastAsia="Calibri" w:cs="Arial"/>
          <w:b/>
          <w:sz w:val="24"/>
          <w:lang w:eastAsia="en-GB"/>
        </w:rPr>
      </w:pPr>
    </w:p>
    <w:p w14:paraId="2275718A" w14:textId="77777777" w:rsidR="004C2EC8" w:rsidRPr="004C2EC8" w:rsidRDefault="004C2EC8" w:rsidP="004C2EC8">
      <w:pPr>
        <w:rPr>
          <w:rFonts w:cs="Arial"/>
        </w:rPr>
      </w:pPr>
      <w:r w:rsidRPr="004C2EC8">
        <w:rPr>
          <w:rFonts w:cs="Arial"/>
        </w:rPr>
        <w:t xml:space="preserve">The Authority’s Business Plan is a key document for the Authority, providing the framework for all Authority activity. The strategic outcomes and related Authority objectives set out in the Business Plan are drawn from the Lake District National Park Partnership’s Plan, which is the Management Plan for the National Park. The Partnership Plan highlights strategic outcomes and key actions required to deliver the Vision for the National Park, which have been agreed by all of the partners on the Partnership, and the Authority’s Business Plan identifies the key activities where we are leading or are substantively involved in delivery. It also details the key service objectives for the each of the Authority’s services over the next three years. </w:t>
      </w:r>
    </w:p>
    <w:p w14:paraId="0E918C6F" w14:textId="77777777" w:rsidR="004C2EC8" w:rsidRPr="004C2EC8" w:rsidRDefault="004C2EC8" w:rsidP="004C2EC8">
      <w:pPr>
        <w:rPr>
          <w:rFonts w:cs="Arial"/>
        </w:rPr>
      </w:pPr>
    </w:p>
    <w:p w14:paraId="00C534E0" w14:textId="77777777" w:rsidR="004C2EC8" w:rsidRPr="004C2EC8" w:rsidRDefault="004C2EC8" w:rsidP="004C2EC8">
      <w:pPr>
        <w:rPr>
          <w:rFonts w:cs="Arial"/>
          <w:b/>
        </w:rPr>
      </w:pPr>
      <w:r w:rsidRPr="004C2EC8">
        <w:rPr>
          <w:rFonts w:cs="Arial"/>
        </w:rPr>
        <w:t xml:space="preserve">The Business Plan gives a clear message to the public and our partners about the priorities for the Authority over the course of its 3 year term, setting out where the Authority will be focusing its resources and activity. </w:t>
      </w:r>
    </w:p>
    <w:p w14:paraId="288A31D8" w14:textId="77777777" w:rsidR="004C2EC8" w:rsidRPr="004C2EC8" w:rsidRDefault="004C2EC8" w:rsidP="004C2EC8">
      <w:pPr>
        <w:rPr>
          <w:rFonts w:cs="Arial"/>
        </w:rPr>
      </w:pPr>
    </w:p>
    <w:p w14:paraId="58A6F559" w14:textId="77777777" w:rsidR="004C2EC8" w:rsidRPr="004C2EC8" w:rsidRDefault="004C2EC8" w:rsidP="004C2EC8">
      <w:pPr>
        <w:numPr>
          <w:ilvl w:val="1"/>
          <w:numId w:val="20"/>
        </w:numPr>
        <w:spacing w:after="160" w:line="259" w:lineRule="auto"/>
        <w:ind w:hanging="780"/>
        <w:contextualSpacing/>
        <w:rPr>
          <w:rFonts w:eastAsia="Calibri" w:cs="Arial"/>
          <w:b/>
          <w:sz w:val="24"/>
          <w:lang w:eastAsia="en-GB"/>
        </w:rPr>
      </w:pPr>
      <w:r w:rsidRPr="004C2EC8">
        <w:rPr>
          <w:rFonts w:eastAsia="Calibri" w:cs="Arial"/>
          <w:b/>
          <w:sz w:val="24"/>
          <w:lang w:eastAsia="en-GB"/>
        </w:rPr>
        <w:t>The Authority’s Vision – Implications for Governance Arrangements</w:t>
      </w:r>
    </w:p>
    <w:p w14:paraId="181F406C" w14:textId="77777777" w:rsidR="004C2EC8" w:rsidRPr="004C2EC8" w:rsidRDefault="004C2EC8" w:rsidP="004C2EC8">
      <w:pPr>
        <w:spacing w:after="160" w:line="259" w:lineRule="auto"/>
        <w:ind w:left="780"/>
        <w:contextualSpacing/>
        <w:rPr>
          <w:rFonts w:eastAsia="Calibri" w:cs="Arial"/>
          <w:b/>
          <w:sz w:val="24"/>
          <w:lang w:eastAsia="en-GB"/>
        </w:rPr>
      </w:pPr>
    </w:p>
    <w:p w14:paraId="01F72C61" w14:textId="77777777" w:rsidR="004C2EC8" w:rsidRPr="004C2EC8" w:rsidRDefault="004C2EC8" w:rsidP="004C2EC8">
      <w:pPr>
        <w:rPr>
          <w:rFonts w:cs="Arial"/>
        </w:rPr>
      </w:pPr>
      <w:r w:rsidRPr="004C2EC8">
        <w:rPr>
          <w:rFonts w:cs="Arial"/>
        </w:rPr>
        <w:t xml:space="preserve">The Authority’s direction of travel set out in the Business Plan is reviewed annually with Members to ensure that objectives and actions are still relevant and consistent with our strategic aspirations. Key objectives are reviewed and all of the specific actions forming part of the Authority’s Business Plan have assigned owners. </w:t>
      </w:r>
    </w:p>
    <w:p w14:paraId="026E411C" w14:textId="77777777" w:rsidR="004C2EC8" w:rsidRPr="004C2EC8" w:rsidRDefault="004C2EC8" w:rsidP="004C2EC8">
      <w:pPr>
        <w:rPr>
          <w:rFonts w:cs="Arial"/>
        </w:rPr>
      </w:pPr>
    </w:p>
    <w:p w14:paraId="5AC487AB" w14:textId="77777777" w:rsidR="004C2EC8" w:rsidRPr="004C2EC8" w:rsidRDefault="004C2EC8" w:rsidP="004C2EC8">
      <w:pPr>
        <w:rPr>
          <w:rFonts w:cs="Arial"/>
        </w:rPr>
      </w:pPr>
      <w:r w:rsidRPr="004C2EC8">
        <w:rPr>
          <w:rFonts w:cs="Arial"/>
        </w:rPr>
        <w:t>The Business Plan is underpinned by a set of supporting strategies and detailed Service Plans that set out key activities and measures for each outcome theme in the Business Plan. The Business Plan forms the basis of quarterly performance reports received by the Resources Committee, and monthly reports received by Strategic Leadership Team.</w:t>
      </w:r>
    </w:p>
    <w:p w14:paraId="40959A4F" w14:textId="77777777" w:rsidR="004C2EC8" w:rsidRPr="004C2EC8" w:rsidRDefault="004C2EC8" w:rsidP="004C2EC8">
      <w:pPr>
        <w:rPr>
          <w:rFonts w:cs="Arial"/>
        </w:rPr>
      </w:pPr>
    </w:p>
    <w:p w14:paraId="464DB02D" w14:textId="77777777" w:rsidR="004C2EC8" w:rsidRPr="004C2EC8" w:rsidRDefault="004C2EC8" w:rsidP="004C2EC8">
      <w:pPr>
        <w:numPr>
          <w:ilvl w:val="1"/>
          <w:numId w:val="20"/>
        </w:numPr>
        <w:spacing w:after="160" w:line="259" w:lineRule="auto"/>
        <w:ind w:hanging="780"/>
        <w:contextualSpacing/>
        <w:rPr>
          <w:rFonts w:eastAsia="Calibri" w:cs="Arial"/>
          <w:b/>
          <w:sz w:val="24"/>
          <w:lang w:eastAsia="en-GB"/>
        </w:rPr>
      </w:pPr>
      <w:r w:rsidRPr="004C2EC8">
        <w:rPr>
          <w:rFonts w:eastAsia="Calibri" w:cs="Arial"/>
          <w:b/>
          <w:sz w:val="24"/>
          <w:lang w:eastAsia="en-GB"/>
        </w:rPr>
        <w:t xml:space="preserve"> Measuring the Quality of Services</w:t>
      </w:r>
    </w:p>
    <w:p w14:paraId="2D6C8245" w14:textId="77777777" w:rsidR="004C2EC8" w:rsidRPr="004C2EC8" w:rsidRDefault="004C2EC8" w:rsidP="004C2EC8">
      <w:pPr>
        <w:rPr>
          <w:rFonts w:cs="Arial"/>
        </w:rPr>
      </w:pPr>
    </w:p>
    <w:p w14:paraId="36CE5554" w14:textId="77777777" w:rsidR="004C2EC8" w:rsidRPr="004C2EC8" w:rsidRDefault="004C2EC8" w:rsidP="004C2EC8">
      <w:pPr>
        <w:rPr>
          <w:rFonts w:cs="Arial"/>
        </w:rPr>
      </w:pPr>
      <w:r w:rsidRPr="004C2EC8">
        <w:rPr>
          <w:rFonts w:cs="Arial"/>
        </w:rPr>
        <w:t>Performance within services is measured monthly against performance indicators, which in turn feed into Service Plans monitored by the Strategic Leadership Team. Performance indicators are continually refined and reviewed to ensure their continuing relevance to our operations and to ensure high quality data for business decision making.</w:t>
      </w:r>
    </w:p>
    <w:p w14:paraId="24AC3D33" w14:textId="77777777" w:rsidR="004C2EC8" w:rsidRPr="004C2EC8" w:rsidRDefault="004C2EC8" w:rsidP="004C2EC8">
      <w:pPr>
        <w:rPr>
          <w:rFonts w:cs="Arial"/>
        </w:rPr>
      </w:pPr>
    </w:p>
    <w:p w14:paraId="7EB4A484" w14:textId="77777777" w:rsidR="004C2EC8" w:rsidRPr="004C2EC8" w:rsidRDefault="004C2EC8" w:rsidP="004C2EC8">
      <w:pPr>
        <w:numPr>
          <w:ilvl w:val="1"/>
          <w:numId w:val="20"/>
        </w:numPr>
        <w:spacing w:after="160" w:line="259" w:lineRule="auto"/>
        <w:ind w:hanging="780"/>
        <w:contextualSpacing/>
        <w:rPr>
          <w:rFonts w:eastAsia="Calibri" w:cs="Arial"/>
          <w:b/>
          <w:sz w:val="24"/>
          <w:lang w:eastAsia="en-GB"/>
        </w:rPr>
      </w:pPr>
      <w:r w:rsidRPr="004C2EC8">
        <w:rPr>
          <w:rFonts w:eastAsia="Calibri" w:cs="Arial"/>
          <w:b/>
          <w:sz w:val="24"/>
          <w:lang w:eastAsia="en-GB"/>
        </w:rPr>
        <w:t>Roles and Responsibilities</w:t>
      </w:r>
    </w:p>
    <w:p w14:paraId="731857BB" w14:textId="77777777" w:rsidR="004C2EC8" w:rsidRPr="004C2EC8" w:rsidRDefault="004C2EC8" w:rsidP="004C2EC8">
      <w:pPr>
        <w:spacing w:after="160" w:line="259" w:lineRule="auto"/>
        <w:ind w:left="780"/>
        <w:contextualSpacing/>
        <w:rPr>
          <w:rFonts w:eastAsia="Calibri" w:cs="Arial"/>
          <w:b/>
          <w:sz w:val="24"/>
          <w:lang w:eastAsia="en-GB"/>
        </w:rPr>
      </w:pPr>
    </w:p>
    <w:p w14:paraId="07EAA3D6" w14:textId="77777777" w:rsidR="004C2EC8" w:rsidRPr="004C2EC8" w:rsidRDefault="004C2EC8" w:rsidP="004C2EC8">
      <w:pPr>
        <w:rPr>
          <w:rFonts w:cs="Arial"/>
        </w:rPr>
      </w:pPr>
      <w:r w:rsidRPr="004C2EC8">
        <w:rPr>
          <w:rFonts w:cs="Arial"/>
        </w:rPr>
        <w:t>The Authority documents and defines roles and responsibilities in a number of ways. These are set out in the Scheme of Delegation and Terms of Reference for each Committee. The Authority’s role in significant partnerships, such as the Lake District National Park Partnership, is defined and responsibilities within these are understood by relevant parties.</w:t>
      </w:r>
    </w:p>
    <w:p w14:paraId="4F9C08CE" w14:textId="77777777" w:rsidR="004C2EC8" w:rsidRPr="004C2EC8" w:rsidRDefault="004C2EC8" w:rsidP="004C2EC8">
      <w:pPr>
        <w:rPr>
          <w:rFonts w:cs="Arial"/>
          <w:b/>
        </w:rPr>
      </w:pPr>
    </w:p>
    <w:p w14:paraId="300AAC4A" w14:textId="77777777" w:rsidR="004C2EC8" w:rsidRPr="004C2EC8" w:rsidRDefault="004C2EC8" w:rsidP="004C2EC8">
      <w:pPr>
        <w:numPr>
          <w:ilvl w:val="1"/>
          <w:numId w:val="20"/>
        </w:numPr>
        <w:spacing w:after="160" w:line="259" w:lineRule="auto"/>
        <w:ind w:hanging="780"/>
        <w:contextualSpacing/>
        <w:rPr>
          <w:rFonts w:eastAsia="Calibri" w:cs="Arial"/>
          <w:b/>
          <w:sz w:val="24"/>
          <w:lang w:eastAsia="en-GB"/>
        </w:rPr>
      </w:pPr>
      <w:r w:rsidRPr="004C2EC8">
        <w:rPr>
          <w:rFonts w:eastAsia="Calibri" w:cs="Arial"/>
          <w:b/>
          <w:sz w:val="24"/>
          <w:lang w:eastAsia="en-GB"/>
        </w:rPr>
        <w:t xml:space="preserve"> Governance and People</w:t>
      </w:r>
    </w:p>
    <w:p w14:paraId="24806A7A" w14:textId="77777777" w:rsidR="004C2EC8" w:rsidRPr="004C2EC8" w:rsidRDefault="004C2EC8" w:rsidP="004C2EC8">
      <w:pPr>
        <w:spacing w:after="160" w:line="259" w:lineRule="auto"/>
        <w:ind w:left="780"/>
        <w:contextualSpacing/>
        <w:rPr>
          <w:rFonts w:eastAsia="Calibri" w:cs="Arial"/>
          <w:b/>
          <w:sz w:val="24"/>
          <w:lang w:eastAsia="en-GB"/>
        </w:rPr>
      </w:pPr>
    </w:p>
    <w:p w14:paraId="6D818AC2" w14:textId="6B7F2881" w:rsidR="004C2EC8" w:rsidRPr="004C2EC8" w:rsidRDefault="004C2EC8" w:rsidP="004C2EC8">
      <w:pPr>
        <w:rPr>
          <w:rFonts w:cs="Arial"/>
        </w:rPr>
      </w:pPr>
      <w:r w:rsidRPr="004C2EC8">
        <w:rPr>
          <w:rFonts w:cs="Arial"/>
        </w:rPr>
        <w:t xml:space="preserve">The Authority has adopted a suite of core policies, values and behaviours to complement our Vision and these have been agreed by Members and </w:t>
      </w:r>
      <w:r w:rsidR="001A221F" w:rsidRPr="004C2EC8">
        <w:rPr>
          <w:rFonts w:cs="Arial"/>
        </w:rPr>
        <w:t>codified</w:t>
      </w:r>
      <w:r w:rsidRPr="004C2EC8">
        <w:rPr>
          <w:rFonts w:cs="Arial"/>
        </w:rPr>
        <w:t xml:space="preserve"> within the Authority Handbook. </w:t>
      </w:r>
    </w:p>
    <w:p w14:paraId="1DB51669" w14:textId="77777777" w:rsidR="004C2EC8" w:rsidRPr="004C2EC8" w:rsidRDefault="004C2EC8" w:rsidP="004C2EC8">
      <w:pPr>
        <w:rPr>
          <w:rFonts w:cs="Arial"/>
        </w:rPr>
      </w:pPr>
    </w:p>
    <w:p w14:paraId="47297D35" w14:textId="77777777" w:rsidR="004C2EC8" w:rsidRPr="004C2EC8" w:rsidRDefault="004C2EC8" w:rsidP="004C2EC8">
      <w:pPr>
        <w:rPr>
          <w:rFonts w:cs="Arial"/>
        </w:rPr>
      </w:pPr>
      <w:r w:rsidRPr="004C2EC8">
        <w:rPr>
          <w:rFonts w:cs="Arial"/>
        </w:rPr>
        <w:t xml:space="preserve">The Authority’s Vision, values and behaviours, form a key part of the staff appraisal process and provide staff with a clear definition of the standards of behaviour expected in the Authority. The framework is supported by the Authority’s Officer Code of Conduct and staff induction programme. </w:t>
      </w:r>
    </w:p>
    <w:p w14:paraId="1DB52389" w14:textId="77777777" w:rsidR="004C2EC8" w:rsidRPr="004C2EC8" w:rsidRDefault="004C2EC8" w:rsidP="004C2EC8">
      <w:pPr>
        <w:rPr>
          <w:rFonts w:cs="Arial"/>
        </w:rPr>
      </w:pPr>
    </w:p>
    <w:p w14:paraId="49210AF9" w14:textId="77777777" w:rsidR="004C2EC8" w:rsidRPr="004C2EC8" w:rsidRDefault="004C2EC8" w:rsidP="004C2EC8">
      <w:pPr>
        <w:rPr>
          <w:rFonts w:cs="Arial"/>
        </w:rPr>
      </w:pPr>
      <w:r w:rsidRPr="004C2EC8">
        <w:rPr>
          <w:rFonts w:cs="Arial"/>
        </w:rPr>
        <w:t xml:space="preserve">To support internal communications we have implemented Microsoft Teams to make it easier for people to connect and work collaboratively. We have also developed and launched our new intranet, </w:t>
      </w:r>
      <w:proofErr w:type="spellStart"/>
      <w:r w:rsidRPr="004C2EC8">
        <w:rPr>
          <w:rFonts w:cs="Arial"/>
        </w:rPr>
        <w:t>Waymarker</w:t>
      </w:r>
      <w:proofErr w:type="spellEnd"/>
      <w:r w:rsidRPr="004C2EC8">
        <w:rPr>
          <w:rFonts w:cs="Arial"/>
        </w:rPr>
        <w:t xml:space="preserve">, and are rolling out OneDrive. Each team is at a different stage of implementation but this has mostly been completed. </w:t>
      </w:r>
    </w:p>
    <w:p w14:paraId="13AEC1E2" w14:textId="77777777" w:rsidR="004C2EC8" w:rsidRPr="004C2EC8" w:rsidRDefault="004C2EC8" w:rsidP="004C2EC8">
      <w:pPr>
        <w:rPr>
          <w:rFonts w:cs="Arial"/>
        </w:rPr>
      </w:pPr>
    </w:p>
    <w:p w14:paraId="3250C342" w14:textId="77777777" w:rsidR="004C2EC8" w:rsidRPr="004C2EC8" w:rsidRDefault="004C2EC8" w:rsidP="004C2EC8">
      <w:pPr>
        <w:rPr>
          <w:rFonts w:cs="Arial"/>
        </w:rPr>
      </w:pPr>
      <w:r w:rsidRPr="004C2EC8">
        <w:rPr>
          <w:rFonts w:cs="Arial"/>
        </w:rPr>
        <w:t>In 2022/23 members have had access to training and away hours of relevance to their role. There was an existing action plan item around member training and development and this has been brought forward to reflect the significant influx of new Members following local government re-organisation, particularly the need for comprehensive inductions.</w:t>
      </w:r>
    </w:p>
    <w:p w14:paraId="5F5F91BE" w14:textId="77777777" w:rsidR="004C2EC8" w:rsidRPr="004C2EC8" w:rsidRDefault="004C2EC8" w:rsidP="004C2EC8">
      <w:pPr>
        <w:rPr>
          <w:rFonts w:cs="Arial"/>
        </w:rPr>
      </w:pPr>
    </w:p>
    <w:p w14:paraId="70670CE6" w14:textId="77777777" w:rsidR="004C2EC8" w:rsidRPr="004C2EC8" w:rsidRDefault="004C2EC8" w:rsidP="004C2EC8">
      <w:pPr>
        <w:rPr>
          <w:rFonts w:cs="Arial"/>
        </w:rPr>
      </w:pPr>
      <w:r w:rsidRPr="004C2EC8">
        <w:rPr>
          <w:rFonts w:cs="Arial"/>
        </w:rPr>
        <w:t xml:space="preserve">Our processes for induction and management of volunteers ensures a near seamless provision of services between staff and volunteers and they have been integral to the development of our visitor management activities in the National Park during the pandemic. </w:t>
      </w:r>
    </w:p>
    <w:p w14:paraId="3C66BC74" w14:textId="77777777" w:rsidR="004C2EC8" w:rsidRPr="004C2EC8" w:rsidRDefault="004C2EC8" w:rsidP="004C2EC8">
      <w:pPr>
        <w:rPr>
          <w:rFonts w:cs="Arial"/>
        </w:rPr>
      </w:pPr>
    </w:p>
    <w:p w14:paraId="4C58935E" w14:textId="77777777" w:rsidR="004C2EC8" w:rsidRPr="004C2EC8" w:rsidRDefault="004C2EC8" w:rsidP="004C2EC8">
      <w:pPr>
        <w:rPr>
          <w:rFonts w:cs="Arial"/>
        </w:rPr>
      </w:pPr>
      <w:r w:rsidRPr="004C2EC8">
        <w:rPr>
          <w:rFonts w:cs="Arial"/>
        </w:rPr>
        <w:t xml:space="preserve">We continue to strengthen our management arrangements around equalities legislation to ensure we fulfil our obligations to promote social inclusion as a public body. In our Partnership Plan and Business Plan we have identified a “Lake District for Everyone” as a strategic priority to ensure we continue to work to promote accessibility and inclusion in the delivery of our services and the management of the National Park.  </w:t>
      </w:r>
    </w:p>
    <w:p w14:paraId="7D1A6632" w14:textId="77777777" w:rsidR="004C2EC8" w:rsidRPr="004C2EC8" w:rsidRDefault="004C2EC8" w:rsidP="004C2EC8">
      <w:pPr>
        <w:rPr>
          <w:rFonts w:cs="Arial"/>
          <w:b/>
        </w:rPr>
      </w:pPr>
    </w:p>
    <w:p w14:paraId="78CF7F53" w14:textId="0C7FD208" w:rsidR="004C2EC8" w:rsidRPr="004C2EC8" w:rsidRDefault="004C2EC8" w:rsidP="004C2EC8">
      <w:pPr>
        <w:rPr>
          <w:rFonts w:cs="Arial"/>
          <w:bCs/>
          <w:iCs/>
        </w:rPr>
      </w:pPr>
      <w:r w:rsidRPr="004C2EC8">
        <w:rPr>
          <w:rFonts w:cs="Arial"/>
          <w:bCs/>
        </w:rPr>
        <w:t xml:space="preserve">An action plan item has been included to </w:t>
      </w:r>
      <w:r w:rsidRPr="004C2EC8">
        <w:rPr>
          <w:rFonts w:cs="Arial"/>
          <w:bCs/>
          <w:iCs/>
        </w:rPr>
        <w:t>continue to work with Members to strengthen Member development opportunities and the appraisal process, particularly around induction of the significant number of new members</w:t>
      </w:r>
      <w:r w:rsidR="001126A7">
        <w:rPr>
          <w:rFonts w:cs="Arial"/>
          <w:bCs/>
          <w:iCs/>
        </w:rPr>
        <w:t>.</w:t>
      </w:r>
    </w:p>
    <w:p w14:paraId="4B549A66" w14:textId="77777777" w:rsidR="004C2EC8" w:rsidRPr="004C2EC8" w:rsidRDefault="004C2EC8" w:rsidP="004C2EC8">
      <w:pPr>
        <w:rPr>
          <w:rFonts w:eastAsia="Calibri" w:cs="Arial"/>
          <w:sz w:val="24"/>
          <w:lang w:eastAsia="en-GB"/>
        </w:rPr>
      </w:pPr>
    </w:p>
    <w:p w14:paraId="07B40FA7" w14:textId="77777777" w:rsidR="004C2EC8" w:rsidRPr="004C2EC8" w:rsidRDefault="004C2EC8" w:rsidP="004C2EC8">
      <w:pPr>
        <w:rPr>
          <w:rFonts w:eastAsia="Calibri" w:cs="Arial"/>
          <w:b/>
          <w:sz w:val="24"/>
          <w:lang w:eastAsia="en-GB"/>
        </w:rPr>
      </w:pPr>
    </w:p>
    <w:p w14:paraId="21C92FEB" w14:textId="77777777" w:rsidR="004C2EC8" w:rsidRPr="004C2EC8" w:rsidRDefault="004C2EC8" w:rsidP="004C2EC8">
      <w:pPr>
        <w:pStyle w:val="ListParagraph"/>
        <w:numPr>
          <w:ilvl w:val="1"/>
          <w:numId w:val="20"/>
        </w:numPr>
        <w:ind w:left="567" w:hanging="567"/>
        <w:contextualSpacing w:val="0"/>
        <w:rPr>
          <w:rFonts w:cs="Arial"/>
          <w:szCs w:val="23"/>
          <w:u w:val="none"/>
        </w:rPr>
      </w:pPr>
      <w:r w:rsidRPr="004C2EC8">
        <w:rPr>
          <w:rFonts w:cs="Arial"/>
          <w:b/>
          <w:szCs w:val="23"/>
          <w:u w:val="none"/>
        </w:rPr>
        <w:t>Risk Management</w:t>
      </w:r>
    </w:p>
    <w:p w14:paraId="3E401154" w14:textId="77777777" w:rsidR="004C2EC8" w:rsidRPr="004C2EC8" w:rsidRDefault="004C2EC8" w:rsidP="004C2EC8">
      <w:pPr>
        <w:spacing w:after="160" w:line="259" w:lineRule="auto"/>
        <w:ind w:left="780"/>
        <w:contextualSpacing/>
        <w:rPr>
          <w:rFonts w:eastAsia="Calibri" w:cs="Arial"/>
          <w:sz w:val="24"/>
          <w:lang w:eastAsia="en-GB"/>
        </w:rPr>
      </w:pPr>
    </w:p>
    <w:p w14:paraId="3AE59DE1" w14:textId="77777777" w:rsidR="004C2EC8" w:rsidRPr="004C2EC8" w:rsidRDefault="004C2EC8" w:rsidP="004C2EC8">
      <w:pPr>
        <w:rPr>
          <w:rFonts w:cs="Arial"/>
        </w:rPr>
      </w:pPr>
      <w:r w:rsidRPr="004C2EC8">
        <w:rPr>
          <w:rFonts w:cs="Arial"/>
        </w:rPr>
        <w:t>To support the need for continuous improvement, the Authority has developed an integrated assurance framework to contribute to the delivery of the objectives and actions set out in the Business Plan. This is now embedded into service planning and day-to-day risk management processes. This was subject to internal audit review during 2022/23.</w:t>
      </w:r>
    </w:p>
    <w:p w14:paraId="15E69CD4" w14:textId="77777777" w:rsidR="004C2EC8" w:rsidRPr="004C2EC8" w:rsidRDefault="004C2EC8" w:rsidP="004C2EC8">
      <w:pPr>
        <w:rPr>
          <w:rFonts w:cs="Arial"/>
        </w:rPr>
      </w:pPr>
    </w:p>
    <w:p w14:paraId="4B1B2D8F" w14:textId="77777777" w:rsidR="004C2EC8" w:rsidRPr="004C2EC8" w:rsidRDefault="004C2EC8" w:rsidP="004C2EC8">
      <w:pPr>
        <w:rPr>
          <w:rFonts w:cs="Arial"/>
        </w:rPr>
      </w:pPr>
      <w:r w:rsidRPr="004C2EC8">
        <w:rPr>
          <w:rFonts w:cs="Arial"/>
        </w:rPr>
        <w:t xml:space="preserve">Key corporate and business risks are discussed at monthly Strategic Leadership Team meetings and all risk owners are clear of their roles and responsibilities within the risk management framework. Communication of risk as part of the quarterly Finance, Performance and Risk report ensures the Authority’s Members have an opportunity to comment and contribute. </w:t>
      </w:r>
    </w:p>
    <w:p w14:paraId="6CAF97CB" w14:textId="77777777" w:rsidR="004C2EC8" w:rsidRPr="004C2EC8" w:rsidRDefault="004C2EC8" w:rsidP="004C2EC8">
      <w:pPr>
        <w:rPr>
          <w:rFonts w:cs="Arial"/>
          <w:b/>
        </w:rPr>
      </w:pPr>
    </w:p>
    <w:p w14:paraId="275F4693" w14:textId="77777777" w:rsidR="004C2EC8" w:rsidRPr="004C2EC8" w:rsidRDefault="004C2EC8" w:rsidP="004C2EC8">
      <w:pPr>
        <w:numPr>
          <w:ilvl w:val="1"/>
          <w:numId w:val="20"/>
        </w:numPr>
        <w:spacing w:after="160" w:line="259" w:lineRule="auto"/>
        <w:ind w:hanging="780"/>
        <w:contextualSpacing/>
        <w:rPr>
          <w:rFonts w:eastAsia="Calibri" w:cs="Arial"/>
          <w:b/>
          <w:sz w:val="24"/>
          <w:lang w:eastAsia="en-GB"/>
        </w:rPr>
      </w:pPr>
      <w:r w:rsidRPr="004C2EC8">
        <w:rPr>
          <w:rFonts w:eastAsia="Calibri" w:cs="Arial"/>
          <w:b/>
          <w:sz w:val="24"/>
          <w:lang w:eastAsia="en-GB"/>
        </w:rPr>
        <w:t>Ensuring Effective Counter-fraud and Anti-corruption Arrangements are Developed and Maintained</w:t>
      </w:r>
    </w:p>
    <w:p w14:paraId="0D234AC0" w14:textId="77777777" w:rsidR="004C2EC8" w:rsidRPr="004C2EC8" w:rsidRDefault="004C2EC8" w:rsidP="004C2EC8">
      <w:pPr>
        <w:spacing w:after="160" w:line="259" w:lineRule="auto"/>
        <w:ind w:left="780"/>
        <w:contextualSpacing/>
        <w:rPr>
          <w:rFonts w:eastAsia="Calibri" w:cs="Arial"/>
          <w:b/>
          <w:sz w:val="24"/>
          <w:lang w:eastAsia="en-GB"/>
        </w:rPr>
      </w:pPr>
    </w:p>
    <w:p w14:paraId="1DF756F5" w14:textId="77777777" w:rsidR="004C2EC8" w:rsidRPr="004C2EC8" w:rsidRDefault="004C2EC8" w:rsidP="004C2EC8">
      <w:pPr>
        <w:rPr>
          <w:rFonts w:cs="Arial"/>
        </w:rPr>
      </w:pPr>
      <w:r w:rsidRPr="004C2EC8">
        <w:rPr>
          <w:rFonts w:cs="Arial"/>
        </w:rPr>
        <w:t xml:space="preserve">The Authority’s complies with CIPFA’s Code of Practice on Managing the Risk of Fraud and Corruption. It has an Anti-Fraud Theft and Corruption Policy that remains appropriate and fit for purpose. </w:t>
      </w:r>
    </w:p>
    <w:p w14:paraId="34CFB91D" w14:textId="77777777" w:rsidR="004C2EC8" w:rsidRPr="004C2EC8" w:rsidRDefault="004C2EC8" w:rsidP="004C2EC8">
      <w:pPr>
        <w:rPr>
          <w:rFonts w:cs="Arial"/>
        </w:rPr>
      </w:pPr>
    </w:p>
    <w:p w14:paraId="1FFD6BA6" w14:textId="77777777" w:rsidR="004C2EC8" w:rsidRPr="004C2EC8" w:rsidRDefault="004C2EC8" w:rsidP="004C2EC8">
      <w:pPr>
        <w:rPr>
          <w:rFonts w:cs="Arial"/>
        </w:rPr>
      </w:pPr>
      <w:r w:rsidRPr="004C2EC8">
        <w:rPr>
          <w:rFonts w:cs="Arial"/>
        </w:rPr>
        <w:t xml:space="preserve">Employees are made aware of its requirements in detail as part of our induction arrangements, Officer Code of Conduct and our policy on Interest in Contracts. Employees must comply with our Financial Regulations and Contract Standing Orders and demonstrate high standards of probity when dealing with the Authority’s affairs. We also operate a </w:t>
      </w:r>
      <w:r w:rsidRPr="004C2EC8">
        <w:rPr>
          <w:rFonts w:cs="Arial"/>
        </w:rPr>
        <w:lastRenderedPageBreak/>
        <w:t xml:space="preserve">Disciplinary and Capability procedure for allegations of fraud and corruption by officers. Members must operate within our adopted Code of Conduct for Members of the Lake District National Park Authority and with Standing Orders. The Members Handbook sets out the relevant requirements. </w:t>
      </w:r>
    </w:p>
    <w:p w14:paraId="5817782D" w14:textId="77777777" w:rsidR="004C2EC8" w:rsidRPr="004C2EC8" w:rsidRDefault="004C2EC8" w:rsidP="004C2EC8">
      <w:pPr>
        <w:rPr>
          <w:rFonts w:cs="Arial"/>
        </w:rPr>
      </w:pPr>
    </w:p>
    <w:p w14:paraId="176A2B05" w14:textId="77777777" w:rsidR="004C2EC8" w:rsidRPr="004C2EC8" w:rsidRDefault="004C2EC8" w:rsidP="004C2EC8">
      <w:pPr>
        <w:rPr>
          <w:rFonts w:cs="Arial"/>
        </w:rPr>
      </w:pPr>
      <w:r w:rsidRPr="004C2EC8">
        <w:rPr>
          <w:rFonts w:cs="Arial"/>
        </w:rPr>
        <w:t xml:space="preserve">The Authority operates a culture in which high standards of conduct and probity are expected, and this is supported by strong organisational policies and procedures. We deploy sufficient resources to the prevention and detection of fraud and our policies and procedures in this regard are sound. No instances of fraud or corruption were upheld in the 2022/23 financial year. </w:t>
      </w:r>
    </w:p>
    <w:p w14:paraId="5F011C08" w14:textId="77777777" w:rsidR="004C2EC8" w:rsidRPr="004C2EC8" w:rsidRDefault="004C2EC8" w:rsidP="004C2EC8">
      <w:pPr>
        <w:rPr>
          <w:rFonts w:cs="Arial"/>
        </w:rPr>
      </w:pPr>
    </w:p>
    <w:p w14:paraId="489D481B" w14:textId="77777777" w:rsidR="004C2EC8" w:rsidRPr="004C2EC8" w:rsidRDefault="004C2EC8" w:rsidP="004C2EC8">
      <w:pPr>
        <w:rPr>
          <w:rFonts w:cs="Arial"/>
        </w:rPr>
      </w:pPr>
      <w:r w:rsidRPr="004C2EC8">
        <w:rPr>
          <w:rFonts w:cs="Arial"/>
        </w:rPr>
        <w:t>Managers ensure that staff are aware of the Authority’s values, standards and behaviours. The internal control environment is regularly reviewed through the work of internal and external audit. Internal audit have reviewed our arrangements and resourcing for the prevention, detection of fraud, theft or corruption and are satisfied with our approach. Risks around fraud were discussed with the internal auditors (TIAA) as part of preparation of the internal audit plan for 2023/24.</w:t>
      </w:r>
    </w:p>
    <w:p w14:paraId="54E40E8C" w14:textId="77777777" w:rsidR="004C2EC8" w:rsidRPr="004C2EC8" w:rsidRDefault="004C2EC8" w:rsidP="004C2EC8">
      <w:pPr>
        <w:rPr>
          <w:rFonts w:cs="Arial"/>
          <w:i/>
          <w:sz w:val="20"/>
        </w:rPr>
      </w:pPr>
    </w:p>
    <w:p w14:paraId="4C0EE96D" w14:textId="77777777" w:rsidR="004C2EC8" w:rsidRPr="004C2EC8" w:rsidRDefault="004C2EC8" w:rsidP="004C2EC8">
      <w:pPr>
        <w:numPr>
          <w:ilvl w:val="1"/>
          <w:numId w:val="20"/>
        </w:numPr>
        <w:spacing w:after="160" w:line="259" w:lineRule="auto"/>
        <w:ind w:hanging="780"/>
        <w:contextualSpacing/>
        <w:rPr>
          <w:rFonts w:eastAsia="Calibri" w:cs="Arial"/>
          <w:sz w:val="24"/>
          <w:lang w:eastAsia="en-GB"/>
        </w:rPr>
      </w:pPr>
      <w:r w:rsidRPr="004C2EC8">
        <w:rPr>
          <w:rFonts w:eastAsia="Calibri" w:cs="Arial"/>
          <w:b/>
          <w:sz w:val="24"/>
          <w:lang w:eastAsia="en-GB"/>
        </w:rPr>
        <w:t>Financial Management Arrangements</w:t>
      </w:r>
    </w:p>
    <w:p w14:paraId="731DC8E5" w14:textId="77777777" w:rsidR="004C2EC8" w:rsidRPr="004C2EC8" w:rsidRDefault="004C2EC8" w:rsidP="004C2EC8">
      <w:pPr>
        <w:spacing w:after="160" w:line="259" w:lineRule="auto"/>
        <w:ind w:left="780"/>
        <w:contextualSpacing/>
        <w:rPr>
          <w:rFonts w:eastAsia="Calibri" w:cs="Arial"/>
          <w:sz w:val="24"/>
          <w:lang w:eastAsia="en-GB"/>
        </w:rPr>
      </w:pPr>
    </w:p>
    <w:p w14:paraId="58B0F246" w14:textId="4421B7BB" w:rsidR="004C2EC8" w:rsidRPr="004C2EC8" w:rsidRDefault="004C2EC8" w:rsidP="004C2EC8">
      <w:pPr>
        <w:rPr>
          <w:rFonts w:cs="Arial"/>
        </w:rPr>
      </w:pPr>
      <w:r w:rsidRPr="004C2EC8">
        <w:rPr>
          <w:rFonts w:cs="Arial"/>
        </w:rPr>
        <w:t>The Authority’s financial management arrangements conform to the Governance requirements of CIPFA’s “Statement on the Role of the Chief Financial Officer in Local Government” as the Head of Resources (S151 Officer) has full access to the Strategic Leadership Team and the Chief Executive. The Head of Resources is designated as the responsible officer for the administration of the Authority’s financial affairs under Section 151 of the Local Government Act 1972. Responsibilities are defined in the Scheme of Delegation. The S151 Officer oversees the development and work of the financial management function at the Authority and is its responsible officer for matters of financial administration. The post holder is a professionally qualified accountant with suitable experience, supported by a finance team with 4 qualified accountants (3 of which are CIPFA qualified) with extensive local government experience.</w:t>
      </w:r>
    </w:p>
    <w:p w14:paraId="174B55A7" w14:textId="77777777" w:rsidR="004C2EC8" w:rsidRPr="004C2EC8" w:rsidRDefault="004C2EC8" w:rsidP="004C2EC8">
      <w:pPr>
        <w:rPr>
          <w:rFonts w:cs="Arial"/>
        </w:rPr>
      </w:pPr>
    </w:p>
    <w:p w14:paraId="4021A290" w14:textId="77777777" w:rsidR="004C2EC8" w:rsidRPr="004C2EC8" w:rsidRDefault="004C2EC8" w:rsidP="004C2EC8">
      <w:pPr>
        <w:rPr>
          <w:rFonts w:cs="Arial"/>
        </w:rPr>
      </w:pPr>
      <w:r w:rsidRPr="004C2EC8">
        <w:rPr>
          <w:rFonts w:cs="Arial"/>
        </w:rPr>
        <w:t>In June 2021 Authority approved a new Commercial Strategy and a pipeline of projects is currently under development to support its implementation. Delivery of the Commercial Strategy is being overseen by the Commercial Strategy Board, which comprises Members and senior officers. The Board will consider appropriate investments that support delivery of National Park objectives and improve our financial resilience as outlined in our Medium Term Financial Strategy. An example brought forward during 2022/23 is Lakeshore Phase 2 which is now included in the Medium Term Financial Plan.</w:t>
      </w:r>
    </w:p>
    <w:p w14:paraId="65663F4F" w14:textId="77777777" w:rsidR="004C2EC8" w:rsidRPr="004C2EC8" w:rsidRDefault="004C2EC8" w:rsidP="004C2EC8">
      <w:pPr>
        <w:rPr>
          <w:rFonts w:cs="Arial"/>
        </w:rPr>
      </w:pPr>
    </w:p>
    <w:p w14:paraId="1E97A11A" w14:textId="77777777" w:rsidR="004C2EC8" w:rsidRPr="004C2EC8" w:rsidRDefault="004C2EC8" w:rsidP="004C2EC8">
      <w:r w:rsidRPr="004C2EC8">
        <w:t xml:space="preserve">CIPFA’s Financial Management Code sets out good practice in financial management to assist local authorities in demonstrating their financial stability. The Authority is compliant with most major elements of the new code and considerable work has been undertaken over 2021/22 strengthen compliance further including the development of a Financial Resilience Assessment, ensuring compliance with the new Prudential Code for Capital Finance for Local Authorities and delivering the 2020/21 statement of accounts within statutory timescales. A key area delivered during 2022/23 is the upgrading of the Authority’s finance system to support greater security and enhance operational efficiency and the implementation of a business partnering approach to budget management. Both of these are now in place and providing benefit to the Authority. </w:t>
      </w:r>
    </w:p>
    <w:p w14:paraId="00832471" w14:textId="77777777" w:rsidR="004C2EC8" w:rsidRDefault="004C2EC8" w:rsidP="004C2EC8">
      <w:pPr>
        <w:rPr>
          <w:rFonts w:cs="Arial"/>
          <w:b/>
        </w:rPr>
      </w:pPr>
    </w:p>
    <w:p w14:paraId="5B95ACB5" w14:textId="77777777" w:rsidR="004C2EC8" w:rsidRDefault="004C2EC8" w:rsidP="004C2EC8">
      <w:pPr>
        <w:rPr>
          <w:rFonts w:cs="Arial"/>
          <w:b/>
        </w:rPr>
      </w:pPr>
    </w:p>
    <w:p w14:paraId="26721F1F" w14:textId="77777777" w:rsidR="004C2EC8" w:rsidRDefault="004C2EC8" w:rsidP="004C2EC8">
      <w:pPr>
        <w:rPr>
          <w:rFonts w:cs="Arial"/>
          <w:b/>
        </w:rPr>
      </w:pPr>
    </w:p>
    <w:p w14:paraId="1956218B" w14:textId="77777777" w:rsidR="004C2EC8" w:rsidRDefault="004C2EC8" w:rsidP="004C2EC8">
      <w:pPr>
        <w:rPr>
          <w:rFonts w:cs="Arial"/>
          <w:b/>
        </w:rPr>
      </w:pPr>
    </w:p>
    <w:p w14:paraId="0E07A35D" w14:textId="77777777" w:rsidR="004C2EC8" w:rsidRPr="004C2EC8" w:rsidRDefault="004C2EC8" w:rsidP="004C2EC8">
      <w:pPr>
        <w:rPr>
          <w:rFonts w:cs="Arial"/>
          <w:b/>
        </w:rPr>
      </w:pPr>
    </w:p>
    <w:p w14:paraId="4219A1FF" w14:textId="77777777" w:rsidR="004C2EC8" w:rsidRPr="004C2EC8" w:rsidRDefault="004C2EC8" w:rsidP="004C2EC8">
      <w:pPr>
        <w:numPr>
          <w:ilvl w:val="1"/>
          <w:numId w:val="20"/>
        </w:numPr>
        <w:spacing w:after="160" w:line="259" w:lineRule="auto"/>
        <w:ind w:hanging="780"/>
        <w:contextualSpacing/>
        <w:rPr>
          <w:rFonts w:eastAsia="Calibri" w:cs="Arial"/>
          <w:b/>
          <w:sz w:val="24"/>
          <w:lang w:eastAsia="en-GB"/>
        </w:rPr>
      </w:pPr>
      <w:r w:rsidRPr="004C2EC8">
        <w:rPr>
          <w:rFonts w:eastAsia="Calibri" w:cs="Arial"/>
          <w:b/>
          <w:sz w:val="24"/>
          <w:lang w:eastAsia="en-GB"/>
        </w:rPr>
        <w:lastRenderedPageBreak/>
        <w:t>Financial Monitoring and Reporting</w:t>
      </w:r>
    </w:p>
    <w:p w14:paraId="6C688E26" w14:textId="77777777" w:rsidR="004C2EC8" w:rsidRPr="004C2EC8" w:rsidRDefault="004C2EC8" w:rsidP="004C2EC8">
      <w:pPr>
        <w:spacing w:after="160" w:line="259" w:lineRule="auto"/>
        <w:ind w:left="780"/>
        <w:contextualSpacing/>
        <w:rPr>
          <w:rFonts w:eastAsia="Calibri" w:cs="Arial"/>
          <w:b/>
          <w:sz w:val="24"/>
          <w:lang w:eastAsia="en-GB"/>
        </w:rPr>
      </w:pPr>
    </w:p>
    <w:p w14:paraId="02223D4C" w14:textId="77777777" w:rsidR="004C2EC8" w:rsidRPr="004C2EC8" w:rsidRDefault="004C2EC8" w:rsidP="004C2EC8">
      <w:pPr>
        <w:rPr>
          <w:rFonts w:cs="Arial"/>
        </w:rPr>
      </w:pPr>
      <w:r w:rsidRPr="004C2EC8">
        <w:rPr>
          <w:rFonts w:cs="Arial"/>
        </w:rPr>
        <w:t xml:space="preserve">The Executive Board and Strategic Leadership Team receive monthly financial performance reports. Members receive quarterly reports including revenue monitoring and forecast projections to the end of the financial year. </w:t>
      </w:r>
    </w:p>
    <w:p w14:paraId="769638E4" w14:textId="77777777" w:rsidR="004C2EC8" w:rsidRPr="004C2EC8" w:rsidRDefault="004C2EC8" w:rsidP="004C2EC8">
      <w:pPr>
        <w:rPr>
          <w:rFonts w:cs="Arial"/>
        </w:rPr>
      </w:pPr>
    </w:p>
    <w:p w14:paraId="7C116A14" w14:textId="77777777" w:rsidR="004C2EC8" w:rsidRPr="004C2EC8" w:rsidRDefault="004C2EC8" w:rsidP="004C2EC8">
      <w:pPr>
        <w:numPr>
          <w:ilvl w:val="1"/>
          <w:numId w:val="20"/>
        </w:numPr>
        <w:spacing w:after="160" w:line="259" w:lineRule="auto"/>
        <w:ind w:hanging="780"/>
        <w:contextualSpacing/>
        <w:rPr>
          <w:rFonts w:eastAsia="Calibri" w:cs="Arial"/>
          <w:b/>
          <w:sz w:val="24"/>
          <w:lang w:eastAsia="en-GB"/>
        </w:rPr>
      </w:pPr>
      <w:r w:rsidRPr="004C2EC8">
        <w:rPr>
          <w:rFonts w:eastAsia="Calibri" w:cs="Arial"/>
          <w:b/>
          <w:sz w:val="24"/>
          <w:lang w:eastAsia="en-GB"/>
        </w:rPr>
        <w:t>Ensuring Effective Arrangements are in Place to Perform the Monitoring Officer Function</w:t>
      </w:r>
    </w:p>
    <w:p w14:paraId="431F7DB9" w14:textId="77777777" w:rsidR="004C2EC8" w:rsidRPr="004C2EC8" w:rsidRDefault="004C2EC8" w:rsidP="004C2EC8">
      <w:pPr>
        <w:spacing w:after="160" w:line="259" w:lineRule="auto"/>
        <w:contextualSpacing/>
        <w:rPr>
          <w:rFonts w:eastAsia="Calibri" w:cs="Arial"/>
          <w:sz w:val="24"/>
          <w:lang w:eastAsia="en-GB"/>
        </w:rPr>
      </w:pPr>
    </w:p>
    <w:p w14:paraId="2A26F0CF" w14:textId="77777777" w:rsidR="004C2EC8" w:rsidRPr="004C2EC8" w:rsidRDefault="004C2EC8" w:rsidP="004C2EC8">
      <w:pPr>
        <w:contextualSpacing/>
        <w:rPr>
          <w:rFonts w:eastAsia="Calibri" w:cs="Arial"/>
          <w:sz w:val="24"/>
          <w:lang w:eastAsia="en-GB"/>
        </w:rPr>
      </w:pPr>
      <w:r w:rsidRPr="004C2EC8">
        <w:rPr>
          <w:rFonts w:eastAsia="Calibri" w:cs="Arial"/>
          <w:sz w:val="24"/>
          <w:lang w:eastAsia="en-GB"/>
        </w:rPr>
        <w:t xml:space="preserve">The Director of Sustainable Development is the Authority’s Monitoring Officer. This officer has a duty to report to the Authority and Executive where they are of the opinion that any proposal, decision or omission will give rise to unlawfulness or if any decision or omission has given rise to or would constitute maladministration. The Monitoring Officer provides a range of functions relating to the conduct of Members (for example maintaining the Register of Members’ Interests, Code of Conduct complaints etc.) advising the Governance Committee.  </w:t>
      </w:r>
    </w:p>
    <w:p w14:paraId="32F0FD6E" w14:textId="77777777" w:rsidR="004C2EC8" w:rsidRPr="004C2EC8" w:rsidRDefault="004C2EC8" w:rsidP="004C2EC8">
      <w:pPr>
        <w:contextualSpacing/>
        <w:rPr>
          <w:rFonts w:eastAsia="Calibri" w:cs="Arial"/>
          <w:sz w:val="24"/>
          <w:lang w:eastAsia="en-GB"/>
        </w:rPr>
      </w:pPr>
    </w:p>
    <w:p w14:paraId="623742B2" w14:textId="77777777" w:rsidR="004C2EC8" w:rsidRPr="004C2EC8" w:rsidRDefault="004C2EC8" w:rsidP="004C2EC8">
      <w:pPr>
        <w:contextualSpacing/>
        <w:rPr>
          <w:rFonts w:cs="Arial"/>
        </w:rPr>
      </w:pPr>
      <w:r w:rsidRPr="004C2EC8">
        <w:rPr>
          <w:rFonts w:cs="Arial"/>
        </w:rPr>
        <w:t>The Monitoring Officer is supported in his role by the Authority Solicitor (the Authority’s Deputy Monitoring Officer) who advises on legal matters, attends Executive Board and Committee meetings to support lawful decision making, and provides a legal commentary on reports to Members.</w:t>
      </w:r>
    </w:p>
    <w:p w14:paraId="7D06896B" w14:textId="77777777" w:rsidR="004C2EC8" w:rsidRPr="004C2EC8" w:rsidRDefault="004C2EC8" w:rsidP="004C2EC8">
      <w:pPr>
        <w:spacing w:after="160" w:line="259" w:lineRule="auto"/>
        <w:contextualSpacing/>
        <w:rPr>
          <w:rFonts w:eastAsia="Calibri" w:cs="Arial"/>
          <w:sz w:val="24"/>
          <w:lang w:eastAsia="en-GB"/>
        </w:rPr>
      </w:pPr>
    </w:p>
    <w:p w14:paraId="7ED2B724" w14:textId="77777777" w:rsidR="004C2EC8" w:rsidRPr="004C2EC8" w:rsidRDefault="004C2EC8" w:rsidP="004C2EC8">
      <w:pPr>
        <w:numPr>
          <w:ilvl w:val="1"/>
          <w:numId w:val="20"/>
        </w:numPr>
        <w:spacing w:after="160" w:line="259" w:lineRule="auto"/>
        <w:ind w:hanging="780"/>
        <w:contextualSpacing/>
        <w:rPr>
          <w:rFonts w:eastAsia="Calibri" w:cs="Arial"/>
          <w:b/>
          <w:sz w:val="24"/>
          <w:lang w:eastAsia="en-GB"/>
        </w:rPr>
      </w:pPr>
      <w:r w:rsidRPr="004C2EC8">
        <w:rPr>
          <w:rFonts w:eastAsia="Calibri" w:cs="Arial"/>
          <w:b/>
          <w:sz w:val="24"/>
          <w:lang w:eastAsia="en-GB"/>
        </w:rPr>
        <w:t>Ensuring Effective Arrangements are In Place to Perform the Head of Paid Service Function</w:t>
      </w:r>
    </w:p>
    <w:p w14:paraId="74C8E838" w14:textId="77777777" w:rsidR="004C2EC8" w:rsidRPr="004C2EC8" w:rsidRDefault="004C2EC8" w:rsidP="004C2EC8">
      <w:pPr>
        <w:spacing w:after="160" w:line="259" w:lineRule="auto"/>
        <w:ind w:left="780"/>
        <w:contextualSpacing/>
        <w:rPr>
          <w:rFonts w:eastAsia="Calibri" w:cs="Arial"/>
          <w:b/>
          <w:sz w:val="24"/>
          <w:lang w:eastAsia="en-GB"/>
        </w:rPr>
      </w:pPr>
    </w:p>
    <w:p w14:paraId="5A81AE31" w14:textId="77777777" w:rsidR="004C2EC8" w:rsidRPr="004C2EC8" w:rsidRDefault="004C2EC8" w:rsidP="004C2EC8">
      <w:pPr>
        <w:contextualSpacing/>
        <w:rPr>
          <w:rFonts w:cs="Arial"/>
        </w:rPr>
      </w:pPr>
      <w:r w:rsidRPr="004C2EC8">
        <w:rPr>
          <w:rFonts w:cs="Arial"/>
        </w:rPr>
        <w:t xml:space="preserve">The Authority’s Head of Paid Service is the Chief Executive who is responsible and accountable to the Authority for all aspects of operational management. The Chief Executive works closely with the Authority Chair and Deputy and Committee Chairs and Members in line with the principal contained within the Authority’s Local Code of Corporate Governance about Members and officers working together to achieve a common purpose with clearly defined functions and roles. </w:t>
      </w:r>
    </w:p>
    <w:p w14:paraId="3C0485C3" w14:textId="77777777" w:rsidR="004C2EC8" w:rsidRPr="004C2EC8" w:rsidRDefault="004C2EC8" w:rsidP="004C2EC8">
      <w:pPr>
        <w:contextualSpacing/>
        <w:rPr>
          <w:rFonts w:cs="Arial"/>
        </w:rPr>
      </w:pPr>
    </w:p>
    <w:p w14:paraId="148C5C44" w14:textId="77777777" w:rsidR="004C2EC8" w:rsidRPr="004C2EC8" w:rsidRDefault="004C2EC8" w:rsidP="004C2EC8">
      <w:pPr>
        <w:contextualSpacing/>
        <w:rPr>
          <w:rFonts w:cs="Arial"/>
        </w:rPr>
      </w:pPr>
      <w:r w:rsidRPr="004C2EC8">
        <w:rPr>
          <w:rFonts w:cs="Arial"/>
        </w:rPr>
        <w:t xml:space="preserve">The Chief Executive is supported in his role by the Directors, and has regular access to and contact with the Members through formal and informal meetings. The Strategic Leadership Team also supports this role, and consists of the Executive Board and Heads of Service meeting monthly to discuss strategic developments and business performance, and informally on a weekly basis to discuss any immediate issues. </w:t>
      </w:r>
    </w:p>
    <w:p w14:paraId="67BC48AF" w14:textId="77777777" w:rsidR="004C2EC8" w:rsidRPr="004C2EC8" w:rsidRDefault="004C2EC8" w:rsidP="004C2EC8">
      <w:pPr>
        <w:rPr>
          <w:b/>
        </w:rPr>
      </w:pPr>
    </w:p>
    <w:p w14:paraId="3D3D5351" w14:textId="77777777" w:rsidR="004C2EC8" w:rsidRPr="004C2EC8" w:rsidRDefault="004C2EC8" w:rsidP="004C2EC8">
      <w:pPr>
        <w:pStyle w:val="ListParagraph"/>
        <w:numPr>
          <w:ilvl w:val="1"/>
          <w:numId w:val="20"/>
        </w:numPr>
        <w:spacing w:after="160" w:line="259" w:lineRule="auto"/>
        <w:ind w:hanging="780"/>
        <w:rPr>
          <w:rFonts w:cs="Arial"/>
          <w:b/>
          <w:szCs w:val="23"/>
          <w:u w:val="none"/>
        </w:rPr>
      </w:pPr>
      <w:r w:rsidRPr="004C2EC8">
        <w:rPr>
          <w:rFonts w:cs="Arial"/>
          <w:b/>
          <w:szCs w:val="23"/>
          <w:u w:val="none"/>
        </w:rPr>
        <w:t>Governance Committee</w:t>
      </w:r>
    </w:p>
    <w:p w14:paraId="74B219EC" w14:textId="77777777" w:rsidR="004C2EC8" w:rsidRPr="004C2EC8" w:rsidRDefault="004C2EC8" w:rsidP="004C2EC8">
      <w:pPr>
        <w:spacing w:after="160" w:line="259" w:lineRule="auto"/>
        <w:ind w:left="780"/>
        <w:contextualSpacing/>
        <w:rPr>
          <w:rFonts w:eastAsia="Calibri" w:cs="Arial"/>
          <w:b/>
          <w:sz w:val="24"/>
          <w:lang w:eastAsia="en-GB"/>
        </w:rPr>
      </w:pPr>
    </w:p>
    <w:p w14:paraId="6F996838" w14:textId="77777777" w:rsidR="004C2EC8" w:rsidRPr="004C2EC8" w:rsidRDefault="004C2EC8" w:rsidP="004C2EC8">
      <w:pPr>
        <w:rPr>
          <w:rFonts w:cs="Arial"/>
          <w:bCs/>
        </w:rPr>
      </w:pPr>
      <w:r w:rsidRPr="004C2EC8">
        <w:rPr>
          <w:rFonts w:cs="Arial"/>
        </w:rPr>
        <w:t>The Authority has established a Governance Committee to oversee the workings of the corporate governance arrangements of the Authority and to report to the Authority on these and related financial probity issues. The Governance Committee operates within CIPFA’s “Audit Committees – Practical Guidance for Local Authorities”.</w:t>
      </w:r>
      <w:r w:rsidRPr="004C2EC8">
        <w:rPr>
          <w:rFonts w:cs="Arial"/>
          <w:b/>
        </w:rPr>
        <w:t xml:space="preserve"> </w:t>
      </w:r>
      <w:r w:rsidRPr="004C2EC8">
        <w:rPr>
          <w:rFonts w:cs="Arial"/>
          <w:bCs/>
        </w:rPr>
        <w:t xml:space="preserve">The external auditor’s VFM opinion raised a recommendation around the need for </w:t>
      </w:r>
      <w:proofErr w:type="spellStart"/>
      <w:r w:rsidRPr="004C2EC8">
        <w:rPr>
          <w:rFonts w:cs="Arial"/>
          <w:bCs/>
        </w:rPr>
        <w:t>self assessment</w:t>
      </w:r>
      <w:proofErr w:type="spellEnd"/>
      <w:r w:rsidRPr="004C2EC8">
        <w:rPr>
          <w:rFonts w:cs="Arial"/>
          <w:bCs/>
        </w:rPr>
        <w:t xml:space="preserve"> of effectiveness and this is included in the AGS action plan for implementation during 2023/24.</w:t>
      </w:r>
    </w:p>
    <w:p w14:paraId="6B40255A" w14:textId="77777777" w:rsidR="004C2EC8" w:rsidRPr="004C2EC8" w:rsidRDefault="004C2EC8" w:rsidP="004C2EC8">
      <w:pPr>
        <w:rPr>
          <w:rFonts w:cs="Arial"/>
          <w:bCs/>
        </w:rPr>
      </w:pPr>
    </w:p>
    <w:p w14:paraId="16E5D506" w14:textId="77777777" w:rsidR="004C2EC8" w:rsidRPr="004C2EC8" w:rsidRDefault="004C2EC8" w:rsidP="004C2EC8">
      <w:pPr>
        <w:rPr>
          <w:rFonts w:cs="Arial"/>
          <w:i/>
        </w:rPr>
      </w:pPr>
    </w:p>
    <w:p w14:paraId="0A2A0D3E" w14:textId="77777777" w:rsidR="004C2EC8" w:rsidRPr="004C2EC8" w:rsidRDefault="004C2EC8" w:rsidP="004C2EC8">
      <w:pPr>
        <w:numPr>
          <w:ilvl w:val="1"/>
          <w:numId w:val="20"/>
        </w:numPr>
        <w:spacing w:after="160" w:line="259" w:lineRule="auto"/>
        <w:ind w:hanging="780"/>
        <w:contextualSpacing/>
        <w:rPr>
          <w:rFonts w:eastAsia="Calibri" w:cs="Arial"/>
          <w:b/>
          <w:sz w:val="24"/>
          <w:lang w:eastAsia="en-GB"/>
        </w:rPr>
      </w:pPr>
      <w:r w:rsidRPr="004C2EC8">
        <w:rPr>
          <w:rFonts w:eastAsia="Calibri" w:cs="Arial"/>
          <w:b/>
          <w:sz w:val="24"/>
          <w:lang w:eastAsia="en-GB"/>
        </w:rPr>
        <w:t>Internal Audit</w:t>
      </w:r>
    </w:p>
    <w:p w14:paraId="0A4AB0A2" w14:textId="77777777" w:rsidR="004C2EC8" w:rsidRPr="004C2EC8" w:rsidRDefault="004C2EC8" w:rsidP="004C2EC8">
      <w:pPr>
        <w:spacing w:after="160" w:line="259" w:lineRule="auto"/>
        <w:ind w:left="780"/>
        <w:contextualSpacing/>
        <w:rPr>
          <w:rFonts w:eastAsia="Calibri" w:cs="Arial"/>
          <w:b/>
          <w:sz w:val="24"/>
          <w:lang w:eastAsia="en-GB"/>
        </w:rPr>
      </w:pPr>
    </w:p>
    <w:p w14:paraId="6E66F7A9" w14:textId="77777777" w:rsidR="004C2EC8" w:rsidRPr="004C2EC8" w:rsidRDefault="004C2EC8" w:rsidP="004C2EC8">
      <w:pPr>
        <w:rPr>
          <w:rFonts w:cs="Arial"/>
        </w:rPr>
      </w:pPr>
      <w:r w:rsidRPr="004C2EC8">
        <w:rPr>
          <w:rFonts w:cs="Arial"/>
        </w:rPr>
        <w:t xml:space="preserve">The Authority maintains an independent Internal Audit Service, which operates within the principles set out within the Public Sector Internal Audit Standards (PSIAS).  Internal Audit has carried out an annual programme of reviews as approved by the Governance Committee. The </w:t>
      </w:r>
      <w:r w:rsidRPr="004C2EC8">
        <w:rPr>
          <w:rFonts w:cs="Arial"/>
        </w:rPr>
        <w:lastRenderedPageBreak/>
        <w:t xml:space="preserve">managers of the services and functions reviewed have each agreed actions and priorities arising from the review and the achievement of those actions is monitored on an ongoing basis by the Authority’s Internal Audit service and Strategic Leadership Team.  The Head of Internal Audit has provided a written opinion to the Governance Committee based on the work undertaken on behalf of the Authority during the year that the Authority has reasonable and effective risk management, control and governance processes in place. </w:t>
      </w:r>
    </w:p>
    <w:p w14:paraId="7F38132A" w14:textId="77777777" w:rsidR="004C2EC8" w:rsidRPr="004C2EC8" w:rsidRDefault="004C2EC8" w:rsidP="004C2EC8">
      <w:pPr>
        <w:spacing w:after="160" w:line="259" w:lineRule="auto"/>
        <w:contextualSpacing/>
        <w:rPr>
          <w:rFonts w:cs="Arial"/>
          <w:b/>
        </w:rPr>
      </w:pPr>
    </w:p>
    <w:p w14:paraId="25442D5E" w14:textId="61722811" w:rsidR="004C2EC8" w:rsidRPr="004C2EC8" w:rsidRDefault="004C2EC8" w:rsidP="004C2EC8">
      <w:pPr>
        <w:pStyle w:val="ListParagraph"/>
        <w:numPr>
          <w:ilvl w:val="1"/>
          <w:numId w:val="20"/>
        </w:numPr>
        <w:spacing w:after="160" w:line="259" w:lineRule="auto"/>
        <w:ind w:left="567" w:hanging="567"/>
        <w:rPr>
          <w:rFonts w:cs="Arial"/>
          <w:b/>
          <w:u w:val="none"/>
        </w:rPr>
      </w:pPr>
      <w:r w:rsidRPr="004C2EC8">
        <w:rPr>
          <w:rFonts w:cs="Arial"/>
          <w:b/>
          <w:u w:val="none"/>
        </w:rPr>
        <w:t xml:space="preserve"> Ensuring Compliance with Relevant Laws</w:t>
      </w:r>
    </w:p>
    <w:p w14:paraId="438D3369" w14:textId="77777777" w:rsidR="004C2EC8" w:rsidRPr="004C2EC8" w:rsidRDefault="004C2EC8" w:rsidP="004C2EC8">
      <w:pPr>
        <w:spacing w:after="160" w:line="259" w:lineRule="auto"/>
        <w:contextualSpacing/>
        <w:rPr>
          <w:rFonts w:cs="Arial"/>
          <w:b/>
        </w:rPr>
      </w:pPr>
    </w:p>
    <w:p w14:paraId="1AFA08D5" w14:textId="77777777" w:rsidR="004C2EC8" w:rsidRPr="004C2EC8" w:rsidRDefault="004C2EC8" w:rsidP="004C2EC8">
      <w:pPr>
        <w:rPr>
          <w:rFonts w:cs="Arial"/>
        </w:rPr>
      </w:pPr>
      <w:r w:rsidRPr="004C2EC8">
        <w:rPr>
          <w:rFonts w:cs="Arial"/>
        </w:rPr>
        <w:t>Systems are in place to ensure that appropriate legal and financial advice is provided at relevant points in the decision making process. All reports to Members are reviewed by both the Director of Communications and Resources, Monitoring Officer and Authority Solicitor. This ensures that checks are made on the legal and financial consequences of any course of action prior to a decision being made. The Authority has a variety of methods for receiving updates in legislative changes. In addition to departmental officers keeping up to date with legislative, regulatory and guidance changes, the Authority subscribes to a legislative update service. The usual method of direct notification of legislative changes by Central Government also occurs on an ongoing basis. This is supported by employees’ membership of professional bodies and the associated requirement that they will remain up to date with changes to their area of expertise and responsibility. Employees are provided with training to maintain up to date professional competencies where applicable.</w:t>
      </w:r>
    </w:p>
    <w:p w14:paraId="05318403" w14:textId="77777777" w:rsidR="004C2EC8" w:rsidRPr="004C2EC8" w:rsidRDefault="004C2EC8" w:rsidP="004C2EC8">
      <w:pPr>
        <w:rPr>
          <w:rFonts w:cs="Arial"/>
        </w:rPr>
      </w:pPr>
    </w:p>
    <w:p w14:paraId="57A21625" w14:textId="77777777" w:rsidR="004C2EC8" w:rsidRPr="004C2EC8" w:rsidRDefault="004C2EC8" w:rsidP="004C2EC8">
      <w:pPr>
        <w:rPr>
          <w:rFonts w:cs="Arial"/>
          <w:b/>
        </w:rPr>
      </w:pPr>
      <w:r w:rsidRPr="004C2EC8">
        <w:rPr>
          <w:rFonts w:cs="Arial"/>
          <w:b/>
        </w:rPr>
        <w:t>3.15</w:t>
      </w:r>
      <w:r w:rsidRPr="004C2EC8">
        <w:rPr>
          <w:rFonts w:cs="Arial"/>
          <w:b/>
        </w:rPr>
        <w:tab/>
        <w:t xml:space="preserve">Complaints and Whistle Blowing </w:t>
      </w:r>
    </w:p>
    <w:p w14:paraId="003865FB" w14:textId="77777777" w:rsidR="004C2EC8" w:rsidRPr="004C2EC8" w:rsidRDefault="004C2EC8" w:rsidP="004C2EC8">
      <w:pPr>
        <w:rPr>
          <w:rFonts w:cs="Arial"/>
        </w:rPr>
      </w:pPr>
    </w:p>
    <w:p w14:paraId="0EAD0E2D" w14:textId="77777777" w:rsidR="004C2EC8" w:rsidRPr="004C2EC8" w:rsidRDefault="004C2EC8" w:rsidP="004C2EC8">
      <w:pPr>
        <w:rPr>
          <w:rFonts w:cs="Arial"/>
        </w:rPr>
      </w:pPr>
      <w:r w:rsidRPr="004C2EC8">
        <w:rPr>
          <w:rFonts w:cs="Arial"/>
        </w:rPr>
        <w:t>The Authority operates a formal complaints system in accordance with best practice, giving members of the public the ability to complain about aspects of the Authority’s service with which they are dissatisfied.</w:t>
      </w:r>
      <w:r w:rsidRPr="004C2EC8">
        <w:t xml:space="preserve"> </w:t>
      </w:r>
      <w:r w:rsidRPr="004C2EC8">
        <w:rPr>
          <w:rFonts w:cs="Arial"/>
        </w:rPr>
        <w:t xml:space="preserve">The Authority reviews any complaints received in order to assess their validity and learn for the future. The Authority’s whistleblowing arrangements are set out in our Confidential Reporting Policy which is available to all staff on our intranet and externally on our web-site. Our Confidential Reporting Policy, ensures there is a clear channel of confidential reporting for staff should this be required. There has been limited use of the confidential reporting code during 2022/23 and nothing that has </w:t>
      </w:r>
      <w:proofErr w:type="spellStart"/>
      <w:r w:rsidRPr="004C2EC8">
        <w:rPr>
          <w:rFonts w:cs="Arial"/>
        </w:rPr>
        <w:t>lead</w:t>
      </w:r>
      <w:proofErr w:type="spellEnd"/>
      <w:r w:rsidRPr="004C2EC8">
        <w:rPr>
          <w:rFonts w:cs="Arial"/>
        </w:rPr>
        <w:t xml:space="preserve"> to investigation of wider underlying governance issues.</w:t>
      </w:r>
    </w:p>
    <w:p w14:paraId="20058C79" w14:textId="77777777" w:rsidR="004C2EC8" w:rsidRPr="004C2EC8" w:rsidRDefault="004C2EC8" w:rsidP="004C2EC8">
      <w:pPr>
        <w:rPr>
          <w:rFonts w:cs="Arial"/>
        </w:rPr>
      </w:pPr>
    </w:p>
    <w:p w14:paraId="0FEAC1AD" w14:textId="77777777" w:rsidR="004C2EC8" w:rsidRPr="004C2EC8" w:rsidRDefault="004C2EC8" w:rsidP="004C2EC8">
      <w:pPr>
        <w:spacing w:after="160" w:line="259" w:lineRule="auto"/>
        <w:ind w:left="360" w:hanging="360"/>
        <w:contextualSpacing/>
        <w:rPr>
          <w:rFonts w:cs="Arial"/>
          <w:b/>
        </w:rPr>
      </w:pPr>
      <w:r w:rsidRPr="004C2EC8">
        <w:rPr>
          <w:rFonts w:cs="Arial"/>
          <w:b/>
        </w:rPr>
        <w:t>3.16</w:t>
      </w:r>
      <w:r w:rsidRPr="004C2EC8">
        <w:rPr>
          <w:rFonts w:cs="Arial"/>
          <w:b/>
        </w:rPr>
        <w:tab/>
        <w:t>Clear Channels of Communication.</w:t>
      </w:r>
    </w:p>
    <w:p w14:paraId="3C14CCFC" w14:textId="77777777" w:rsidR="004C2EC8" w:rsidRPr="004C2EC8" w:rsidRDefault="004C2EC8" w:rsidP="004C2EC8">
      <w:pPr>
        <w:rPr>
          <w:rFonts w:cs="Arial"/>
        </w:rPr>
      </w:pPr>
    </w:p>
    <w:p w14:paraId="0508AFCD" w14:textId="77777777" w:rsidR="004C2EC8" w:rsidRPr="004C2EC8" w:rsidRDefault="004C2EC8" w:rsidP="004C2EC8">
      <w:pPr>
        <w:rPr>
          <w:rFonts w:cs="Arial"/>
        </w:rPr>
      </w:pPr>
      <w:r w:rsidRPr="004C2EC8">
        <w:rPr>
          <w:rFonts w:cs="Arial"/>
        </w:rPr>
        <w:t xml:space="preserve">All formal meetings are held in public, with the reports and minutes of those meetings being published on the Authority’s website unless there are legal reasons for confidentiality. There are opportunities for members of the public to ask questions at meetings of the Authority and committee meetings are now live streamed and recorded to allow greater public access. </w:t>
      </w:r>
    </w:p>
    <w:p w14:paraId="394CED31" w14:textId="77777777" w:rsidR="004C2EC8" w:rsidRPr="004C2EC8" w:rsidRDefault="004C2EC8" w:rsidP="004C2EC8">
      <w:pPr>
        <w:rPr>
          <w:rFonts w:cs="Arial"/>
        </w:rPr>
      </w:pPr>
    </w:p>
    <w:p w14:paraId="57344099" w14:textId="77777777" w:rsidR="004C2EC8" w:rsidRPr="004C2EC8" w:rsidRDefault="004C2EC8" w:rsidP="004C2EC8">
      <w:pPr>
        <w:rPr>
          <w:b/>
        </w:rPr>
      </w:pPr>
      <w:r w:rsidRPr="004C2EC8">
        <w:rPr>
          <w:rFonts w:cs="Arial"/>
        </w:rPr>
        <w:t xml:space="preserve">Various channels of communication are available to ensure all stakeholders find information accessible. Internal communications are also delivered using a number of channels. We will continue to engage with staff over the coming year to ensure they are supported in the new working arrangements, including further use of MS Teams.  </w:t>
      </w:r>
    </w:p>
    <w:p w14:paraId="0A9F1895" w14:textId="77777777" w:rsidR="004C2EC8" w:rsidRPr="004C2EC8" w:rsidRDefault="004C2EC8" w:rsidP="004C2EC8">
      <w:pPr>
        <w:rPr>
          <w:b/>
        </w:rPr>
      </w:pPr>
    </w:p>
    <w:p w14:paraId="147ECE4B" w14:textId="77777777" w:rsidR="004C2EC8" w:rsidRPr="004C2EC8" w:rsidRDefault="004C2EC8" w:rsidP="004C2EC8">
      <w:pPr>
        <w:ind w:left="709" w:hanging="709"/>
        <w:rPr>
          <w:rFonts w:cs="Arial"/>
          <w:b/>
        </w:rPr>
      </w:pPr>
      <w:r w:rsidRPr="004C2EC8">
        <w:rPr>
          <w:rFonts w:cs="Arial"/>
          <w:b/>
        </w:rPr>
        <w:t>3.17</w:t>
      </w:r>
      <w:r w:rsidRPr="004C2EC8">
        <w:rPr>
          <w:rFonts w:cs="Arial"/>
          <w:b/>
        </w:rPr>
        <w:tab/>
        <w:t>Enhancing the Accountability for Service Delivery and Effectiveness of other Public Service Providers.</w:t>
      </w:r>
    </w:p>
    <w:p w14:paraId="5FBCD5A2" w14:textId="77777777" w:rsidR="004C2EC8" w:rsidRPr="004C2EC8" w:rsidRDefault="004C2EC8" w:rsidP="004C2EC8">
      <w:pPr>
        <w:rPr>
          <w:rFonts w:cs="Arial"/>
          <w:b/>
        </w:rPr>
      </w:pPr>
    </w:p>
    <w:p w14:paraId="6A5C7F24" w14:textId="77777777" w:rsidR="004C2EC8" w:rsidRPr="004C2EC8" w:rsidRDefault="004C2EC8" w:rsidP="004C2EC8">
      <w:pPr>
        <w:rPr>
          <w:rFonts w:cs="Arial"/>
        </w:rPr>
      </w:pPr>
      <w:r w:rsidRPr="004C2EC8">
        <w:rPr>
          <w:rFonts w:cs="Arial"/>
        </w:rPr>
        <w:t>Whilst the Authority continues to deliver most of its services directly, there are a number of areas where the Authority has contractual arrangements in place for the delivery of services. Arrangements are in place, to monitor both the delivery, price and quality of these services and this is reported back to Members through financial and performance reporting.</w:t>
      </w:r>
    </w:p>
    <w:p w14:paraId="7986795E" w14:textId="77777777" w:rsidR="004C2EC8" w:rsidRPr="004C2EC8" w:rsidRDefault="004C2EC8" w:rsidP="004C2EC8">
      <w:pPr>
        <w:rPr>
          <w:rFonts w:cs="Arial"/>
        </w:rPr>
      </w:pPr>
    </w:p>
    <w:p w14:paraId="36EAFD91" w14:textId="77777777" w:rsidR="004C2EC8" w:rsidRPr="004C2EC8" w:rsidRDefault="004C2EC8" w:rsidP="004C2EC8">
      <w:pPr>
        <w:ind w:left="709" w:hanging="709"/>
        <w:rPr>
          <w:rFonts w:cs="Arial"/>
          <w:b/>
        </w:rPr>
      </w:pPr>
      <w:r w:rsidRPr="004C2EC8">
        <w:rPr>
          <w:rFonts w:cs="Arial"/>
          <w:b/>
        </w:rPr>
        <w:lastRenderedPageBreak/>
        <w:t>3.18</w:t>
      </w:r>
      <w:r w:rsidRPr="004C2EC8">
        <w:rPr>
          <w:rFonts w:cs="Arial"/>
          <w:b/>
        </w:rPr>
        <w:tab/>
        <w:t>Commerciality and Commissioning</w:t>
      </w:r>
    </w:p>
    <w:p w14:paraId="700E653C" w14:textId="77777777" w:rsidR="004C2EC8" w:rsidRPr="004C2EC8" w:rsidRDefault="004C2EC8" w:rsidP="004C2EC8">
      <w:pPr>
        <w:ind w:left="780"/>
        <w:rPr>
          <w:rFonts w:cs="Arial"/>
        </w:rPr>
      </w:pPr>
    </w:p>
    <w:p w14:paraId="734EAC86" w14:textId="77777777" w:rsidR="004C2EC8" w:rsidRPr="004C2EC8" w:rsidRDefault="004C2EC8" w:rsidP="004C2EC8">
      <w:pPr>
        <w:rPr>
          <w:rFonts w:cs="Arial"/>
        </w:rPr>
      </w:pPr>
      <w:r w:rsidRPr="004C2EC8">
        <w:rPr>
          <w:rFonts w:cs="Arial"/>
        </w:rPr>
        <w:t xml:space="preserve">The Authority recognises that a commercial and commissioning approach brings with it opportunities for introducing greater flexibility with regard to the delivery of services. Purchasing of services from third parties also demands that we receive assurance that the businesses delivering the goods and services are resilient, reliable and reputable and will continue to deliver at the right quality in the face of difficult economic conditions locally, nationally and globally. This work is governed by the regulations and guidance set out in our Contract Standing Orders. During 2022/23 an expanded legal and democratic services team was established which also includes procurement support. This will be particularly important with upcoming changes to public procurement following the UK’s exit from the EU.  </w:t>
      </w:r>
    </w:p>
    <w:p w14:paraId="2C3D8917" w14:textId="77777777" w:rsidR="004C2EC8" w:rsidRPr="004C2EC8" w:rsidRDefault="004C2EC8" w:rsidP="004C2EC8">
      <w:pPr>
        <w:rPr>
          <w:rFonts w:cs="Arial"/>
        </w:rPr>
      </w:pPr>
    </w:p>
    <w:p w14:paraId="4FC10D4C" w14:textId="77777777" w:rsidR="004C2EC8" w:rsidRPr="004C2EC8" w:rsidRDefault="004C2EC8" w:rsidP="004C2EC8">
      <w:pPr>
        <w:rPr>
          <w:rFonts w:cs="Arial"/>
          <w:b/>
        </w:rPr>
      </w:pPr>
      <w:r w:rsidRPr="004C2EC8">
        <w:rPr>
          <w:rFonts w:cs="Arial"/>
          <w:b/>
        </w:rPr>
        <w:t>3.19</w:t>
      </w:r>
      <w:r w:rsidRPr="004C2EC8">
        <w:rPr>
          <w:rFonts w:cs="Arial"/>
          <w:b/>
        </w:rPr>
        <w:tab/>
        <w:t xml:space="preserve">  Good Governance in respect of Partnerships</w:t>
      </w:r>
    </w:p>
    <w:p w14:paraId="3C280390" w14:textId="77777777" w:rsidR="004C2EC8" w:rsidRPr="004C2EC8" w:rsidRDefault="004C2EC8" w:rsidP="004C2EC8">
      <w:pPr>
        <w:rPr>
          <w:rFonts w:cs="Arial"/>
          <w:b/>
        </w:rPr>
      </w:pPr>
    </w:p>
    <w:p w14:paraId="661D74D1" w14:textId="77777777" w:rsidR="004C2EC8" w:rsidRPr="004C2EC8" w:rsidRDefault="004C2EC8" w:rsidP="004C2EC8">
      <w:pPr>
        <w:rPr>
          <w:rFonts w:cs="Arial"/>
        </w:rPr>
      </w:pPr>
      <w:r w:rsidRPr="004C2EC8">
        <w:rPr>
          <w:rFonts w:cs="Arial"/>
        </w:rPr>
        <w:t>The Authority’s governance arrangements and procedures ensure that partnerships are entered into for the delivery of strategic objectives and that partnership arrangements are clearly defined. The effective management of individual partnerships is the responsibility of the lead service area and significant partnerships, such as the Lake District National Park Partnership are subject to regular monitoring and review.</w:t>
      </w:r>
    </w:p>
    <w:p w14:paraId="13175709" w14:textId="77777777" w:rsidR="004C2EC8" w:rsidRPr="004C2EC8" w:rsidRDefault="004C2EC8" w:rsidP="004C2EC8">
      <w:pPr>
        <w:rPr>
          <w:rFonts w:cs="Arial"/>
        </w:rPr>
      </w:pPr>
    </w:p>
    <w:p w14:paraId="0172B756" w14:textId="77777777" w:rsidR="004C2EC8" w:rsidRPr="004C2EC8" w:rsidRDefault="004C2EC8" w:rsidP="004C2EC8">
      <w:pPr>
        <w:rPr>
          <w:rFonts w:cs="Arial"/>
          <w:b/>
          <w:bCs/>
        </w:rPr>
      </w:pPr>
      <w:r w:rsidRPr="004C2EC8">
        <w:rPr>
          <w:rFonts w:cs="Arial"/>
          <w:b/>
          <w:bCs/>
        </w:rPr>
        <w:t>3.20</w:t>
      </w:r>
      <w:r w:rsidRPr="004C2EC8">
        <w:rPr>
          <w:rFonts w:cs="Arial"/>
          <w:b/>
          <w:bCs/>
        </w:rPr>
        <w:tab/>
        <w:t>External Audit</w:t>
      </w:r>
    </w:p>
    <w:p w14:paraId="28F00129" w14:textId="77777777" w:rsidR="004C2EC8" w:rsidRPr="004C2EC8" w:rsidRDefault="004C2EC8" w:rsidP="004C2EC8">
      <w:pPr>
        <w:rPr>
          <w:rFonts w:cs="Arial"/>
        </w:rPr>
      </w:pPr>
    </w:p>
    <w:p w14:paraId="1A694E1A" w14:textId="77777777" w:rsidR="004C2EC8" w:rsidRPr="004C2EC8" w:rsidRDefault="004C2EC8" w:rsidP="004C2EC8">
      <w:pPr>
        <w:rPr>
          <w:rFonts w:cs="Arial"/>
        </w:rPr>
      </w:pPr>
      <w:r w:rsidRPr="004C2EC8">
        <w:rPr>
          <w:rFonts w:cs="Arial"/>
        </w:rPr>
        <w:t>A robust framework for external audit also provides Members with independent assurance over the financial statements and arrangements for Value for Money. The Authority was one of a minority of Local Government organisations to have audited statements for 2021/22 published by the statutory deadline (30 November 2022).</w:t>
      </w:r>
    </w:p>
    <w:p w14:paraId="54E5F002" w14:textId="77777777" w:rsidR="004C2EC8" w:rsidRPr="004C2EC8" w:rsidRDefault="004C2EC8" w:rsidP="004C2EC8">
      <w:pPr>
        <w:rPr>
          <w:b/>
          <w:sz w:val="24"/>
          <w:szCs w:val="24"/>
        </w:rPr>
      </w:pPr>
    </w:p>
    <w:p w14:paraId="14355389" w14:textId="77777777" w:rsidR="004C2EC8" w:rsidRPr="004C2EC8" w:rsidRDefault="004C2EC8" w:rsidP="004C2EC8">
      <w:pPr>
        <w:numPr>
          <w:ilvl w:val="0"/>
          <w:numId w:val="20"/>
        </w:numPr>
        <w:spacing w:after="160" w:line="259" w:lineRule="auto"/>
        <w:ind w:hanging="643"/>
        <w:contextualSpacing/>
        <w:rPr>
          <w:rFonts w:eastAsia="Calibri" w:cs="Arial"/>
          <w:b/>
          <w:sz w:val="24"/>
          <w:szCs w:val="24"/>
          <w:lang w:eastAsia="en-GB"/>
        </w:rPr>
      </w:pPr>
      <w:r w:rsidRPr="004C2EC8">
        <w:rPr>
          <w:rFonts w:eastAsia="Calibri" w:cs="Arial"/>
          <w:b/>
          <w:sz w:val="24"/>
          <w:szCs w:val="24"/>
          <w:lang w:eastAsia="en-GB"/>
        </w:rPr>
        <w:t>Review of Effectiveness</w:t>
      </w:r>
    </w:p>
    <w:p w14:paraId="5CD25F9F" w14:textId="77777777" w:rsidR="004C2EC8" w:rsidRPr="004C2EC8" w:rsidRDefault="004C2EC8" w:rsidP="004C2EC8">
      <w:pPr>
        <w:spacing w:after="160" w:line="259" w:lineRule="auto"/>
        <w:ind w:left="643"/>
        <w:contextualSpacing/>
        <w:rPr>
          <w:rFonts w:eastAsia="Calibri" w:cs="Arial"/>
          <w:b/>
          <w:sz w:val="24"/>
          <w:szCs w:val="24"/>
          <w:lang w:eastAsia="en-GB"/>
        </w:rPr>
      </w:pPr>
    </w:p>
    <w:p w14:paraId="0DAB4117" w14:textId="77777777" w:rsidR="004C2EC8" w:rsidRPr="004C2EC8" w:rsidRDefault="004C2EC8" w:rsidP="004C2EC8">
      <w:pPr>
        <w:rPr>
          <w:rFonts w:cs="Arial"/>
        </w:rPr>
      </w:pPr>
      <w:r w:rsidRPr="004C2EC8">
        <w:rPr>
          <w:rFonts w:cs="Arial"/>
        </w:rPr>
        <w:t>During 2022/23 assurance information has been collated using different means of independent review of effectiveness across the Authority’s Services. These include:</w:t>
      </w:r>
    </w:p>
    <w:p w14:paraId="7DECB929" w14:textId="77777777" w:rsidR="004C2EC8" w:rsidRPr="004C2EC8" w:rsidRDefault="004C2EC8" w:rsidP="004C2EC8">
      <w:pPr>
        <w:rPr>
          <w:rFonts w:cs="Arial"/>
        </w:rPr>
      </w:pPr>
    </w:p>
    <w:p w14:paraId="7D8867BB" w14:textId="77777777" w:rsidR="004C2EC8" w:rsidRPr="004C2EC8" w:rsidRDefault="004C2EC8" w:rsidP="004C2EC8">
      <w:pPr>
        <w:ind w:left="567" w:hanging="567"/>
        <w:rPr>
          <w:rFonts w:cs="Arial"/>
          <w:b/>
          <w:bCs/>
        </w:rPr>
      </w:pPr>
      <w:r w:rsidRPr="004C2EC8">
        <w:rPr>
          <w:rFonts w:cs="Arial"/>
          <w:b/>
          <w:bCs/>
        </w:rPr>
        <w:t>4.1</w:t>
      </w:r>
      <w:r w:rsidRPr="004C2EC8">
        <w:rPr>
          <w:rFonts w:cs="Arial"/>
          <w:b/>
          <w:bCs/>
        </w:rPr>
        <w:tab/>
        <w:t>Individual assurance reviews from the risk based internal audit plan (TIAA)</w:t>
      </w:r>
    </w:p>
    <w:p w14:paraId="75006B4A" w14:textId="77777777" w:rsidR="004C2EC8" w:rsidRPr="004C2EC8" w:rsidRDefault="004C2EC8" w:rsidP="004C2EC8">
      <w:pPr>
        <w:ind w:left="567" w:hanging="567"/>
        <w:rPr>
          <w:rFonts w:cs="Arial"/>
        </w:rPr>
      </w:pPr>
      <w:r w:rsidRPr="004C2EC8">
        <w:rPr>
          <w:rFonts w:cs="Arial"/>
        </w:rPr>
        <w:tab/>
      </w:r>
      <w:r w:rsidRPr="004C2EC8">
        <w:rPr>
          <w:rFonts w:cs="Arial"/>
        </w:rPr>
        <w:tab/>
      </w:r>
    </w:p>
    <w:p w14:paraId="2C20E78D" w14:textId="77777777" w:rsidR="004C2EC8" w:rsidRPr="004C2EC8" w:rsidRDefault="004C2EC8" w:rsidP="004C2EC8">
      <w:pPr>
        <w:ind w:left="567"/>
        <w:rPr>
          <w:rFonts w:cs="Arial"/>
        </w:rPr>
      </w:pPr>
      <w:r w:rsidRPr="004C2EC8">
        <w:rPr>
          <w:rFonts w:cs="Arial"/>
        </w:rPr>
        <w:t xml:space="preserve">TIAA have reported on specific operational areas during the year. These reports have been presented to Governance Committee for their scrutiny and oversight. 3 areas were rated as substantial assurance during the year, the highest rating available. </w:t>
      </w:r>
    </w:p>
    <w:p w14:paraId="055FD4D5" w14:textId="77777777" w:rsidR="004C2EC8" w:rsidRPr="004C2EC8" w:rsidRDefault="004C2EC8" w:rsidP="004C2EC8">
      <w:pPr>
        <w:ind w:left="567" w:hanging="567"/>
        <w:rPr>
          <w:rFonts w:cs="Arial"/>
        </w:rPr>
      </w:pPr>
    </w:p>
    <w:p w14:paraId="4874A33B" w14:textId="77777777" w:rsidR="004C2EC8" w:rsidRPr="004C2EC8" w:rsidRDefault="004C2EC8" w:rsidP="004C2EC8">
      <w:pPr>
        <w:ind w:left="567" w:hanging="567"/>
        <w:rPr>
          <w:rFonts w:cs="Arial"/>
          <w:b/>
          <w:bCs/>
        </w:rPr>
      </w:pPr>
      <w:r w:rsidRPr="004C2EC8">
        <w:rPr>
          <w:rFonts w:cs="Arial"/>
          <w:b/>
          <w:bCs/>
        </w:rPr>
        <w:t>4.2</w:t>
      </w:r>
      <w:r w:rsidRPr="004C2EC8">
        <w:rPr>
          <w:rFonts w:cs="Arial"/>
          <w:b/>
          <w:bCs/>
        </w:rPr>
        <w:tab/>
        <w:t xml:space="preserve">Annual internal audit opinion issued by Internal Audit (TIAA) </w:t>
      </w:r>
    </w:p>
    <w:p w14:paraId="3DA6DC96" w14:textId="77777777" w:rsidR="004C2EC8" w:rsidRPr="004C2EC8" w:rsidRDefault="004C2EC8" w:rsidP="004C2EC8">
      <w:pPr>
        <w:ind w:left="567" w:hanging="567"/>
        <w:rPr>
          <w:rFonts w:cs="Arial"/>
        </w:rPr>
      </w:pPr>
    </w:p>
    <w:p w14:paraId="45692B47" w14:textId="77777777" w:rsidR="004C2EC8" w:rsidRPr="004C2EC8" w:rsidRDefault="004C2EC8" w:rsidP="004C2EC8">
      <w:pPr>
        <w:ind w:left="567"/>
        <w:rPr>
          <w:rFonts w:cs="Arial"/>
        </w:rPr>
      </w:pPr>
      <w:r w:rsidRPr="004C2EC8">
        <w:rPr>
          <w:rFonts w:cs="Arial"/>
        </w:rPr>
        <w:t xml:space="preserve">TIAA also provide an annual audit opinion to give an overall assessment of the control environment at the Authority. Reflecting the individual assurance reviews, this was judged to provide reasonable assurance. </w:t>
      </w:r>
    </w:p>
    <w:p w14:paraId="6EAE12E4" w14:textId="77777777" w:rsidR="004C2EC8" w:rsidRPr="004C2EC8" w:rsidRDefault="004C2EC8" w:rsidP="004C2EC8">
      <w:pPr>
        <w:ind w:left="567" w:hanging="567"/>
        <w:rPr>
          <w:rFonts w:cs="Arial"/>
        </w:rPr>
      </w:pPr>
    </w:p>
    <w:p w14:paraId="27179556" w14:textId="77777777" w:rsidR="004C2EC8" w:rsidRPr="004C2EC8" w:rsidRDefault="004C2EC8" w:rsidP="004C2EC8">
      <w:pPr>
        <w:ind w:left="567" w:hanging="567"/>
        <w:rPr>
          <w:rFonts w:cs="Arial"/>
          <w:b/>
          <w:bCs/>
        </w:rPr>
      </w:pPr>
      <w:r w:rsidRPr="004C2EC8">
        <w:rPr>
          <w:rFonts w:cs="Arial"/>
          <w:b/>
          <w:bCs/>
        </w:rPr>
        <w:t>4.3</w:t>
      </w:r>
      <w:r w:rsidRPr="004C2EC8">
        <w:rPr>
          <w:rFonts w:cs="Arial"/>
          <w:b/>
          <w:bCs/>
        </w:rPr>
        <w:tab/>
        <w:t>Accounts opinion issued by the external auditor (Grant Thornton)</w:t>
      </w:r>
    </w:p>
    <w:p w14:paraId="4EC8DC48" w14:textId="77777777" w:rsidR="004C2EC8" w:rsidRPr="004C2EC8" w:rsidRDefault="004C2EC8" w:rsidP="004C2EC8">
      <w:pPr>
        <w:ind w:left="567" w:hanging="567"/>
        <w:rPr>
          <w:rFonts w:cs="Arial"/>
        </w:rPr>
      </w:pPr>
      <w:r w:rsidRPr="004C2EC8">
        <w:rPr>
          <w:rFonts w:cs="Arial"/>
        </w:rPr>
        <w:tab/>
      </w:r>
    </w:p>
    <w:p w14:paraId="0AB7A068" w14:textId="77777777" w:rsidR="004C2EC8" w:rsidRPr="004C2EC8" w:rsidRDefault="004C2EC8" w:rsidP="004C2EC8">
      <w:pPr>
        <w:ind w:left="567"/>
        <w:rPr>
          <w:rFonts w:cs="Arial"/>
        </w:rPr>
      </w:pPr>
      <w:r w:rsidRPr="004C2EC8">
        <w:rPr>
          <w:rFonts w:cs="Arial"/>
        </w:rPr>
        <w:t>The statement of accounts for 2021/22 was prepared, audited and published by the deadline (30 November 2022). The auditors concluded that “it is clear that good arrangements are in place to support prepare and audit of the Authority’s financial statement”. This provides overall assurance on the arrangements for financial reporting and the supporting systems, people and processes.</w:t>
      </w:r>
    </w:p>
    <w:p w14:paraId="41917EFD" w14:textId="77777777" w:rsidR="004C2EC8" w:rsidRPr="004C2EC8" w:rsidRDefault="004C2EC8" w:rsidP="004C2EC8">
      <w:pPr>
        <w:ind w:left="567" w:hanging="567"/>
        <w:rPr>
          <w:rFonts w:cs="Arial"/>
        </w:rPr>
      </w:pPr>
    </w:p>
    <w:p w14:paraId="05C17526" w14:textId="77777777" w:rsidR="004C2EC8" w:rsidRPr="004C2EC8" w:rsidRDefault="004C2EC8" w:rsidP="004C2EC8">
      <w:pPr>
        <w:ind w:left="567" w:hanging="567"/>
        <w:rPr>
          <w:rFonts w:cs="Arial"/>
          <w:b/>
          <w:bCs/>
        </w:rPr>
      </w:pPr>
      <w:r w:rsidRPr="004C2EC8">
        <w:rPr>
          <w:rFonts w:cs="Arial"/>
          <w:b/>
          <w:bCs/>
        </w:rPr>
        <w:t>4.4</w:t>
      </w:r>
      <w:r w:rsidRPr="004C2EC8">
        <w:rPr>
          <w:rFonts w:cs="Arial"/>
          <w:b/>
          <w:bCs/>
        </w:rPr>
        <w:tab/>
        <w:t>Value for Money opinion issued by external audit (Grant Thornton)</w:t>
      </w:r>
    </w:p>
    <w:p w14:paraId="69B7DFFC" w14:textId="77777777" w:rsidR="004C2EC8" w:rsidRPr="004C2EC8" w:rsidRDefault="004C2EC8" w:rsidP="004C2EC8">
      <w:pPr>
        <w:ind w:left="567" w:hanging="567"/>
        <w:rPr>
          <w:rFonts w:cs="Arial"/>
        </w:rPr>
      </w:pPr>
    </w:p>
    <w:p w14:paraId="4E18B4B1" w14:textId="77777777" w:rsidR="004C2EC8" w:rsidRPr="004C2EC8" w:rsidRDefault="004C2EC8" w:rsidP="004C2EC8">
      <w:pPr>
        <w:ind w:left="567"/>
        <w:rPr>
          <w:rFonts w:cs="Arial"/>
        </w:rPr>
      </w:pPr>
      <w:r w:rsidRPr="004C2EC8">
        <w:rPr>
          <w:rFonts w:cs="Arial"/>
        </w:rPr>
        <w:lastRenderedPageBreak/>
        <w:t>The value for money opinion for 2021/22 was issued in February 2023 looking at Financial Sustainability, Governance and Improving Economy, Efficiency and Effectiveness. There were no major issues reported although a number of improvement opportunities were raised. These have been included as new items in the action plan below (items 5,6,7 and 8).</w:t>
      </w:r>
    </w:p>
    <w:p w14:paraId="24D8C497" w14:textId="77777777" w:rsidR="004C2EC8" w:rsidRPr="004C2EC8" w:rsidRDefault="004C2EC8" w:rsidP="004C2EC8">
      <w:pPr>
        <w:ind w:left="567" w:hanging="567"/>
        <w:rPr>
          <w:rFonts w:cs="Arial"/>
        </w:rPr>
      </w:pPr>
    </w:p>
    <w:p w14:paraId="2AFAA9FA" w14:textId="77777777" w:rsidR="004C2EC8" w:rsidRPr="004C2EC8" w:rsidRDefault="004C2EC8" w:rsidP="004C2EC8">
      <w:pPr>
        <w:ind w:left="567" w:hanging="567"/>
        <w:rPr>
          <w:rFonts w:cs="Arial"/>
          <w:b/>
          <w:bCs/>
        </w:rPr>
      </w:pPr>
      <w:r w:rsidRPr="004C2EC8">
        <w:rPr>
          <w:rFonts w:cs="Arial"/>
          <w:b/>
          <w:bCs/>
        </w:rPr>
        <w:t>4.5</w:t>
      </w:r>
      <w:r w:rsidRPr="004C2EC8">
        <w:rPr>
          <w:rFonts w:cs="Arial"/>
          <w:b/>
          <w:bCs/>
        </w:rPr>
        <w:tab/>
        <w:t>Volume and severity of governance issues reported through committee and Executive Board</w:t>
      </w:r>
    </w:p>
    <w:p w14:paraId="6D579C7B" w14:textId="77777777" w:rsidR="004C2EC8" w:rsidRPr="004C2EC8" w:rsidRDefault="004C2EC8" w:rsidP="004C2EC8">
      <w:pPr>
        <w:ind w:left="567" w:hanging="567"/>
        <w:rPr>
          <w:rFonts w:cs="Arial"/>
        </w:rPr>
      </w:pPr>
    </w:p>
    <w:p w14:paraId="551B1185" w14:textId="77777777" w:rsidR="004C2EC8" w:rsidRPr="004C2EC8" w:rsidRDefault="004C2EC8" w:rsidP="004C2EC8">
      <w:pPr>
        <w:ind w:left="567"/>
        <w:rPr>
          <w:rFonts w:cs="Arial"/>
        </w:rPr>
      </w:pPr>
      <w:r w:rsidRPr="004C2EC8">
        <w:rPr>
          <w:rFonts w:cs="Arial"/>
        </w:rPr>
        <w:t xml:space="preserve">There have been limited occurrences of issues where the governance framework has been tested around standards, ultra vires activity or other fraudulent transactions.  </w:t>
      </w:r>
    </w:p>
    <w:p w14:paraId="0A7BF875" w14:textId="77777777" w:rsidR="004C2EC8" w:rsidRPr="004C2EC8" w:rsidRDefault="004C2EC8" w:rsidP="004C2EC8">
      <w:pPr>
        <w:ind w:left="567" w:hanging="567"/>
        <w:rPr>
          <w:rFonts w:cs="Arial"/>
        </w:rPr>
      </w:pPr>
    </w:p>
    <w:p w14:paraId="50F74B83" w14:textId="77777777" w:rsidR="004C2EC8" w:rsidRPr="004C2EC8" w:rsidRDefault="004C2EC8" w:rsidP="004C2EC8">
      <w:pPr>
        <w:ind w:left="567" w:hanging="567"/>
        <w:rPr>
          <w:rFonts w:cs="Arial"/>
          <w:b/>
          <w:bCs/>
        </w:rPr>
      </w:pPr>
      <w:r w:rsidRPr="004C2EC8">
        <w:rPr>
          <w:rFonts w:cs="Arial"/>
          <w:b/>
          <w:bCs/>
        </w:rPr>
        <w:t>4.6</w:t>
      </w:r>
      <w:r w:rsidRPr="004C2EC8">
        <w:rPr>
          <w:rFonts w:cs="Arial"/>
          <w:b/>
          <w:bCs/>
        </w:rPr>
        <w:tab/>
        <w:t>Performance reporting against the business plan targets and financial budgets (Resources Committee)</w:t>
      </w:r>
    </w:p>
    <w:p w14:paraId="3A18C478" w14:textId="77777777" w:rsidR="004C2EC8" w:rsidRPr="004C2EC8" w:rsidRDefault="004C2EC8" w:rsidP="004C2EC8">
      <w:pPr>
        <w:ind w:left="567" w:hanging="567"/>
        <w:rPr>
          <w:rFonts w:cs="Arial"/>
          <w:b/>
          <w:bCs/>
        </w:rPr>
      </w:pPr>
    </w:p>
    <w:p w14:paraId="63360E4D" w14:textId="77777777" w:rsidR="004C2EC8" w:rsidRPr="004C2EC8" w:rsidRDefault="004C2EC8" w:rsidP="004C2EC8">
      <w:pPr>
        <w:ind w:left="567"/>
        <w:rPr>
          <w:rFonts w:cs="Arial"/>
        </w:rPr>
      </w:pPr>
      <w:r w:rsidRPr="004C2EC8">
        <w:rPr>
          <w:rFonts w:cs="Arial"/>
        </w:rPr>
        <w:t>Ongoing monitoring and reporting of performance against business plan targets and financial budgets has been in place during the year. The framework has proved to be effective at detecting and finding mitigations for events that threaten delivery of the business plan, within the available resources. For example, issues raised during the in-year budget monitoring were reflected in the Medium Term Financial Strategy for 2023/24; the budget and MTFS for 23/24 were balanced.</w:t>
      </w:r>
    </w:p>
    <w:p w14:paraId="2BCF9097" w14:textId="77777777" w:rsidR="004C2EC8" w:rsidRPr="004C2EC8" w:rsidRDefault="004C2EC8" w:rsidP="004C2EC8">
      <w:pPr>
        <w:ind w:left="567" w:hanging="567"/>
        <w:rPr>
          <w:rFonts w:cs="Arial"/>
        </w:rPr>
      </w:pPr>
    </w:p>
    <w:p w14:paraId="54EACAEB" w14:textId="77777777" w:rsidR="004C2EC8" w:rsidRPr="004C2EC8" w:rsidRDefault="004C2EC8" w:rsidP="004C2EC8">
      <w:pPr>
        <w:ind w:left="567" w:hanging="567"/>
        <w:rPr>
          <w:rFonts w:cs="Arial"/>
        </w:rPr>
      </w:pPr>
    </w:p>
    <w:p w14:paraId="4E777FF3" w14:textId="77777777" w:rsidR="004C2EC8" w:rsidRPr="004C2EC8" w:rsidRDefault="004C2EC8" w:rsidP="004C2EC8">
      <w:pPr>
        <w:ind w:left="567" w:hanging="567"/>
        <w:rPr>
          <w:rFonts w:cs="Arial"/>
          <w:b/>
          <w:bCs/>
        </w:rPr>
      </w:pPr>
      <w:r w:rsidRPr="004C2EC8">
        <w:rPr>
          <w:rFonts w:cs="Arial"/>
          <w:b/>
          <w:bCs/>
        </w:rPr>
        <w:t>4.7</w:t>
      </w:r>
      <w:r w:rsidRPr="004C2EC8">
        <w:rPr>
          <w:rFonts w:cs="Arial"/>
          <w:b/>
          <w:bCs/>
        </w:rPr>
        <w:tab/>
        <w:t>Full review of arrangements in place during 2022/23 against the CIPFA/Solace framework by officers.</w:t>
      </w:r>
    </w:p>
    <w:p w14:paraId="59745A4D" w14:textId="77777777" w:rsidR="004C2EC8" w:rsidRPr="004C2EC8" w:rsidRDefault="004C2EC8" w:rsidP="004C2EC8">
      <w:pPr>
        <w:ind w:left="567" w:hanging="567"/>
        <w:rPr>
          <w:rFonts w:cs="Arial"/>
        </w:rPr>
      </w:pPr>
    </w:p>
    <w:p w14:paraId="5FB931AF" w14:textId="77777777" w:rsidR="004C2EC8" w:rsidRPr="004C2EC8" w:rsidRDefault="004C2EC8" w:rsidP="004C2EC8">
      <w:pPr>
        <w:ind w:left="567"/>
        <w:rPr>
          <w:rFonts w:cs="Arial"/>
        </w:rPr>
      </w:pPr>
      <w:r w:rsidRPr="004C2EC8">
        <w:rPr>
          <w:rFonts w:cs="Arial"/>
        </w:rPr>
        <w:t xml:space="preserve">A full review of </w:t>
      </w:r>
      <w:proofErr w:type="spellStart"/>
      <w:r w:rsidRPr="004C2EC8">
        <w:rPr>
          <w:rFonts w:cs="Arial"/>
        </w:rPr>
        <w:t>LCoGC</w:t>
      </w:r>
      <w:proofErr w:type="spellEnd"/>
      <w:r w:rsidRPr="004C2EC8">
        <w:rPr>
          <w:rFonts w:cs="Arial"/>
        </w:rPr>
        <w:t xml:space="preserve"> produced a number of areas that have been included for follow up in the action plan. In addition, a further detailed review against the CIPFA/Solace framework was completed. This mostly raised the same areas as identified by the VFM opinion and the </w:t>
      </w:r>
      <w:proofErr w:type="spellStart"/>
      <w:r w:rsidRPr="004C2EC8">
        <w:rPr>
          <w:rFonts w:cs="Arial"/>
        </w:rPr>
        <w:t>LCoGC</w:t>
      </w:r>
      <w:proofErr w:type="spellEnd"/>
      <w:r w:rsidRPr="004C2EC8">
        <w:rPr>
          <w:rFonts w:cs="Arial"/>
        </w:rPr>
        <w:t xml:space="preserve"> review. In addition, it flagged that there could be improvements in the integration of budget setting and service planning.</w:t>
      </w:r>
    </w:p>
    <w:p w14:paraId="5EB3EE20" w14:textId="77777777" w:rsidR="004C2EC8" w:rsidRPr="004C2EC8" w:rsidRDefault="004C2EC8" w:rsidP="004C2EC8">
      <w:pPr>
        <w:ind w:left="567" w:hanging="567"/>
        <w:rPr>
          <w:rFonts w:cs="Arial"/>
        </w:rPr>
      </w:pPr>
    </w:p>
    <w:p w14:paraId="37C31C84" w14:textId="77777777" w:rsidR="004C2EC8" w:rsidRPr="004C2EC8" w:rsidRDefault="004C2EC8" w:rsidP="004C2EC8">
      <w:pPr>
        <w:ind w:left="567" w:hanging="567"/>
        <w:rPr>
          <w:rFonts w:cs="Arial"/>
          <w:b/>
          <w:bCs/>
        </w:rPr>
      </w:pPr>
      <w:r w:rsidRPr="004C2EC8">
        <w:rPr>
          <w:rFonts w:cs="Arial"/>
          <w:b/>
          <w:bCs/>
        </w:rPr>
        <w:t>4.8</w:t>
      </w:r>
      <w:r w:rsidRPr="004C2EC8">
        <w:rPr>
          <w:rFonts w:cs="Arial"/>
          <w:b/>
          <w:bCs/>
        </w:rPr>
        <w:tab/>
        <w:t>Monitoring of implementation of the 2021/22 action plan</w:t>
      </w:r>
    </w:p>
    <w:p w14:paraId="5329B417" w14:textId="77777777" w:rsidR="004C2EC8" w:rsidRPr="004C2EC8" w:rsidRDefault="004C2EC8" w:rsidP="004C2EC8">
      <w:pPr>
        <w:ind w:left="567" w:hanging="567"/>
        <w:rPr>
          <w:rFonts w:cs="Arial"/>
        </w:rPr>
      </w:pPr>
    </w:p>
    <w:p w14:paraId="01EEC2C8" w14:textId="77777777" w:rsidR="004C2EC8" w:rsidRPr="004C2EC8" w:rsidRDefault="004C2EC8" w:rsidP="004C2EC8">
      <w:pPr>
        <w:ind w:left="567"/>
        <w:rPr>
          <w:rFonts w:cs="Arial"/>
        </w:rPr>
      </w:pPr>
      <w:r w:rsidRPr="004C2EC8">
        <w:rPr>
          <w:rFonts w:cs="Arial"/>
        </w:rPr>
        <w:t>The governance issues that we identified in the 2021/22 review have seen considerable progress during the 2022/23 financial year. Further detail is provided below.</w:t>
      </w:r>
    </w:p>
    <w:p w14:paraId="3FB31FC3" w14:textId="77777777" w:rsidR="004C2EC8" w:rsidRPr="004C2EC8" w:rsidRDefault="004C2EC8" w:rsidP="004C2EC8">
      <w:pPr>
        <w:rPr>
          <w:b/>
          <w:sz w:val="24"/>
          <w:szCs w:val="24"/>
        </w:rPr>
      </w:pPr>
    </w:p>
    <w:p w14:paraId="55D66304" w14:textId="77777777" w:rsidR="004C2EC8" w:rsidRPr="004C2EC8" w:rsidRDefault="004C2EC8" w:rsidP="004C2EC8">
      <w:pPr>
        <w:rPr>
          <w:b/>
          <w:sz w:val="24"/>
          <w:szCs w:val="24"/>
        </w:rPr>
      </w:pPr>
    </w:p>
    <w:p w14:paraId="1CA185DE" w14:textId="77777777" w:rsidR="004C2EC8" w:rsidRPr="004C2EC8" w:rsidRDefault="004C2EC8" w:rsidP="004C2EC8">
      <w:pPr>
        <w:pStyle w:val="ListParagraph"/>
        <w:numPr>
          <w:ilvl w:val="0"/>
          <w:numId w:val="20"/>
        </w:numPr>
        <w:ind w:left="567" w:hanging="567"/>
        <w:contextualSpacing w:val="0"/>
        <w:rPr>
          <w:b/>
          <w:szCs w:val="24"/>
          <w:u w:val="none"/>
        </w:rPr>
      </w:pPr>
      <w:r w:rsidRPr="004C2EC8">
        <w:rPr>
          <w:b/>
          <w:szCs w:val="24"/>
          <w:u w:val="none"/>
        </w:rPr>
        <w:t>Significant Governance Issues</w:t>
      </w:r>
    </w:p>
    <w:p w14:paraId="7B996153" w14:textId="77777777" w:rsidR="004C2EC8" w:rsidRPr="004C2EC8" w:rsidRDefault="004C2EC8" w:rsidP="004C2EC8"/>
    <w:p w14:paraId="46379886" w14:textId="77777777" w:rsidR="004C2EC8" w:rsidRPr="004C2EC8" w:rsidRDefault="004C2EC8" w:rsidP="004C2EC8">
      <w:r w:rsidRPr="004C2EC8">
        <w:t>Five issues were flagged during the 2021/22 review (please see prior year AGS for details). Of these, 4 are judged to have been fully implemented. The action around Member Development is to be kept on the action plan to reflect an ongoing need to support Members particularly following the significant number of new Members following local government reorganisation in Cumbria who will all require full inductions.</w:t>
      </w:r>
    </w:p>
    <w:p w14:paraId="5DE331C2" w14:textId="77777777" w:rsidR="004C2EC8" w:rsidRPr="004C2EC8" w:rsidRDefault="004C2EC8" w:rsidP="004C2EC8"/>
    <w:p w14:paraId="6FF8BA96" w14:textId="77777777" w:rsidR="004C2EC8" w:rsidRPr="004C2EC8" w:rsidRDefault="004C2EC8" w:rsidP="004C2EC8">
      <w:r w:rsidRPr="004C2EC8">
        <w:t>In addition, there are a number of new items that have been flagged from the 2022/23 annual review. These are not judged to be significant governance issues but are opportunities for improvement. The full action plan to be monitored during 2023/24 is as follows:</w:t>
      </w:r>
    </w:p>
    <w:p w14:paraId="341B07E6" w14:textId="77777777" w:rsidR="004C2EC8" w:rsidRPr="004C2EC8" w:rsidRDefault="004C2EC8" w:rsidP="004C2EC8"/>
    <w:p w14:paraId="0C0AE2B1" w14:textId="5C9261D1" w:rsidR="004C2EC8" w:rsidRPr="004C2EC8" w:rsidRDefault="004C2EC8" w:rsidP="004C2EC8">
      <w:pPr>
        <w:pStyle w:val="ListParagraph"/>
        <w:numPr>
          <w:ilvl w:val="0"/>
          <w:numId w:val="26"/>
        </w:numPr>
        <w:contextualSpacing w:val="0"/>
        <w:rPr>
          <w:rFonts w:cs="Arial"/>
          <w:iCs/>
          <w:szCs w:val="23"/>
          <w:u w:val="none"/>
        </w:rPr>
      </w:pPr>
      <w:r w:rsidRPr="004C2EC8">
        <w:rPr>
          <w:rFonts w:cs="Arial"/>
          <w:iCs/>
          <w:szCs w:val="23"/>
          <w:u w:val="none"/>
        </w:rPr>
        <w:t>Continue to work with Members to strengthen Member development opportunities and the appraisal process, particularly around induction of the significant number of new members</w:t>
      </w:r>
      <w:r w:rsidR="001126A7">
        <w:rPr>
          <w:rFonts w:cs="Arial"/>
          <w:iCs/>
          <w:szCs w:val="23"/>
          <w:u w:val="none"/>
        </w:rPr>
        <w:t>.</w:t>
      </w:r>
    </w:p>
    <w:p w14:paraId="18A75581" w14:textId="77777777" w:rsidR="004C2EC8" w:rsidRPr="004C2EC8" w:rsidRDefault="004C2EC8" w:rsidP="004C2EC8">
      <w:pPr>
        <w:pStyle w:val="ListParagraph"/>
        <w:numPr>
          <w:ilvl w:val="0"/>
          <w:numId w:val="26"/>
        </w:numPr>
        <w:tabs>
          <w:tab w:val="right" w:pos="9200"/>
        </w:tabs>
        <w:contextualSpacing w:val="0"/>
        <w:rPr>
          <w:rFonts w:cs="Arial"/>
          <w:iCs/>
          <w:u w:val="none"/>
        </w:rPr>
      </w:pPr>
      <w:r w:rsidRPr="004C2EC8">
        <w:rPr>
          <w:rFonts w:cs="Arial"/>
          <w:iCs/>
          <w:u w:val="none"/>
        </w:rPr>
        <w:lastRenderedPageBreak/>
        <w:t>Review Distinctive Area Teams – these have not been fully active since the pandemic; the ongoing use of these should be reviewed and any new or amended arrangements reflected in the Code.</w:t>
      </w:r>
    </w:p>
    <w:p w14:paraId="6687E7FD" w14:textId="77777777" w:rsidR="004C2EC8" w:rsidRPr="004C2EC8" w:rsidRDefault="004C2EC8" w:rsidP="004C2EC8">
      <w:pPr>
        <w:pStyle w:val="ListParagraph"/>
        <w:numPr>
          <w:ilvl w:val="0"/>
          <w:numId w:val="26"/>
        </w:numPr>
        <w:tabs>
          <w:tab w:val="right" w:pos="9200"/>
        </w:tabs>
        <w:contextualSpacing w:val="0"/>
        <w:rPr>
          <w:rFonts w:cs="Arial"/>
          <w:iCs/>
          <w:u w:val="none"/>
        </w:rPr>
      </w:pPr>
      <w:r w:rsidRPr="004C2EC8">
        <w:rPr>
          <w:rFonts w:cs="Arial"/>
          <w:iCs/>
          <w:u w:val="none"/>
        </w:rPr>
        <w:t>Continue with existing work to achieve ISO27001 for information security management; this has already commenced and is due to be completed during 2023/24.</w:t>
      </w:r>
    </w:p>
    <w:p w14:paraId="06DBC29C" w14:textId="76BF6371" w:rsidR="004C2EC8" w:rsidRPr="004C2EC8" w:rsidRDefault="004C2EC8" w:rsidP="004C2EC8">
      <w:pPr>
        <w:pStyle w:val="ListParagraph"/>
        <w:numPr>
          <w:ilvl w:val="0"/>
          <w:numId w:val="26"/>
        </w:numPr>
        <w:tabs>
          <w:tab w:val="right" w:pos="9200"/>
        </w:tabs>
        <w:contextualSpacing w:val="0"/>
        <w:rPr>
          <w:rFonts w:cs="Arial"/>
          <w:iCs/>
          <w:u w:val="none"/>
        </w:rPr>
      </w:pPr>
      <w:r w:rsidRPr="004C2EC8">
        <w:rPr>
          <w:rFonts w:cs="Arial"/>
          <w:iCs/>
          <w:u w:val="none"/>
        </w:rPr>
        <w:t>Review opportunities for benchmarking or consider other alternatives for bringing ideas that enhance value for money into the organisation</w:t>
      </w:r>
      <w:r w:rsidR="001126A7">
        <w:rPr>
          <w:rFonts w:cs="Arial"/>
          <w:iCs/>
          <w:u w:val="none"/>
        </w:rPr>
        <w:t>.</w:t>
      </w:r>
    </w:p>
    <w:p w14:paraId="37C58B27" w14:textId="2756E20F" w:rsidR="004C2EC8" w:rsidRPr="004C2EC8" w:rsidRDefault="004C2EC8" w:rsidP="004C2EC8">
      <w:pPr>
        <w:pStyle w:val="ListParagraph"/>
        <w:numPr>
          <w:ilvl w:val="0"/>
          <w:numId w:val="26"/>
        </w:numPr>
        <w:tabs>
          <w:tab w:val="right" w:pos="9200"/>
        </w:tabs>
        <w:contextualSpacing w:val="0"/>
        <w:rPr>
          <w:rFonts w:cs="Arial"/>
          <w:iCs/>
          <w:u w:val="none"/>
        </w:rPr>
      </w:pPr>
      <w:r w:rsidRPr="004C2EC8">
        <w:rPr>
          <w:rFonts w:cs="Arial"/>
          <w:iCs/>
          <w:u w:val="none"/>
        </w:rPr>
        <w:t>Introduce annual self-assessment effectiveness reviews for Resources and Governance Committees</w:t>
      </w:r>
      <w:r w:rsidR="001126A7">
        <w:rPr>
          <w:rFonts w:cs="Arial"/>
          <w:iCs/>
          <w:u w:val="none"/>
        </w:rPr>
        <w:t>.</w:t>
      </w:r>
    </w:p>
    <w:p w14:paraId="30781EA7" w14:textId="4B2B249A" w:rsidR="004C2EC8" w:rsidRPr="004C2EC8" w:rsidRDefault="004C2EC8" w:rsidP="004C2EC8">
      <w:pPr>
        <w:pStyle w:val="ListParagraph"/>
        <w:numPr>
          <w:ilvl w:val="0"/>
          <w:numId w:val="26"/>
        </w:numPr>
        <w:tabs>
          <w:tab w:val="right" w:pos="9200"/>
        </w:tabs>
        <w:contextualSpacing w:val="0"/>
        <w:rPr>
          <w:rFonts w:cs="Arial"/>
          <w:iCs/>
          <w:u w:val="none"/>
        </w:rPr>
      </w:pPr>
      <w:r w:rsidRPr="004C2EC8">
        <w:rPr>
          <w:rFonts w:cs="Arial"/>
          <w:iCs/>
          <w:u w:val="none"/>
        </w:rPr>
        <w:t>Prepare a more robust gifts and hospitality register</w:t>
      </w:r>
      <w:r w:rsidR="001126A7">
        <w:rPr>
          <w:rFonts w:cs="Arial"/>
          <w:iCs/>
          <w:u w:val="none"/>
        </w:rPr>
        <w:t>.</w:t>
      </w:r>
    </w:p>
    <w:p w14:paraId="0B3CAB16" w14:textId="77777777" w:rsidR="004C2EC8" w:rsidRPr="004C2EC8" w:rsidRDefault="004C2EC8" w:rsidP="004C2EC8">
      <w:pPr>
        <w:pStyle w:val="ListParagraph"/>
        <w:numPr>
          <w:ilvl w:val="0"/>
          <w:numId w:val="26"/>
        </w:numPr>
        <w:tabs>
          <w:tab w:val="right" w:pos="9200"/>
        </w:tabs>
        <w:contextualSpacing w:val="0"/>
        <w:rPr>
          <w:rFonts w:cs="Arial"/>
          <w:iCs/>
          <w:u w:val="none"/>
        </w:rPr>
      </w:pPr>
      <w:r w:rsidRPr="004C2EC8">
        <w:rPr>
          <w:rFonts w:cs="Arial"/>
          <w:iCs/>
          <w:u w:val="none"/>
        </w:rPr>
        <w:t>Incorporate social value and carbon cost work fully into the procurement strategy and process.</w:t>
      </w:r>
    </w:p>
    <w:p w14:paraId="317C2A3C" w14:textId="77777777" w:rsidR="004C2EC8" w:rsidRPr="004C2EC8" w:rsidRDefault="004C2EC8" w:rsidP="004C2EC8">
      <w:pPr>
        <w:pStyle w:val="ListParagraph"/>
        <w:numPr>
          <w:ilvl w:val="0"/>
          <w:numId w:val="26"/>
        </w:numPr>
        <w:tabs>
          <w:tab w:val="right" w:pos="9200"/>
        </w:tabs>
        <w:contextualSpacing w:val="0"/>
        <w:rPr>
          <w:rFonts w:cs="Arial"/>
          <w:iCs/>
          <w:u w:val="none"/>
        </w:rPr>
      </w:pPr>
      <w:r w:rsidRPr="004C2EC8">
        <w:rPr>
          <w:rFonts w:cs="Arial"/>
          <w:iCs/>
          <w:u w:val="none"/>
        </w:rPr>
        <w:t>Continue to monitor and implement the Financial Management Code.</w:t>
      </w:r>
    </w:p>
    <w:p w14:paraId="036CFEF7" w14:textId="77777777" w:rsidR="004C2EC8" w:rsidRPr="004C2EC8" w:rsidRDefault="004C2EC8" w:rsidP="004C2EC8">
      <w:pPr>
        <w:pStyle w:val="ListParagraph"/>
        <w:numPr>
          <w:ilvl w:val="0"/>
          <w:numId w:val="26"/>
        </w:numPr>
        <w:tabs>
          <w:tab w:val="right" w:pos="9200"/>
        </w:tabs>
        <w:contextualSpacing w:val="0"/>
        <w:rPr>
          <w:rFonts w:cs="Arial"/>
          <w:iCs/>
          <w:u w:val="none"/>
        </w:rPr>
      </w:pPr>
      <w:r w:rsidRPr="004C2EC8">
        <w:rPr>
          <w:rFonts w:cs="Arial"/>
          <w:iCs/>
          <w:u w:val="none"/>
        </w:rPr>
        <w:t xml:space="preserve">Review opportunities to improve the links between business planning and budget setting. </w:t>
      </w:r>
    </w:p>
    <w:p w14:paraId="077E01EE" w14:textId="77777777" w:rsidR="004C2EC8" w:rsidRPr="004C2EC8" w:rsidRDefault="004C2EC8" w:rsidP="004C2EC8"/>
    <w:p w14:paraId="081CC3C8" w14:textId="77777777" w:rsidR="004C2EC8" w:rsidRPr="004C2EC8" w:rsidRDefault="004C2EC8" w:rsidP="004C2EC8">
      <w:r w:rsidRPr="004C2EC8">
        <w:t>We propose over the coming year to take steps to address the above matters to further enhance our governance arrangements and will monitor their implementation and operation as part of our next annual review.</w:t>
      </w:r>
    </w:p>
    <w:p w14:paraId="528F8B99" w14:textId="77777777" w:rsidR="004C2EC8" w:rsidRPr="004C2EC8" w:rsidRDefault="004C2EC8" w:rsidP="004C2EC8"/>
    <w:p w14:paraId="67EB5268" w14:textId="77777777" w:rsidR="004C2EC8" w:rsidRPr="004C2EC8" w:rsidRDefault="004C2EC8" w:rsidP="004C2EC8"/>
    <w:p w14:paraId="49C55A37" w14:textId="77777777" w:rsidR="004C2EC8" w:rsidRPr="004C2EC8" w:rsidRDefault="004C2EC8" w:rsidP="004C2EC8">
      <w:pPr>
        <w:pStyle w:val="ListParagraph"/>
        <w:numPr>
          <w:ilvl w:val="0"/>
          <w:numId w:val="49"/>
        </w:numPr>
        <w:ind w:left="567" w:hanging="567"/>
        <w:contextualSpacing w:val="0"/>
        <w:rPr>
          <w:b/>
          <w:bCs/>
          <w:szCs w:val="23"/>
          <w:u w:val="none"/>
        </w:rPr>
      </w:pPr>
      <w:r w:rsidRPr="004C2EC8">
        <w:rPr>
          <w:b/>
          <w:bCs/>
          <w:szCs w:val="23"/>
          <w:u w:val="none"/>
        </w:rPr>
        <w:t>Opinion</w:t>
      </w:r>
    </w:p>
    <w:p w14:paraId="3322C22E" w14:textId="77777777" w:rsidR="004C2EC8" w:rsidRPr="004C2EC8" w:rsidRDefault="004C2EC8" w:rsidP="004C2EC8"/>
    <w:p w14:paraId="57801C27" w14:textId="77777777" w:rsidR="004C2EC8" w:rsidRPr="004C2EC8" w:rsidRDefault="004C2EC8" w:rsidP="004C2EC8">
      <w:r w:rsidRPr="004C2EC8">
        <w:t xml:space="preserve">We are satisfied that there are no significant governance issues and that the governance arrangements are fit for purpose. </w:t>
      </w:r>
    </w:p>
    <w:p w14:paraId="68C4DBE8" w14:textId="77777777" w:rsidR="004C2EC8" w:rsidRPr="002D7873" w:rsidRDefault="004C2EC8" w:rsidP="004C2EC8">
      <w:pPr>
        <w:rPr>
          <w:b/>
        </w:rPr>
      </w:pPr>
    </w:p>
    <w:p w14:paraId="63354805" w14:textId="77777777" w:rsidR="004C2EC8" w:rsidRPr="002D7873" w:rsidRDefault="004C2EC8" w:rsidP="004C2EC8">
      <w:pPr>
        <w:rPr>
          <w:b/>
        </w:rPr>
      </w:pPr>
    </w:p>
    <w:p w14:paraId="6AD3A379" w14:textId="77777777" w:rsidR="004C2EC8" w:rsidRPr="002D7873" w:rsidRDefault="004C2EC8" w:rsidP="004C2EC8">
      <w:pPr>
        <w:rPr>
          <w:b/>
        </w:rPr>
      </w:pPr>
    </w:p>
    <w:p w14:paraId="5433521D" w14:textId="109EA212" w:rsidR="004C2EC8" w:rsidRPr="002D7873" w:rsidRDefault="008D7EE4" w:rsidP="004C2EC8">
      <w:pPr>
        <w:rPr>
          <w:b/>
        </w:rPr>
      </w:pPr>
      <w:r>
        <w:rPr>
          <w:b/>
        </w:rPr>
        <w:t xml:space="preserve">                 </w:t>
      </w:r>
      <w:r>
        <w:rPr>
          <w:b/>
          <w:noProof/>
        </w:rPr>
        <w:drawing>
          <wp:inline distT="0" distB="0" distL="0" distR="0" wp14:anchorId="29B949F8" wp14:editId="4076C8C1">
            <wp:extent cx="1339850" cy="669925"/>
            <wp:effectExtent l="0" t="0" r="0" b="0"/>
            <wp:docPr id="1468740810" name="Picture 1"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rt&#10;&#10;Description automatically generated with low confidenc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9850" cy="669925"/>
                    </a:xfrm>
                    <a:prstGeom prst="rect">
                      <a:avLst/>
                    </a:prstGeom>
                    <a:noFill/>
                    <a:ln>
                      <a:noFill/>
                    </a:ln>
                  </pic:spPr>
                </pic:pic>
              </a:graphicData>
            </a:graphic>
          </wp:inline>
        </w:drawing>
      </w:r>
      <w:r w:rsidRPr="008D7EE4">
        <w:rPr>
          <w:b/>
        </w:rPr>
        <w:t xml:space="preserve"> </w:t>
      </w:r>
      <w:r>
        <w:rPr>
          <w:b/>
        </w:rPr>
        <w:t xml:space="preserve">                                                         </w:t>
      </w:r>
      <w:r>
        <w:rPr>
          <w:b/>
          <w:noProof/>
        </w:rPr>
        <w:drawing>
          <wp:inline distT="0" distB="0" distL="0" distR="0" wp14:anchorId="45395B37" wp14:editId="6D38F6A5">
            <wp:extent cx="1244600" cy="564680"/>
            <wp:effectExtent l="0" t="0" r="0" b="6985"/>
            <wp:docPr id="961765322" name="Picture 2" descr="A close up of a signa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765322" name="Picture 2" descr="A close up of a signature&#10;&#10;Description automatically generated with low confidenc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63962" cy="573465"/>
                    </a:xfrm>
                    <a:prstGeom prst="rect">
                      <a:avLst/>
                    </a:prstGeom>
                    <a:noFill/>
                    <a:ln>
                      <a:noFill/>
                    </a:ln>
                  </pic:spPr>
                </pic:pic>
              </a:graphicData>
            </a:graphic>
          </wp:inline>
        </w:drawing>
      </w:r>
    </w:p>
    <w:p w14:paraId="4FE217CC" w14:textId="77777777" w:rsidR="004C2EC8" w:rsidRPr="002D7873" w:rsidRDefault="004C2EC8" w:rsidP="004C2EC8">
      <w:pPr>
        <w:rPr>
          <w:b/>
        </w:rPr>
      </w:pPr>
      <w:r w:rsidRPr="002D7873">
        <w:rPr>
          <w:b/>
        </w:rPr>
        <w:t>Signed:  ………………………………</w:t>
      </w:r>
      <w:r w:rsidRPr="002D7873">
        <w:rPr>
          <w:b/>
        </w:rPr>
        <w:tab/>
      </w:r>
      <w:r w:rsidRPr="002D7873">
        <w:rPr>
          <w:b/>
        </w:rPr>
        <w:tab/>
      </w:r>
      <w:r w:rsidRPr="002D7873">
        <w:rPr>
          <w:b/>
        </w:rPr>
        <w:tab/>
        <w:t>………..……………………………</w:t>
      </w:r>
    </w:p>
    <w:p w14:paraId="2FB7D137" w14:textId="77777777" w:rsidR="004C2EC8" w:rsidRPr="002D7873" w:rsidRDefault="004C2EC8" w:rsidP="004C2EC8">
      <w:pPr>
        <w:tabs>
          <w:tab w:val="left" w:pos="1035"/>
        </w:tabs>
        <w:ind w:firstLine="709"/>
        <w:rPr>
          <w:sz w:val="12"/>
          <w:szCs w:val="12"/>
        </w:rPr>
      </w:pPr>
    </w:p>
    <w:p w14:paraId="39E1F83B" w14:textId="78B89BF2" w:rsidR="004C2EC8" w:rsidRPr="002D7873" w:rsidRDefault="004C2EC8" w:rsidP="004C2EC8">
      <w:pPr>
        <w:tabs>
          <w:tab w:val="left" w:pos="1610"/>
        </w:tabs>
        <w:ind w:firstLine="709"/>
      </w:pPr>
      <w:r w:rsidRPr="002D7873">
        <w:tab/>
        <w:t xml:space="preserve">(Chair) </w:t>
      </w:r>
      <w:r w:rsidRPr="002D7873">
        <w:tab/>
      </w:r>
      <w:r w:rsidRPr="002D7873">
        <w:tab/>
      </w:r>
      <w:r w:rsidRPr="002D7873">
        <w:tab/>
      </w:r>
      <w:r w:rsidRPr="002D7873">
        <w:tab/>
      </w:r>
      <w:r w:rsidRPr="002D7873">
        <w:tab/>
      </w:r>
      <w:r w:rsidRPr="002D7873">
        <w:tab/>
        <w:t>(Chief Executive)</w:t>
      </w:r>
    </w:p>
    <w:p w14:paraId="2CFCD3B0" w14:textId="77777777" w:rsidR="004C2EC8" w:rsidRPr="002D7873" w:rsidRDefault="004C2EC8" w:rsidP="004C2EC8">
      <w:pPr>
        <w:ind w:firstLine="709"/>
      </w:pPr>
    </w:p>
    <w:p w14:paraId="7A51E21F" w14:textId="77777777" w:rsidR="004C2EC8" w:rsidRPr="002D7873" w:rsidRDefault="004C2EC8" w:rsidP="004C2EC8">
      <w:r w:rsidRPr="002D7873">
        <w:t>On behalf of the Lake District National Park Authority</w:t>
      </w:r>
    </w:p>
    <w:p w14:paraId="358C6409" w14:textId="77777777" w:rsidR="00A349E0" w:rsidRDefault="00A349E0" w:rsidP="00782866">
      <w:pPr>
        <w:rPr>
          <w:b/>
          <w:bCs/>
          <w:sz w:val="28"/>
          <w:highlight w:val="yellow"/>
        </w:rPr>
      </w:pPr>
    </w:p>
    <w:p w14:paraId="485A49BA" w14:textId="75E239DC" w:rsidR="008D7EE4" w:rsidRPr="008D7EE4" w:rsidRDefault="008D7EE4" w:rsidP="00782866">
      <w:pPr>
        <w:rPr>
          <w:sz w:val="22"/>
          <w:szCs w:val="22"/>
        </w:rPr>
        <w:sectPr w:rsidR="008D7EE4" w:rsidRPr="008D7EE4" w:rsidSect="00E77EB3">
          <w:pgSz w:w="11906" w:h="16838" w:code="9"/>
          <w:pgMar w:top="1077" w:right="849" w:bottom="720" w:left="1440" w:header="709" w:footer="403" w:gutter="0"/>
          <w:cols w:space="708"/>
          <w:docGrid w:linePitch="360"/>
        </w:sectPr>
      </w:pPr>
      <w:r>
        <w:rPr>
          <w:sz w:val="22"/>
          <w:szCs w:val="22"/>
        </w:rPr>
        <w:t xml:space="preserve">Date: </w:t>
      </w:r>
      <w:r w:rsidRPr="008D7EE4">
        <w:rPr>
          <w:sz w:val="22"/>
          <w:szCs w:val="22"/>
        </w:rPr>
        <w:t>24/5/2023</w:t>
      </w:r>
    </w:p>
    <w:p w14:paraId="485A49BB" w14:textId="77777777" w:rsidR="008A14A3" w:rsidRPr="004C2EC8" w:rsidRDefault="008A14A3" w:rsidP="00782866">
      <w:pPr>
        <w:rPr>
          <w:b/>
          <w:bCs/>
          <w:sz w:val="28"/>
        </w:rPr>
      </w:pPr>
      <w:r w:rsidRPr="004C2EC8">
        <w:rPr>
          <w:b/>
          <w:bCs/>
          <w:sz w:val="28"/>
        </w:rPr>
        <w:lastRenderedPageBreak/>
        <w:t>GLOSSARY OF TERMS</w:t>
      </w:r>
      <w:bookmarkEnd w:id="455"/>
    </w:p>
    <w:p w14:paraId="485A49BC" w14:textId="77777777" w:rsidR="008A14A3" w:rsidRPr="004C2EC8" w:rsidRDefault="008A14A3" w:rsidP="006D2EED">
      <w:pPr>
        <w:rPr>
          <w:rFonts w:cs="Arial"/>
        </w:rPr>
      </w:pPr>
    </w:p>
    <w:p w14:paraId="485A49BD" w14:textId="77777777" w:rsidR="008A14A3" w:rsidRPr="004C2EC8" w:rsidRDefault="008A14A3" w:rsidP="006D2EED">
      <w:pPr>
        <w:autoSpaceDE w:val="0"/>
        <w:autoSpaceDN w:val="0"/>
        <w:adjustRightInd w:val="0"/>
        <w:rPr>
          <w:rFonts w:cs="Arial"/>
          <w:b/>
          <w:bCs/>
          <w:szCs w:val="20"/>
          <w:lang w:val="en-US"/>
        </w:rPr>
      </w:pPr>
    </w:p>
    <w:p w14:paraId="485A49BE" w14:textId="77777777" w:rsidR="008A14A3" w:rsidRPr="004C2EC8" w:rsidRDefault="008A14A3" w:rsidP="006D2EED">
      <w:pPr>
        <w:autoSpaceDE w:val="0"/>
        <w:autoSpaceDN w:val="0"/>
        <w:adjustRightInd w:val="0"/>
        <w:rPr>
          <w:rFonts w:cs="Arial"/>
          <w:szCs w:val="20"/>
          <w:lang w:val="en-US"/>
        </w:rPr>
      </w:pPr>
      <w:r w:rsidRPr="004C2EC8">
        <w:rPr>
          <w:rFonts w:cs="Arial"/>
          <w:b/>
          <w:bCs/>
          <w:szCs w:val="20"/>
          <w:lang w:val="en-US"/>
        </w:rPr>
        <w:t xml:space="preserve">Accounting Period - </w:t>
      </w:r>
      <w:r w:rsidRPr="004C2EC8">
        <w:rPr>
          <w:rFonts w:cs="Arial"/>
          <w:szCs w:val="20"/>
          <w:lang w:val="en-US"/>
        </w:rPr>
        <w:t>The period of time covered by the accounts, normally 12 months commenci</w:t>
      </w:r>
      <w:r w:rsidR="001A7638" w:rsidRPr="004C2EC8">
        <w:rPr>
          <w:rFonts w:cs="Arial"/>
          <w:szCs w:val="20"/>
          <w:lang w:val="en-US"/>
        </w:rPr>
        <w:t xml:space="preserve">ng </w:t>
      </w:r>
      <w:r w:rsidRPr="004C2EC8">
        <w:rPr>
          <w:rFonts w:cs="Arial"/>
          <w:szCs w:val="20"/>
          <w:lang w:val="en-US"/>
        </w:rPr>
        <w:t>on 1st April for local authorities.</w:t>
      </w:r>
    </w:p>
    <w:p w14:paraId="485A49BF" w14:textId="77777777" w:rsidR="008A14A3" w:rsidRPr="004C2EC8" w:rsidRDefault="008A14A3" w:rsidP="006D2EED">
      <w:pPr>
        <w:autoSpaceDE w:val="0"/>
        <w:autoSpaceDN w:val="0"/>
        <w:adjustRightInd w:val="0"/>
        <w:rPr>
          <w:rFonts w:cs="Arial"/>
          <w:szCs w:val="20"/>
          <w:lang w:val="en-US"/>
        </w:rPr>
      </w:pPr>
    </w:p>
    <w:p w14:paraId="485A49C0" w14:textId="77777777" w:rsidR="00E00863" w:rsidRPr="004C2EC8" w:rsidRDefault="008A14A3" w:rsidP="006D2EED">
      <w:pPr>
        <w:autoSpaceDE w:val="0"/>
        <w:autoSpaceDN w:val="0"/>
        <w:adjustRightInd w:val="0"/>
        <w:rPr>
          <w:rFonts w:cs="Arial"/>
          <w:szCs w:val="20"/>
          <w:lang w:val="en-US"/>
        </w:rPr>
      </w:pPr>
      <w:r w:rsidRPr="004C2EC8">
        <w:rPr>
          <w:rFonts w:cs="Arial"/>
          <w:b/>
          <w:bCs/>
          <w:szCs w:val="20"/>
          <w:lang w:val="en-US"/>
        </w:rPr>
        <w:t xml:space="preserve">Accruals - </w:t>
      </w:r>
      <w:r w:rsidRPr="004C2EC8">
        <w:rPr>
          <w:rFonts w:cs="Arial"/>
          <w:szCs w:val="20"/>
          <w:lang w:val="en-US"/>
        </w:rPr>
        <w:t>Sums included in the final accounts to cover income or expenditure attributable to the accounting period but for which payment has not been made</w:t>
      </w:r>
      <w:r w:rsidR="00977D80" w:rsidRPr="004C2EC8">
        <w:rPr>
          <w:rFonts w:cs="Arial"/>
          <w:szCs w:val="20"/>
          <w:lang w:val="en-US"/>
        </w:rPr>
        <w:t xml:space="preserve"> or </w:t>
      </w:r>
      <w:r w:rsidRPr="004C2EC8">
        <w:rPr>
          <w:rFonts w:cs="Arial"/>
          <w:szCs w:val="20"/>
          <w:lang w:val="en-US"/>
        </w:rPr>
        <w:t>received at the balance sheet date.</w:t>
      </w:r>
    </w:p>
    <w:p w14:paraId="485A49C1" w14:textId="77777777" w:rsidR="00E00863" w:rsidRPr="004C2EC8" w:rsidRDefault="00E00863" w:rsidP="006D2EED">
      <w:pPr>
        <w:autoSpaceDE w:val="0"/>
        <w:autoSpaceDN w:val="0"/>
        <w:adjustRightInd w:val="0"/>
        <w:rPr>
          <w:rFonts w:cs="Arial"/>
          <w:szCs w:val="20"/>
          <w:lang w:val="en-US"/>
        </w:rPr>
      </w:pPr>
    </w:p>
    <w:p w14:paraId="485A49C2" w14:textId="77777777" w:rsidR="008A14A3" w:rsidRPr="004C2EC8" w:rsidRDefault="008A14A3" w:rsidP="006D2EED">
      <w:pPr>
        <w:autoSpaceDE w:val="0"/>
        <w:autoSpaceDN w:val="0"/>
        <w:adjustRightInd w:val="0"/>
        <w:rPr>
          <w:rFonts w:cs="Arial"/>
          <w:szCs w:val="20"/>
          <w:lang w:val="en-US"/>
        </w:rPr>
      </w:pPr>
      <w:proofErr w:type="spellStart"/>
      <w:r w:rsidRPr="004C2EC8">
        <w:rPr>
          <w:rFonts w:cs="Arial"/>
          <w:b/>
          <w:bCs/>
          <w:szCs w:val="20"/>
          <w:lang w:val="en-US"/>
        </w:rPr>
        <w:t>Amortisation</w:t>
      </w:r>
      <w:proofErr w:type="spellEnd"/>
      <w:r w:rsidRPr="004C2EC8">
        <w:rPr>
          <w:rFonts w:cs="Arial"/>
          <w:szCs w:val="20"/>
          <w:lang w:val="en-US"/>
        </w:rPr>
        <w:t xml:space="preserve"> – The writing down of intangible assets and </w:t>
      </w:r>
      <w:r w:rsidR="00773785" w:rsidRPr="004C2EC8">
        <w:rPr>
          <w:rFonts w:cs="Arial"/>
          <w:szCs w:val="20"/>
          <w:lang w:val="en-US"/>
        </w:rPr>
        <w:t>revenue expenditure funded from capital resources</w:t>
      </w:r>
      <w:r w:rsidRPr="004C2EC8">
        <w:rPr>
          <w:rFonts w:cs="Arial"/>
          <w:szCs w:val="20"/>
          <w:lang w:val="en-US"/>
        </w:rPr>
        <w:t xml:space="preserve"> by making a charge (similar to depreciation) to service revenue accounts.</w:t>
      </w:r>
    </w:p>
    <w:p w14:paraId="485A49C3" w14:textId="77777777" w:rsidR="008A14A3" w:rsidRPr="004C2EC8" w:rsidRDefault="008A14A3" w:rsidP="006D2EED">
      <w:pPr>
        <w:autoSpaceDE w:val="0"/>
        <w:autoSpaceDN w:val="0"/>
        <w:adjustRightInd w:val="0"/>
        <w:rPr>
          <w:rFonts w:cs="Arial"/>
          <w:szCs w:val="20"/>
          <w:lang w:val="en-US"/>
        </w:rPr>
      </w:pPr>
    </w:p>
    <w:p w14:paraId="485A49C4" w14:textId="77777777" w:rsidR="008A14A3" w:rsidRPr="004C2EC8" w:rsidRDefault="008A14A3" w:rsidP="006D2EED">
      <w:pPr>
        <w:autoSpaceDE w:val="0"/>
        <w:autoSpaceDN w:val="0"/>
        <w:adjustRightInd w:val="0"/>
        <w:rPr>
          <w:rFonts w:cs="Arial"/>
          <w:szCs w:val="24"/>
        </w:rPr>
      </w:pPr>
      <w:r w:rsidRPr="004C2EC8">
        <w:rPr>
          <w:rFonts w:cs="Arial"/>
          <w:b/>
          <w:bCs/>
          <w:szCs w:val="24"/>
        </w:rPr>
        <w:t>Budget -</w:t>
      </w:r>
      <w:r w:rsidRPr="004C2EC8">
        <w:rPr>
          <w:rFonts w:cs="Arial"/>
          <w:szCs w:val="24"/>
        </w:rPr>
        <w:t xml:space="preserve"> A statement of the Authority’s plans in financial terms.</w:t>
      </w:r>
      <w:r w:rsidR="00D95903" w:rsidRPr="004C2EC8">
        <w:rPr>
          <w:rFonts w:cs="Arial"/>
          <w:szCs w:val="24"/>
        </w:rPr>
        <w:t xml:space="preserve"> </w:t>
      </w:r>
      <w:r w:rsidRPr="004C2EC8">
        <w:rPr>
          <w:rFonts w:cs="Arial"/>
          <w:szCs w:val="24"/>
        </w:rPr>
        <w:t>A budget is prepared and approved by the Lake District National Park Authority prior to the start of each financial year and is used to monitor actual expenditure throughout the year.</w:t>
      </w:r>
    </w:p>
    <w:p w14:paraId="485A49C5" w14:textId="77777777" w:rsidR="008A14A3" w:rsidRPr="004C2EC8" w:rsidRDefault="008A14A3" w:rsidP="006D2EED">
      <w:pPr>
        <w:autoSpaceDE w:val="0"/>
        <w:autoSpaceDN w:val="0"/>
        <w:adjustRightInd w:val="0"/>
        <w:rPr>
          <w:rFonts w:cs="Arial"/>
          <w:b/>
          <w:bCs/>
          <w:szCs w:val="20"/>
          <w:lang w:val="en-US"/>
        </w:rPr>
      </w:pPr>
    </w:p>
    <w:p w14:paraId="485A49C6" w14:textId="77777777" w:rsidR="008A14A3" w:rsidRPr="004C2EC8" w:rsidRDefault="008A14A3" w:rsidP="006D2EED">
      <w:pPr>
        <w:autoSpaceDE w:val="0"/>
        <w:autoSpaceDN w:val="0"/>
        <w:adjustRightInd w:val="0"/>
        <w:rPr>
          <w:rFonts w:cs="Arial"/>
          <w:szCs w:val="20"/>
          <w:lang w:val="en-US"/>
        </w:rPr>
      </w:pPr>
      <w:r w:rsidRPr="004C2EC8">
        <w:rPr>
          <w:rFonts w:cs="Arial"/>
          <w:b/>
          <w:bCs/>
          <w:szCs w:val="20"/>
          <w:lang w:val="en-US"/>
        </w:rPr>
        <w:t xml:space="preserve">Capital Expenditure - </w:t>
      </w:r>
      <w:r w:rsidRPr="004C2EC8">
        <w:rPr>
          <w:rFonts w:cs="Arial"/>
          <w:szCs w:val="20"/>
          <w:lang w:val="en-US"/>
        </w:rPr>
        <w:t>Expenditure on new assets such as land and buildings, or on enhancements to existing assets that significantly prolong their useful life or increase their value.</w:t>
      </w:r>
    </w:p>
    <w:p w14:paraId="485A49C7" w14:textId="77777777" w:rsidR="008A14A3" w:rsidRPr="004C2EC8" w:rsidRDefault="008A14A3" w:rsidP="006D2EED">
      <w:pPr>
        <w:autoSpaceDE w:val="0"/>
        <w:autoSpaceDN w:val="0"/>
        <w:adjustRightInd w:val="0"/>
        <w:rPr>
          <w:rFonts w:cs="Arial"/>
          <w:szCs w:val="20"/>
          <w:lang w:val="en-US"/>
        </w:rPr>
      </w:pPr>
    </w:p>
    <w:p w14:paraId="485A49C8" w14:textId="77777777" w:rsidR="008A14A3" w:rsidRPr="004C2EC8" w:rsidRDefault="008A14A3" w:rsidP="006D2EED">
      <w:pPr>
        <w:autoSpaceDE w:val="0"/>
        <w:autoSpaceDN w:val="0"/>
        <w:adjustRightInd w:val="0"/>
        <w:rPr>
          <w:rFonts w:cs="Arial"/>
          <w:szCs w:val="20"/>
          <w:lang w:val="en-US"/>
        </w:rPr>
      </w:pPr>
      <w:r w:rsidRPr="004C2EC8">
        <w:rPr>
          <w:rFonts w:cs="Arial"/>
          <w:b/>
          <w:bCs/>
          <w:szCs w:val="20"/>
          <w:lang w:val="en-US"/>
        </w:rPr>
        <w:t xml:space="preserve">Capital Financing Costs - </w:t>
      </w:r>
      <w:r w:rsidRPr="004C2EC8">
        <w:rPr>
          <w:rFonts w:cs="Arial"/>
          <w:szCs w:val="20"/>
          <w:lang w:val="en-US"/>
        </w:rPr>
        <w:t>The annual cost of borrowing (principal repayments and interest charges), leasing charges and other costs of funding capital expenditure.</w:t>
      </w:r>
    </w:p>
    <w:p w14:paraId="485A49C9" w14:textId="77777777" w:rsidR="008A14A3" w:rsidRPr="004C2EC8" w:rsidRDefault="008A14A3" w:rsidP="006D2EED">
      <w:pPr>
        <w:autoSpaceDE w:val="0"/>
        <w:autoSpaceDN w:val="0"/>
        <w:adjustRightInd w:val="0"/>
        <w:rPr>
          <w:rFonts w:cs="Arial"/>
          <w:szCs w:val="20"/>
          <w:lang w:val="en-US"/>
        </w:rPr>
      </w:pPr>
    </w:p>
    <w:p w14:paraId="485A49CA" w14:textId="77777777" w:rsidR="008A14A3" w:rsidRPr="004C2EC8" w:rsidRDefault="008A14A3" w:rsidP="006D2EED">
      <w:pPr>
        <w:autoSpaceDE w:val="0"/>
        <w:autoSpaceDN w:val="0"/>
        <w:adjustRightInd w:val="0"/>
        <w:rPr>
          <w:rFonts w:cs="Arial"/>
          <w:szCs w:val="20"/>
          <w:lang w:val="en-US"/>
        </w:rPr>
      </w:pPr>
      <w:r w:rsidRPr="004C2EC8">
        <w:rPr>
          <w:rFonts w:cs="Arial"/>
          <w:b/>
          <w:bCs/>
          <w:szCs w:val="20"/>
          <w:lang w:val="en-US"/>
        </w:rPr>
        <w:t xml:space="preserve">Capital Receipt - </w:t>
      </w:r>
      <w:r w:rsidRPr="004C2EC8">
        <w:rPr>
          <w:rFonts w:cs="Arial"/>
          <w:szCs w:val="20"/>
          <w:lang w:val="en-US"/>
        </w:rPr>
        <w:t>Income from the sale of capital assets such as land or buildings.</w:t>
      </w:r>
    </w:p>
    <w:p w14:paraId="485A49CB" w14:textId="77777777" w:rsidR="008A14A3" w:rsidRPr="004C2EC8" w:rsidRDefault="008A14A3" w:rsidP="006D2EED">
      <w:pPr>
        <w:autoSpaceDE w:val="0"/>
        <w:autoSpaceDN w:val="0"/>
        <w:adjustRightInd w:val="0"/>
        <w:rPr>
          <w:rFonts w:cs="Arial"/>
          <w:szCs w:val="20"/>
          <w:lang w:val="en-US"/>
        </w:rPr>
      </w:pPr>
    </w:p>
    <w:p w14:paraId="485A49CC" w14:textId="77777777" w:rsidR="00A53DEE" w:rsidRPr="004C2EC8" w:rsidRDefault="00A53DEE" w:rsidP="006D2EED">
      <w:pPr>
        <w:autoSpaceDE w:val="0"/>
        <w:autoSpaceDN w:val="0"/>
        <w:adjustRightInd w:val="0"/>
        <w:rPr>
          <w:rFonts w:cs="Arial"/>
          <w:szCs w:val="20"/>
          <w:lang w:val="en-US"/>
        </w:rPr>
      </w:pPr>
      <w:r w:rsidRPr="004C2EC8">
        <w:rPr>
          <w:rFonts w:cs="Arial"/>
          <w:b/>
          <w:szCs w:val="20"/>
          <w:lang w:val="en-US"/>
        </w:rPr>
        <w:t>CIPFA –</w:t>
      </w:r>
      <w:r w:rsidRPr="004C2EC8">
        <w:rPr>
          <w:rFonts w:cs="Arial"/>
          <w:szCs w:val="20"/>
          <w:lang w:val="en-US"/>
        </w:rPr>
        <w:t xml:space="preserve"> Chartered Institute of Public Finance and Accountancy</w:t>
      </w:r>
    </w:p>
    <w:p w14:paraId="485A49CD" w14:textId="77777777" w:rsidR="00A53DEE" w:rsidRPr="004C2EC8" w:rsidRDefault="00A53DEE" w:rsidP="006D2EED">
      <w:pPr>
        <w:autoSpaceDE w:val="0"/>
        <w:autoSpaceDN w:val="0"/>
        <w:adjustRightInd w:val="0"/>
        <w:rPr>
          <w:rFonts w:cs="Arial"/>
          <w:szCs w:val="20"/>
          <w:lang w:val="en-US"/>
        </w:rPr>
      </w:pPr>
    </w:p>
    <w:p w14:paraId="485A49CE" w14:textId="77777777" w:rsidR="008A14A3" w:rsidRPr="004C2EC8" w:rsidRDefault="008A14A3" w:rsidP="006D2EED">
      <w:pPr>
        <w:autoSpaceDE w:val="0"/>
        <w:autoSpaceDN w:val="0"/>
        <w:adjustRightInd w:val="0"/>
        <w:rPr>
          <w:rFonts w:cs="Arial"/>
          <w:szCs w:val="20"/>
          <w:lang w:val="en-US"/>
        </w:rPr>
      </w:pPr>
      <w:r w:rsidRPr="004C2EC8">
        <w:rPr>
          <w:rFonts w:cs="Arial"/>
          <w:b/>
          <w:bCs/>
          <w:szCs w:val="20"/>
          <w:lang w:val="en-US"/>
        </w:rPr>
        <w:t xml:space="preserve">Creditors - </w:t>
      </w:r>
      <w:r w:rsidR="001A7638" w:rsidRPr="004C2EC8">
        <w:rPr>
          <w:rFonts w:cs="Arial"/>
          <w:szCs w:val="20"/>
          <w:lang w:val="en-US"/>
        </w:rPr>
        <w:t>Amounts owed by the Authority</w:t>
      </w:r>
      <w:r w:rsidRPr="004C2EC8">
        <w:rPr>
          <w:rFonts w:cs="Arial"/>
          <w:szCs w:val="20"/>
          <w:lang w:val="en-US"/>
        </w:rPr>
        <w:t xml:space="preserve"> at 31 March for goods received or services rendered but not yet paid for.</w:t>
      </w:r>
    </w:p>
    <w:p w14:paraId="485A49CF" w14:textId="77777777" w:rsidR="008A14A3" w:rsidRPr="004C2EC8" w:rsidRDefault="008A14A3" w:rsidP="006D2EED">
      <w:pPr>
        <w:autoSpaceDE w:val="0"/>
        <w:autoSpaceDN w:val="0"/>
        <w:adjustRightInd w:val="0"/>
        <w:rPr>
          <w:rFonts w:cs="Arial"/>
          <w:szCs w:val="20"/>
          <w:lang w:val="en-US"/>
        </w:rPr>
      </w:pPr>
    </w:p>
    <w:p w14:paraId="485A49D0" w14:textId="77777777" w:rsidR="008A14A3" w:rsidRPr="004C2EC8" w:rsidRDefault="008A14A3" w:rsidP="006D2EED">
      <w:pPr>
        <w:autoSpaceDE w:val="0"/>
        <w:autoSpaceDN w:val="0"/>
        <w:adjustRightInd w:val="0"/>
        <w:rPr>
          <w:rFonts w:cs="Arial"/>
          <w:szCs w:val="20"/>
          <w:lang w:val="en-US"/>
        </w:rPr>
      </w:pPr>
      <w:r w:rsidRPr="004C2EC8">
        <w:rPr>
          <w:rFonts w:cs="Arial"/>
          <w:b/>
          <w:bCs/>
          <w:szCs w:val="20"/>
          <w:lang w:val="en-US"/>
        </w:rPr>
        <w:t xml:space="preserve">Current Assets - </w:t>
      </w:r>
      <w:r w:rsidRPr="004C2EC8">
        <w:rPr>
          <w:rFonts w:cs="Arial"/>
          <w:szCs w:val="20"/>
          <w:lang w:val="en-US"/>
        </w:rPr>
        <w:t xml:space="preserve">Assets which can be expected to be consumed or </w:t>
      </w:r>
      <w:proofErr w:type="spellStart"/>
      <w:r w:rsidRPr="004C2EC8">
        <w:rPr>
          <w:rFonts w:cs="Arial"/>
          <w:szCs w:val="20"/>
          <w:lang w:val="en-US"/>
        </w:rPr>
        <w:t>realised</w:t>
      </w:r>
      <w:proofErr w:type="spellEnd"/>
      <w:r w:rsidRPr="004C2EC8">
        <w:rPr>
          <w:rFonts w:cs="Arial"/>
          <w:szCs w:val="20"/>
          <w:lang w:val="en-US"/>
        </w:rPr>
        <w:t xml:space="preserve"> during the next accounting period.</w:t>
      </w:r>
    </w:p>
    <w:p w14:paraId="485A49D1" w14:textId="77777777" w:rsidR="008A14A3" w:rsidRPr="004C2EC8" w:rsidRDefault="008A14A3" w:rsidP="006D2EED">
      <w:pPr>
        <w:autoSpaceDE w:val="0"/>
        <w:autoSpaceDN w:val="0"/>
        <w:adjustRightInd w:val="0"/>
        <w:rPr>
          <w:rFonts w:cs="Arial"/>
          <w:szCs w:val="20"/>
          <w:lang w:val="en-US"/>
        </w:rPr>
      </w:pPr>
    </w:p>
    <w:p w14:paraId="485A49D2" w14:textId="77777777" w:rsidR="008A14A3" w:rsidRPr="004C2EC8" w:rsidRDefault="008A14A3" w:rsidP="006D2EED">
      <w:pPr>
        <w:autoSpaceDE w:val="0"/>
        <w:autoSpaceDN w:val="0"/>
        <w:adjustRightInd w:val="0"/>
        <w:rPr>
          <w:rFonts w:cs="Arial"/>
          <w:szCs w:val="20"/>
          <w:lang w:val="en-US"/>
        </w:rPr>
      </w:pPr>
      <w:r w:rsidRPr="004C2EC8">
        <w:rPr>
          <w:rFonts w:cs="Arial"/>
          <w:b/>
          <w:bCs/>
          <w:szCs w:val="20"/>
          <w:lang w:val="en-US"/>
        </w:rPr>
        <w:t xml:space="preserve">Current Liabilities - </w:t>
      </w:r>
      <w:r w:rsidRPr="004C2EC8">
        <w:rPr>
          <w:rFonts w:cs="Arial"/>
          <w:szCs w:val="20"/>
          <w:lang w:val="en-US"/>
        </w:rPr>
        <w:t>Amounts which will become due or could be called upon during the next accounting period.</w:t>
      </w:r>
    </w:p>
    <w:p w14:paraId="485A49D3" w14:textId="77777777" w:rsidR="008A14A3" w:rsidRPr="004C2EC8" w:rsidRDefault="008A14A3" w:rsidP="006D2EED">
      <w:pPr>
        <w:autoSpaceDE w:val="0"/>
        <w:autoSpaceDN w:val="0"/>
        <w:adjustRightInd w:val="0"/>
        <w:rPr>
          <w:rFonts w:cs="Arial"/>
          <w:szCs w:val="20"/>
          <w:lang w:val="en-US"/>
        </w:rPr>
      </w:pPr>
    </w:p>
    <w:p w14:paraId="485A49D4" w14:textId="77777777" w:rsidR="008A14A3" w:rsidRPr="004C2EC8" w:rsidRDefault="008A14A3" w:rsidP="006D2EED">
      <w:pPr>
        <w:autoSpaceDE w:val="0"/>
        <w:autoSpaceDN w:val="0"/>
        <w:adjustRightInd w:val="0"/>
        <w:rPr>
          <w:rFonts w:cs="Arial"/>
          <w:szCs w:val="20"/>
          <w:lang w:val="en-US"/>
        </w:rPr>
      </w:pPr>
      <w:r w:rsidRPr="004C2EC8">
        <w:rPr>
          <w:rFonts w:cs="Arial"/>
          <w:b/>
          <w:bCs/>
          <w:szCs w:val="20"/>
          <w:lang w:val="en-US"/>
        </w:rPr>
        <w:t xml:space="preserve">Debtor - </w:t>
      </w:r>
      <w:r w:rsidR="001A7638" w:rsidRPr="004C2EC8">
        <w:rPr>
          <w:rFonts w:cs="Arial"/>
          <w:szCs w:val="20"/>
          <w:lang w:val="en-US"/>
        </w:rPr>
        <w:t>Amounts owed to the Authority</w:t>
      </w:r>
      <w:r w:rsidRPr="004C2EC8">
        <w:rPr>
          <w:rFonts w:cs="Arial"/>
          <w:szCs w:val="20"/>
          <w:lang w:val="en-US"/>
        </w:rPr>
        <w:t>, which are collectable or outstanding at 31 March.</w:t>
      </w:r>
    </w:p>
    <w:p w14:paraId="485A49D5" w14:textId="77777777" w:rsidR="008A14A3" w:rsidRPr="004C2EC8" w:rsidRDefault="008A14A3" w:rsidP="006D2EED">
      <w:pPr>
        <w:autoSpaceDE w:val="0"/>
        <w:autoSpaceDN w:val="0"/>
        <w:adjustRightInd w:val="0"/>
        <w:rPr>
          <w:rFonts w:cs="Arial"/>
          <w:szCs w:val="20"/>
          <w:lang w:val="en-US"/>
        </w:rPr>
      </w:pPr>
    </w:p>
    <w:p w14:paraId="485A49D6" w14:textId="77777777" w:rsidR="008A14A3" w:rsidRPr="004C2EC8" w:rsidRDefault="008A14A3" w:rsidP="006D2EED">
      <w:pPr>
        <w:autoSpaceDE w:val="0"/>
        <w:autoSpaceDN w:val="0"/>
        <w:adjustRightInd w:val="0"/>
        <w:rPr>
          <w:rFonts w:cs="Arial"/>
          <w:szCs w:val="20"/>
          <w:lang w:val="en-US"/>
        </w:rPr>
      </w:pPr>
      <w:r w:rsidRPr="004C2EC8">
        <w:rPr>
          <w:rFonts w:cs="Arial"/>
          <w:b/>
          <w:bCs/>
          <w:szCs w:val="20"/>
          <w:lang w:val="en-US"/>
        </w:rPr>
        <w:t xml:space="preserve">Deferred Liabilities - </w:t>
      </w:r>
      <w:r w:rsidRPr="004C2EC8">
        <w:rPr>
          <w:rFonts w:cs="Arial"/>
          <w:szCs w:val="20"/>
          <w:lang w:val="en-US"/>
        </w:rPr>
        <w:t>This represents the liability for principal repayments on finance leases.</w:t>
      </w:r>
    </w:p>
    <w:p w14:paraId="485A49D7" w14:textId="77777777" w:rsidR="008A14A3" w:rsidRPr="004C2EC8" w:rsidRDefault="008A14A3" w:rsidP="006D2EED">
      <w:pPr>
        <w:autoSpaceDE w:val="0"/>
        <w:autoSpaceDN w:val="0"/>
        <w:adjustRightInd w:val="0"/>
        <w:rPr>
          <w:rFonts w:cs="Arial"/>
          <w:szCs w:val="20"/>
          <w:lang w:val="en-US"/>
        </w:rPr>
      </w:pPr>
    </w:p>
    <w:p w14:paraId="485A49D8" w14:textId="77777777" w:rsidR="008A14A3" w:rsidRPr="004C2EC8" w:rsidRDefault="008A14A3" w:rsidP="006D2EED">
      <w:pPr>
        <w:autoSpaceDE w:val="0"/>
        <w:autoSpaceDN w:val="0"/>
        <w:adjustRightInd w:val="0"/>
        <w:rPr>
          <w:rFonts w:cs="Arial"/>
          <w:szCs w:val="20"/>
          <w:lang w:val="en-US"/>
        </w:rPr>
      </w:pPr>
      <w:r w:rsidRPr="004C2EC8">
        <w:rPr>
          <w:rFonts w:cs="Arial"/>
          <w:b/>
          <w:bCs/>
          <w:szCs w:val="20"/>
          <w:lang w:val="en-US"/>
        </w:rPr>
        <w:t xml:space="preserve">Depreciation - </w:t>
      </w:r>
      <w:r w:rsidRPr="004C2EC8">
        <w:rPr>
          <w:rFonts w:cs="Arial"/>
          <w:szCs w:val="20"/>
          <w:lang w:val="en-US"/>
        </w:rPr>
        <w:t>The estimated using up of the value of an asset, owing to age, wear and tear, deterioration, or obsolescence.</w:t>
      </w:r>
    </w:p>
    <w:p w14:paraId="485A49D9" w14:textId="77777777" w:rsidR="008A14A3" w:rsidRPr="004C2EC8" w:rsidRDefault="008A14A3" w:rsidP="006D2EED">
      <w:pPr>
        <w:autoSpaceDE w:val="0"/>
        <w:autoSpaceDN w:val="0"/>
        <w:adjustRightInd w:val="0"/>
        <w:rPr>
          <w:rFonts w:cs="Arial"/>
          <w:szCs w:val="20"/>
          <w:lang w:val="en-US"/>
        </w:rPr>
      </w:pPr>
    </w:p>
    <w:p w14:paraId="485A49DA" w14:textId="77777777" w:rsidR="008A14A3" w:rsidRPr="004C2EC8" w:rsidRDefault="008A14A3" w:rsidP="006D2EED">
      <w:pPr>
        <w:autoSpaceDE w:val="0"/>
        <w:autoSpaceDN w:val="0"/>
        <w:adjustRightInd w:val="0"/>
        <w:rPr>
          <w:rFonts w:cs="Arial"/>
          <w:szCs w:val="20"/>
          <w:lang w:val="en-US"/>
        </w:rPr>
      </w:pPr>
      <w:r w:rsidRPr="004C2EC8">
        <w:rPr>
          <w:rFonts w:cs="Arial"/>
          <w:b/>
          <w:bCs/>
          <w:szCs w:val="20"/>
          <w:lang w:val="en-US"/>
        </w:rPr>
        <w:t xml:space="preserve">Finance Lease - </w:t>
      </w:r>
      <w:r w:rsidRPr="004C2EC8">
        <w:rPr>
          <w:rFonts w:cs="Arial"/>
          <w:szCs w:val="20"/>
          <w:lang w:val="en-US"/>
        </w:rPr>
        <w:t>A lease that transfers substantially all of the risks and rewards of ownership of a fixed asset to the lessee.</w:t>
      </w:r>
    </w:p>
    <w:p w14:paraId="485A49DB" w14:textId="77777777" w:rsidR="00773785" w:rsidRPr="004C2EC8" w:rsidRDefault="00773785" w:rsidP="006D2EED">
      <w:pPr>
        <w:autoSpaceDE w:val="0"/>
        <w:autoSpaceDN w:val="0"/>
        <w:adjustRightInd w:val="0"/>
        <w:rPr>
          <w:rFonts w:cs="Arial"/>
          <w:szCs w:val="20"/>
          <w:lang w:val="en-US"/>
        </w:rPr>
      </w:pPr>
    </w:p>
    <w:p w14:paraId="485A49DC" w14:textId="77777777" w:rsidR="008A14A3" w:rsidRPr="004C2EC8" w:rsidRDefault="008A14A3" w:rsidP="006D2EED">
      <w:pPr>
        <w:autoSpaceDE w:val="0"/>
        <w:autoSpaceDN w:val="0"/>
        <w:adjustRightInd w:val="0"/>
        <w:rPr>
          <w:rFonts w:cs="Arial"/>
          <w:szCs w:val="20"/>
          <w:lang w:val="en-US"/>
        </w:rPr>
      </w:pPr>
      <w:r w:rsidRPr="004C2EC8">
        <w:rPr>
          <w:rFonts w:cs="Arial"/>
          <w:b/>
          <w:bCs/>
          <w:szCs w:val="20"/>
          <w:lang w:val="en-US"/>
        </w:rPr>
        <w:t xml:space="preserve">Government Grants - </w:t>
      </w:r>
      <w:r w:rsidRPr="004C2EC8">
        <w:rPr>
          <w:rFonts w:cs="Arial"/>
          <w:szCs w:val="20"/>
          <w:lang w:val="en-US"/>
        </w:rPr>
        <w:t>Payments by central government towards local authority expenditure. They may be specific, for example Sustainable Development Grant, or general, such as National Park Grant.</w:t>
      </w:r>
    </w:p>
    <w:p w14:paraId="485A49DD" w14:textId="77777777" w:rsidR="008A14A3" w:rsidRPr="004C2EC8" w:rsidRDefault="008A14A3" w:rsidP="006D2EED">
      <w:pPr>
        <w:autoSpaceDE w:val="0"/>
        <w:autoSpaceDN w:val="0"/>
        <w:adjustRightInd w:val="0"/>
        <w:rPr>
          <w:rFonts w:cs="Arial"/>
          <w:szCs w:val="20"/>
          <w:lang w:val="en-US"/>
        </w:rPr>
      </w:pPr>
    </w:p>
    <w:p w14:paraId="485A49DE" w14:textId="77777777" w:rsidR="00CF043A" w:rsidRPr="004C2EC8" w:rsidRDefault="00CF043A" w:rsidP="006D2EED">
      <w:pPr>
        <w:autoSpaceDE w:val="0"/>
        <w:autoSpaceDN w:val="0"/>
        <w:adjustRightInd w:val="0"/>
        <w:rPr>
          <w:rFonts w:cs="Arial"/>
          <w:szCs w:val="20"/>
          <w:lang w:val="en-US"/>
        </w:rPr>
      </w:pPr>
      <w:r w:rsidRPr="004C2EC8">
        <w:rPr>
          <w:rFonts w:cs="Arial"/>
          <w:b/>
          <w:szCs w:val="20"/>
          <w:lang w:val="en-US"/>
        </w:rPr>
        <w:t>Heritage Assets</w:t>
      </w:r>
      <w:r w:rsidRPr="004C2EC8">
        <w:rPr>
          <w:rFonts w:cs="Arial"/>
          <w:szCs w:val="20"/>
          <w:lang w:val="en-US"/>
        </w:rPr>
        <w:t xml:space="preserve"> </w:t>
      </w:r>
      <w:r w:rsidR="00355E7F" w:rsidRPr="004C2EC8">
        <w:rPr>
          <w:rFonts w:cs="Arial"/>
          <w:b/>
          <w:szCs w:val="20"/>
          <w:lang w:val="en-US"/>
        </w:rPr>
        <w:t>-</w:t>
      </w:r>
      <w:r w:rsidRPr="004C2EC8">
        <w:rPr>
          <w:rFonts w:cs="Arial"/>
          <w:szCs w:val="20"/>
          <w:lang w:val="en-US"/>
        </w:rPr>
        <w:t xml:space="preserve"> </w:t>
      </w:r>
      <w:r w:rsidR="00355E7F" w:rsidRPr="004C2EC8">
        <w:rPr>
          <w:rFonts w:cs="Arial"/>
          <w:szCs w:val="20"/>
          <w:lang w:val="en-US"/>
        </w:rPr>
        <w:t>Assets with historical, artistic, scientific, technological, geophysical or environmental qualities that are held and maintained principally for their contribution to knowledge and culture.</w:t>
      </w:r>
    </w:p>
    <w:p w14:paraId="485A49DF" w14:textId="77777777" w:rsidR="00CF043A" w:rsidRPr="004C2EC8" w:rsidRDefault="00CF043A" w:rsidP="006D2EED">
      <w:pPr>
        <w:autoSpaceDE w:val="0"/>
        <w:autoSpaceDN w:val="0"/>
        <w:adjustRightInd w:val="0"/>
        <w:rPr>
          <w:rFonts w:cs="Arial"/>
          <w:szCs w:val="20"/>
          <w:lang w:val="en-US"/>
        </w:rPr>
      </w:pPr>
    </w:p>
    <w:p w14:paraId="485A49E0" w14:textId="77777777" w:rsidR="008A14A3" w:rsidRPr="004C2EC8" w:rsidRDefault="008A14A3" w:rsidP="006D2EED">
      <w:pPr>
        <w:autoSpaceDE w:val="0"/>
        <w:autoSpaceDN w:val="0"/>
        <w:adjustRightInd w:val="0"/>
        <w:rPr>
          <w:rFonts w:cs="Arial"/>
          <w:szCs w:val="20"/>
          <w:lang w:val="en-US"/>
        </w:rPr>
      </w:pPr>
      <w:r w:rsidRPr="004C2EC8">
        <w:rPr>
          <w:rFonts w:cs="Arial"/>
          <w:b/>
          <w:bCs/>
          <w:szCs w:val="20"/>
          <w:lang w:val="en-US"/>
        </w:rPr>
        <w:lastRenderedPageBreak/>
        <w:t xml:space="preserve">National Park Grant - </w:t>
      </w:r>
      <w:r w:rsidRPr="004C2EC8">
        <w:rPr>
          <w:rFonts w:cs="Arial"/>
          <w:szCs w:val="20"/>
          <w:lang w:val="en-US"/>
        </w:rPr>
        <w:t>The main grant paid by central government to a National Park Authority towards the costs of its services.</w:t>
      </w:r>
    </w:p>
    <w:p w14:paraId="485A49E1" w14:textId="77777777" w:rsidR="0099063B" w:rsidRPr="004C2EC8" w:rsidRDefault="0099063B" w:rsidP="006D2EED">
      <w:pPr>
        <w:autoSpaceDE w:val="0"/>
        <w:autoSpaceDN w:val="0"/>
        <w:adjustRightInd w:val="0"/>
        <w:rPr>
          <w:rFonts w:cs="Arial"/>
          <w:b/>
          <w:bCs/>
          <w:szCs w:val="20"/>
          <w:lang w:val="en-US"/>
        </w:rPr>
      </w:pPr>
    </w:p>
    <w:p w14:paraId="485A49E2" w14:textId="77777777" w:rsidR="0099063B" w:rsidRPr="004C2EC8" w:rsidRDefault="0099063B" w:rsidP="006D2EED">
      <w:pPr>
        <w:autoSpaceDE w:val="0"/>
        <w:autoSpaceDN w:val="0"/>
        <w:adjustRightInd w:val="0"/>
        <w:rPr>
          <w:rFonts w:cs="Arial"/>
          <w:szCs w:val="20"/>
          <w:lang w:val="en-US"/>
        </w:rPr>
      </w:pPr>
      <w:r w:rsidRPr="004C2EC8">
        <w:rPr>
          <w:rFonts w:cs="Arial"/>
          <w:b/>
          <w:bCs/>
          <w:szCs w:val="20"/>
          <w:lang w:val="en-US"/>
        </w:rPr>
        <w:t xml:space="preserve">Non-Current Asset - </w:t>
      </w:r>
      <w:r w:rsidRPr="004C2EC8">
        <w:rPr>
          <w:rFonts w:cs="Arial"/>
          <w:szCs w:val="20"/>
          <w:lang w:val="en-US"/>
        </w:rPr>
        <w:t>Assets that can be expected to be of use or benefit the Authority in providing its service for more than one accounting period.</w:t>
      </w:r>
    </w:p>
    <w:p w14:paraId="485A49E3" w14:textId="77777777" w:rsidR="008A14A3" w:rsidRPr="004C2EC8" w:rsidRDefault="008A14A3" w:rsidP="006D2EED">
      <w:pPr>
        <w:autoSpaceDE w:val="0"/>
        <w:autoSpaceDN w:val="0"/>
        <w:adjustRightInd w:val="0"/>
        <w:rPr>
          <w:rFonts w:cs="Arial"/>
          <w:szCs w:val="20"/>
          <w:lang w:val="en-US"/>
        </w:rPr>
      </w:pPr>
    </w:p>
    <w:p w14:paraId="485A49E4" w14:textId="77777777" w:rsidR="008A14A3" w:rsidRPr="004C2EC8" w:rsidRDefault="008A14A3" w:rsidP="006D2EED">
      <w:pPr>
        <w:autoSpaceDE w:val="0"/>
        <w:autoSpaceDN w:val="0"/>
        <w:adjustRightInd w:val="0"/>
        <w:rPr>
          <w:rFonts w:cs="Arial"/>
          <w:szCs w:val="20"/>
          <w:lang w:val="en-US"/>
        </w:rPr>
      </w:pPr>
      <w:r w:rsidRPr="004C2EC8">
        <w:rPr>
          <w:rFonts w:cs="Arial"/>
          <w:b/>
          <w:bCs/>
          <w:szCs w:val="20"/>
          <w:lang w:val="en-US"/>
        </w:rPr>
        <w:t xml:space="preserve">Operating Lease - </w:t>
      </w:r>
      <w:r w:rsidRPr="004C2EC8">
        <w:rPr>
          <w:rFonts w:cs="Arial"/>
          <w:szCs w:val="20"/>
          <w:lang w:val="en-US"/>
        </w:rPr>
        <w:t>A lease under which the ownership of the asset remains with the</w:t>
      </w:r>
      <w:r w:rsidRPr="004C2EC8">
        <w:rPr>
          <w:rFonts w:cs="Arial"/>
          <w:szCs w:val="20"/>
        </w:rPr>
        <w:t xml:space="preserve"> lessor</w:t>
      </w:r>
      <w:r w:rsidRPr="004C2EC8">
        <w:rPr>
          <w:rFonts w:cs="Arial"/>
          <w:szCs w:val="20"/>
          <w:lang w:val="en-US"/>
        </w:rPr>
        <w:t>; for practical purposes it is equivalent to contract hiring.</w:t>
      </w:r>
    </w:p>
    <w:p w14:paraId="485A49E5" w14:textId="77777777" w:rsidR="008A14A3" w:rsidRPr="004C2EC8" w:rsidRDefault="008A14A3" w:rsidP="006D2EED">
      <w:pPr>
        <w:autoSpaceDE w:val="0"/>
        <w:autoSpaceDN w:val="0"/>
        <w:adjustRightInd w:val="0"/>
        <w:rPr>
          <w:rFonts w:cs="Arial"/>
          <w:szCs w:val="20"/>
          <w:lang w:val="en-US"/>
        </w:rPr>
      </w:pPr>
    </w:p>
    <w:p w14:paraId="485A49E6" w14:textId="77777777" w:rsidR="008A14A3" w:rsidRPr="004C2EC8" w:rsidRDefault="008A14A3" w:rsidP="006D2EED">
      <w:pPr>
        <w:autoSpaceDE w:val="0"/>
        <w:autoSpaceDN w:val="0"/>
        <w:adjustRightInd w:val="0"/>
        <w:rPr>
          <w:rFonts w:cs="Arial"/>
          <w:szCs w:val="20"/>
          <w:lang w:val="en-US"/>
        </w:rPr>
      </w:pPr>
      <w:r w:rsidRPr="004C2EC8">
        <w:rPr>
          <w:rFonts w:cs="Arial"/>
          <w:b/>
          <w:bCs/>
          <w:szCs w:val="20"/>
          <w:lang w:val="en-US"/>
        </w:rPr>
        <w:t xml:space="preserve">Precepts - </w:t>
      </w:r>
      <w:r w:rsidRPr="004C2EC8">
        <w:rPr>
          <w:rFonts w:cs="Arial"/>
          <w:szCs w:val="20"/>
          <w:lang w:val="en-US"/>
        </w:rPr>
        <w:t xml:space="preserve">The amount </w:t>
      </w:r>
      <w:r w:rsidR="00A6187C" w:rsidRPr="004C2EC8">
        <w:rPr>
          <w:rFonts w:cs="Arial"/>
          <w:szCs w:val="20"/>
          <w:lang w:val="en-US"/>
        </w:rPr>
        <w:t>required to be collected on behalf of a</w:t>
      </w:r>
      <w:r w:rsidR="007E6385" w:rsidRPr="004C2EC8">
        <w:rPr>
          <w:rFonts w:cs="Arial"/>
          <w:szCs w:val="20"/>
          <w:lang w:val="en-US"/>
        </w:rPr>
        <w:t xml:space="preserve"> local authority</w:t>
      </w:r>
      <w:r w:rsidRPr="004C2EC8">
        <w:rPr>
          <w:rFonts w:cs="Arial"/>
          <w:szCs w:val="20"/>
          <w:lang w:val="en-US"/>
        </w:rPr>
        <w:t xml:space="preserve"> </w:t>
      </w:r>
      <w:r w:rsidR="003631D2" w:rsidRPr="004C2EC8">
        <w:rPr>
          <w:rFonts w:cs="Arial"/>
          <w:szCs w:val="20"/>
          <w:lang w:val="en-US"/>
        </w:rPr>
        <w:t>that</w:t>
      </w:r>
      <w:r w:rsidRPr="004C2EC8">
        <w:rPr>
          <w:rFonts w:cs="Arial"/>
          <w:szCs w:val="20"/>
          <w:lang w:val="en-US"/>
        </w:rPr>
        <w:t xml:space="preserve"> cannot levy a council tax directly on the public (for example a National Park Authority)</w:t>
      </w:r>
      <w:r w:rsidR="00A6187C" w:rsidRPr="004C2EC8">
        <w:rPr>
          <w:rFonts w:cs="Arial"/>
          <w:szCs w:val="20"/>
          <w:lang w:val="en-US"/>
        </w:rPr>
        <w:t>.</w:t>
      </w:r>
    </w:p>
    <w:p w14:paraId="485A49E7" w14:textId="77777777" w:rsidR="008A14A3" w:rsidRPr="004C2EC8" w:rsidRDefault="008A14A3" w:rsidP="006D2EED">
      <w:pPr>
        <w:autoSpaceDE w:val="0"/>
        <w:autoSpaceDN w:val="0"/>
        <w:adjustRightInd w:val="0"/>
        <w:rPr>
          <w:rFonts w:cs="Arial"/>
          <w:szCs w:val="20"/>
          <w:lang w:val="en-US"/>
        </w:rPr>
      </w:pPr>
    </w:p>
    <w:p w14:paraId="485A49E8" w14:textId="77777777" w:rsidR="008A14A3" w:rsidRPr="004C2EC8" w:rsidRDefault="008A14A3" w:rsidP="006D2EED">
      <w:pPr>
        <w:autoSpaceDE w:val="0"/>
        <w:autoSpaceDN w:val="0"/>
        <w:adjustRightInd w:val="0"/>
        <w:rPr>
          <w:rFonts w:cs="Arial"/>
          <w:szCs w:val="20"/>
          <w:lang w:val="en-US"/>
        </w:rPr>
      </w:pPr>
      <w:r w:rsidRPr="004C2EC8">
        <w:rPr>
          <w:rFonts w:cs="Arial"/>
          <w:b/>
          <w:bCs/>
          <w:szCs w:val="20"/>
          <w:lang w:val="en-US"/>
        </w:rPr>
        <w:t xml:space="preserve">Provisions – </w:t>
      </w:r>
      <w:r w:rsidRPr="004C2EC8">
        <w:rPr>
          <w:rFonts w:cs="Arial"/>
          <w:szCs w:val="20"/>
          <w:lang w:val="en-US"/>
        </w:rPr>
        <w:t>Amounts set aside to meet known liabilities.</w:t>
      </w:r>
    </w:p>
    <w:p w14:paraId="485A49E9" w14:textId="77777777" w:rsidR="008A14A3" w:rsidRPr="004C2EC8" w:rsidRDefault="008A14A3" w:rsidP="006D2EED">
      <w:pPr>
        <w:autoSpaceDE w:val="0"/>
        <w:autoSpaceDN w:val="0"/>
        <w:adjustRightInd w:val="0"/>
        <w:rPr>
          <w:rFonts w:cs="Arial"/>
          <w:b/>
          <w:bCs/>
          <w:szCs w:val="20"/>
          <w:lang w:val="en-US"/>
        </w:rPr>
      </w:pPr>
    </w:p>
    <w:p w14:paraId="485A49EA" w14:textId="77777777" w:rsidR="008A14A3" w:rsidRPr="004C2EC8" w:rsidRDefault="008A14A3" w:rsidP="006D2EED">
      <w:pPr>
        <w:autoSpaceDE w:val="0"/>
        <w:autoSpaceDN w:val="0"/>
        <w:adjustRightInd w:val="0"/>
        <w:rPr>
          <w:rFonts w:cs="Arial"/>
          <w:szCs w:val="20"/>
          <w:lang w:val="en-US"/>
        </w:rPr>
      </w:pPr>
      <w:r w:rsidRPr="004C2EC8">
        <w:rPr>
          <w:rFonts w:cs="Arial"/>
          <w:b/>
          <w:bCs/>
          <w:szCs w:val="20"/>
          <w:lang w:val="en-US"/>
        </w:rPr>
        <w:t xml:space="preserve">Reserves - </w:t>
      </w:r>
      <w:r w:rsidRPr="004C2EC8">
        <w:rPr>
          <w:rFonts w:cs="Arial"/>
          <w:szCs w:val="20"/>
          <w:lang w:val="en-US"/>
        </w:rPr>
        <w:t>Amounts set aside in the accounts for the purpose of meeting future</w:t>
      </w:r>
      <w:r w:rsidR="008F1E43" w:rsidRPr="004C2EC8">
        <w:rPr>
          <w:rFonts w:cs="Arial"/>
          <w:szCs w:val="20"/>
          <w:lang w:val="en-US"/>
        </w:rPr>
        <w:t xml:space="preserve"> expenditure.</w:t>
      </w:r>
    </w:p>
    <w:p w14:paraId="485A49EB" w14:textId="77777777" w:rsidR="008A14A3" w:rsidRPr="004C2EC8" w:rsidRDefault="008A14A3" w:rsidP="006D2EED">
      <w:pPr>
        <w:autoSpaceDE w:val="0"/>
        <w:autoSpaceDN w:val="0"/>
        <w:adjustRightInd w:val="0"/>
        <w:rPr>
          <w:rFonts w:cs="Arial"/>
          <w:szCs w:val="20"/>
          <w:lang w:val="en-US"/>
        </w:rPr>
      </w:pPr>
    </w:p>
    <w:p w14:paraId="485A49EC" w14:textId="77777777" w:rsidR="008A14A3" w:rsidRPr="004C2EC8" w:rsidRDefault="008A14A3" w:rsidP="006D2EED">
      <w:pPr>
        <w:autoSpaceDE w:val="0"/>
        <w:autoSpaceDN w:val="0"/>
        <w:adjustRightInd w:val="0"/>
        <w:rPr>
          <w:rFonts w:cs="Arial"/>
          <w:szCs w:val="20"/>
          <w:lang w:val="en-US"/>
        </w:rPr>
      </w:pPr>
      <w:r w:rsidRPr="004C2EC8">
        <w:rPr>
          <w:rFonts w:cs="Arial"/>
          <w:b/>
          <w:bCs/>
          <w:szCs w:val="20"/>
          <w:lang w:val="en-US"/>
        </w:rPr>
        <w:t xml:space="preserve">Revenue Expenditure - </w:t>
      </w:r>
      <w:r w:rsidRPr="004C2EC8">
        <w:rPr>
          <w:rFonts w:cs="Arial"/>
          <w:szCs w:val="20"/>
          <w:lang w:val="en-US"/>
        </w:rPr>
        <w:t>Spending on day-to-day items including employees’ pay, premises costs and supplies and services.</w:t>
      </w:r>
    </w:p>
    <w:p w14:paraId="485A49ED" w14:textId="77777777" w:rsidR="00014B0A" w:rsidRPr="004C2EC8" w:rsidRDefault="00014B0A" w:rsidP="006D2EED">
      <w:pPr>
        <w:autoSpaceDE w:val="0"/>
        <w:autoSpaceDN w:val="0"/>
        <w:adjustRightInd w:val="0"/>
        <w:rPr>
          <w:rFonts w:cs="Arial"/>
          <w:szCs w:val="20"/>
          <w:lang w:val="en-US"/>
        </w:rPr>
      </w:pPr>
    </w:p>
    <w:p w14:paraId="485A49EE" w14:textId="77777777" w:rsidR="00014B0A" w:rsidRPr="004C2EC8" w:rsidRDefault="00014B0A" w:rsidP="006D2EED">
      <w:pPr>
        <w:autoSpaceDE w:val="0"/>
        <w:autoSpaceDN w:val="0"/>
        <w:adjustRightInd w:val="0"/>
        <w:rPr>
          <w:rFonts w:cs="Arial"/>
          <w:b/>
          <w:szCs w:val="20"/>
          <w:lang w:val="en-US"/>
        </w:rPr>
      </w:pPr>
      <w:r w:rsidRPr="004C2EC8">
        <w:rPr>
          <w:b/>
        </w:rPr>
        <w:t xml:space="preserve">Revenue Expenditure Funded from Capital </w:t>
      </w:r>
      <w:r w:rsidR="00115D3B" w:rsidRPr="004C2EC8">
        <w:rPr>
          <w:b/>
        </w:rPr>
        <w:t>Under Statute</w:t>
      </w:r>
      <w:r w:rsidRPr="004C2EC8">
        <w:rPr>
          <w:b/>
        </w:rPr>
        <w:t xml:space="preserve"> -</w:t>
      </w:r>
      <w:r w:rsidRPr="004C2EC8">
        <w:t xml:space="preserve"> </w:t>
      </w:r>
      <w:r w:rsidRPr="004C2EC8">
        <w:rPr>
          <w:rFonts w:cs="Arial"/>
          <w:szCs w:val="20"/>
          <w:lang w:val="en-US"/>
        </w:rPr>
        <w:t>Expenditure of a capital nature but for which there is no tangible asset, for example capital grants.</w:t>
      </w:r>
    </w:p>
    <w:p w14:paraId="485A49EF" w14:textId="77777777" w:rsidR="008A14A3" w:rsidRPr="004C2EC8" w:rsidRDefault="008A14A3" w:rsidP="006D2EED">
      <w:pPr>
        <w:autoSpaceDE w:val="0"/>
        <w:autoSpaceDN w:val="0"/>
        <w:adjustRightInd w:val="0"/>
        <w:rPr>
          <w:rFonts w:cs="Arial"/>
          <w:szCs w:val="20"/>
          <w:lang w:val="en-US"/>
        </w:rPr>
      </w:pPr>
    </w:p>
    <w:p w14:paraId="485A49F0" w14:textId="77777777" w:rsidR="008A14A3" w:rsidRPr="004C2EC8" w:rsidRDefault="008A14A3" w:rsidP="006D2EED">
      <w:pPr>
        <w:pStyle w:val="Heading4"/>
        <w:autoSpaceDE w:val="0"/>
        <w:autoSpaceDN w:val="0"/>
        <w:adjustRightInd w:val="0"/>
        <w:rPr>
          <w:rFonts w:cs="Arial"/>
          <w:szCs w:val="20"/>
          <w:lang w:val="en-US"/>
        </w:rPr>
      </w:pPr>
      <w:r w:rsidRPr="004C2EC8">
        <w:rPr>
          <w:rFonts w:cs="Arial"/>
          <w:szCs w:val="20"/>
          <w:lang w:val="en-US"/>
        </w:rPr>
        <w:t>Abbreviations used in the accounts</w:t>
      </w:r>
    </w:p>
    <w:p w14:paraId="485A49F1" w14:textId="77777777" w:rsidR="008A14A3" w:rsidRPr="004C2EC8" w:rsidRDefault="008A14A3" w:rsidP="006D2EED">
      <w:pPr>
        <w:autoSpaceDE w:val="0"/>
        <w:autoSpaceDN w:val="0"/>
        <w:adjustRightInd w:val="0"/>
        <w:rPr>
          <w:rFonts w:cs="Arial"/>
          <w:szCs w:val="20"/>
          <w:lang w:val="en-US"/>
        </w:rPr>
      </w:pPr>
      <w:r w:rsidRPr="004C2EC8">
        <w:rPr>
          <w:rFonts w:cs="Arial"/>
          <w:szCs w:val="20"/>
          <w:lang w:val="en-US"/>
        </w:rPr>
        <w:t>BVACOP – Best Value Accounting Code of Practice</w:t>
      </w:r>
    </w:p>
    <w:p w14:paraId="485A49F2" w14:textId="77777777" w:rsidR="008A14A3" w:rsidRPr="004C2EC8" w:rsidRDefault="008A14A3" w:rsidP="006D2EED">
      <w:pPr>
        <w:autoSpaceDE w:val="0"/>
        <w:autoSpaceDN w:val="0"/>
        <w:adjustRightInd w:val="0"/>
        <w:rPr>
          <w:rFonts w:cs="Arial"/>
          <w:szCs w:val="20"/>
          <w:lang w:val="en-US"/>
        </w:rPr>
      </w:pPr>
      <w:r w:rsidRPr="004C2EC8">
        <w:rPr>
          <w:rFonts w:cs="Arial"/>
          <w:szCs w:val="20"/>
          <w:lang w:val="en-US"/>
        </w:rPr>
        <w:t>CIPFA - Chartered Institute of Public Finance and Accountancy</w:t>
      </w:r>
    </w:p>
    <w:p w14:paraId="485A49F3" w14:textId="77777777" w:rsidR="0099063B" w:rsidRPr="004C2EC8" w:rsidRDefault="0099063B" w:rsidP="006D2EED">
      <w:pPr>
        <w:autoSpaceDE w:val="0"/>
        <w:autoSpaceDN w:val="0"/>
        <w:adjustRightInd w:val="0"/>
        <w:rPr>
          <w:rFonts w:cs="Arial"/>
          <w:szCs w:val="20"/>
          <w:lang w:val="en-US"/>
        </w:rPr>
      </w:pPr>
      <w:r w:rsidRPr="004C2EC8">
        <w:rPr>
          <w:rFonts w:cs="Arial"/>
          <w:szCs w:val="20"/>
          <w:lang w:val="en-US"/>
        </w:rPr>
        <w:t>IFRS – International Financial Reporting Standards</w:t>
      </w:r>
    </w:p>
    <w:p w14:paraId="485A49F4" w14:textId="77777777" w:rsidR="008A14A3" w:rsidRPr="004C2EC8" w:rsidRDefault="008A14A3" w:rsidP="006D2EED">
      <w:pPr>
        <w:autoSpaceDE w:val="0"/>
        <w:autoSpaceDN w:val="0"/>
        <w:adjustRightInd w:val="0"/>
        <w:rPr>
          <w:rFonts w:cs="Arial"/>
          <w:szCs w:val="20"/>
          <w:lang w:val="en-US"/>
        </w:rPr>
      </w:pPr>
      <w:r w:rsidRPr="004C2EC8">
        <w:rPr>
          <w:rFonts w:cs="Arial"/>
          <w:szCs w:val="20"/>
          <w:lang w:val="en-US"/>
        </w:rPr>
        <w:t>FRS - Financial Reporting Standard</w:t>
      </w:r>
    </w:p>
    <w:p w14:paraId="485A49F5" w14:textId="77777777" w:rsidR="008A14A3" w:rsidRPr="004C2EC8" w:rsidRDefault="008A14A3" w:rsidP="006D2EED">
      <w:pPr>
        <w:autoSpaceDE w:val="0"/>
        <w:autoSpaceDN w:val="0"/>
        <w:adjustRightInd w:val="0"/>
        <w:rPr>
          <w:rFonts w:cs="Arial"/>
          <w:szCs w:val="20"/>
          <w:lang w:val="en-US"/>
        </w:rPr>
      </w:pPr>
      <w:r w:rsidRPr="004C2EC8">
        <w:rPr>
          <w:rFonts w:cs="Arial"/>
          <w:szCs w:val="20"/>
          <w:lang w:val="en-US"/>
        </w:rPr>
        <w:t>SSAP - Statement of Standard Accounting Practice</w:t>
      </w:r>
    </w:p>
    <w:p w14:paraId="485A49F6" w14:textId="77777777" w:rsidR="008A14A3" w:rsidRDefault="008A14A3" w:rsidP="006D2EED">
      <w:pPr>
        <w:autoSpaceDE w:val="0"/>
        <w:autoSpaceDN w:val="0"/>
        <w:adjustRightInd w:val="0"/>
        <w:rPr>
          <w:rFonts w:cs="Arial"/>
          <w:szCs w:val="20"/>
          <w:lang w:val="en-US"/>
        </w:rPr>
      </w:pPr>
      <w:r w:rsidRPr="004C2EC8">
        <w:rPr>
          <w:rFonts w:cs="Arial"/>
          <w:szCs w:val="20"/>
          <w:lang w:val="en-US"/>
        </w:rPr>
        <w:t>SORP - Statement of Recommended Practice</w:t>
      </w:r>
    </w:p>
    <w:p w14:paraId="485A49F7" w14:textId="77777777" w:rsidR="008A14A3" w:rsidRDefault="008A14A3" w:rsidP="006D2EED">
      <w:pPr>
        <w:pStyle w:val="Recommend"/>
        <w:tabs>
          <w:tab w:val="clear" w:pos="709"/>
          <w:tab w:val="left" w:pos="0"/>
          <w:tab w:val="left" w:pos="360"/>
          <w:tab w:val="left" w:pos="720"/>
          <w:tab w:val="left" w:pos="5580"/>
          <w:tab w:val="left" w:pos="6480"/>
        </w:tabs>
        <w:jc w:val="left"/>
        <w:rPr>
          <w:rFonts w:cs="Arial"/>
          <w:szCs w:val="24"/>
        </w:rPr>
      </w:pPr>
    </w:p>
    <w:p w14:paraId="485A49F8" w14:textId="77777777" w:rsidR="008A14A3" w:rsidRDefault="008A14A3" w:rsidP="00D34473">
      <w:pPr>
        <w:pStyle w:val="TOC1"/>
        <w:jc w:val="center"/>
      </w:pPr>
    </w:p>
    <w:sectPr w:rsidR="008A14A3" w:rsidSect="00F83FA1">
      <w:pgSz w:w="11906" w:h="16838" w:code="9"/>
      <w:pgMar w:top="1077" w:right="424" w:bottom="720" w:left="1440"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4A58" w14:textId="77777777" w:rsidR="004817B7" w:rsidRDefault="004817B7">
      <w:r>
        <w:separator/>
      </w:r>
    </w:p>
  </w:endnote>
  <w:endnote w:type="continuationSeparator" w:id="0">
    <w:p w14:paraId="485A4A59" w14:textId="77777777" w:rsidR="004817B7" w:rsidRDefault="0048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4A5A" w14:textId="77777777" w:rsidR="004817B7" w:rsidRDefault="004817B7">
    <w:pPr>
      <w:pStyle w:val="Footer"/>
      <w:jc w:val="center"/>
    </w:pPr>
  </w:p>
  <w:p w14:paraId="485A4A5B" w14:textId="77777777" w:rsidR="004817B7" w:rsidRDefault="00481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4A5E" w14:textId="77777777" w:rsidR="004817B7" w:rsidRDefault="004817B7">
    <w:pPr>
      <w:pStyle w:val="Footer"/>
      <w:jc w:val="center"/>
    </w:pPr>
    <w:r>
      <w:fldChar w:fldCharType="begin"/>
    </w:r>
    <w:r>
      <w:instrText xml:space="preserve"> PAGE   \* MERGEFORMAT </w:instrText>
    </w:r>
    <w:r>
      <w:fldChar w:fldCharType="separate"/>
    </w:r>
    <w:r w:rsidR="00E720A4">
      <w:rPr>
        <w:noProof/>
      </w:rPr>
      <w:t>18</w:t>
    </w:r>
    <w:r>
      <w:rPr>
        <w:noProof/>
      </w:rPr>
      <w:fldChar w:fldCharType="end"/>
    </w:r>
  </w:p>
  <w:p w14:paraId="485A4A5F" w14:textId="77777777" w:rsidR="004817B7" w:rsidRDefault="00481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4A63" w14:textId="77777777" w:rsidR="004817B7" w:rsidRDefault="004817B7">
    <w:pPr>
      <w:pStyle w:val="Footer"/>
      <w:jc w:val="center"/>
    </w:pPr>
    <w:r>
      <w:fldChar w:fldCharType="begin"/>
    </w:r>
    <w:r>
      <w:instrText xml:space="preserve"> PAGE   \* MERGEFORMAT </w:instrText>
    </w:r>
    <w:r>
      <w:fldChar w:fldCharType="separate"/>
    </w:r>
    <w:r w:rsidR="00E720A4">
      <w:rPr>
        <w:noProof/>
      </w:rPr>
      <w:t>21</w:t>
    </w:r>
    <w:r>
      <w:rPr>
        <w:noProof/>
      </w:rPr>
      <w:fldChar w:fldCharType="end"/>
    </w:r>
  </w:p>
  <w:p w14:paraId="485A4A64" w14:textId="77777777" w:rsidR="004817B7" w:rsidRDefault="00481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4A56" w14:textId="77777777" w:rsidR="004817B7" w:rsidRDefault="004817B7">
      <w:r>
        <w:separator/>
      </w:r>
    </w:p>
  </w:footnote>
  <w:footnote w:type="continuationSeparator" w:id="0">
    <w:p w14:paraId="485A4A57" w14:textId="77777777" w:rsidR="004817B7" w:rsidRDefault="00481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4A5C" w14:textId="77777777" w:rsidR="004817B7" w:rsidRDefault="00481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4A5D" w14:textId="77777777" w:rsidR="004817B7" w:rsidRDefault="00481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4A60" w14:textId="77777777" w:rsidR="004817B7" w:rsidRDefault="004817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4A61" w14:textId="77777777" w:rsidR="004817B7" w:rsidRDefault="004817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4A62" w14:textId="77777777" w:rsidR="004817B7" w:rsidRDefault="004817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4A65" w14:textId="77777777" w:rsidR="004817B7" w:rsidRDefault="00481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05"/>
    <w:multiLevelType w:val="hybridMultilevel"/>
    <w:tmpl w:val="DE9C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1174"/>
    <w:multiLevelType w:val="hybridMultilevel"/>
    <w:tmpl w:val="6C8466CA"/>
    <w:lvl w:ilvl="0" w:tplc="0809000F">
      <w:start w:val="1"/>
      <w:numFmt w:val="decimal"/>
      <w:lvlText w:val="%1."/>
      <w:lvlJc w:val="left"/>
      <w:pPr>
        <w:ind w:left="1069" w:hanging="360"/>
      </w:pPr>
      <w:rPr>
        <w:rFonts w:hint="default"/>
        <w:color w:val="auto"/>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740B7"/>
    <w:multiLevelType w:val="multilevel"/>
    <w:tmpl w:val="F976C3AE"/>
    <w:lvl w:ilvl="0">
      <w:start w:val="1"/>
      <w:numFmt w:val="bullet"/>
      <w:pStyle w:val="ListBullet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56067"/>
    <w:multiLevelType w:val="hybridMultilevel"/>
    <w:tmpl w:val="4E740AB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15:restartNumberingAfterBreak="0">
    <w:nsid w:val="0D715956"/>
    <w:multiLevelType w:val="multilevel"/>
    <w:tmpl w:val="53264444"/>
    <w:lvl w:ilvl="0">
      <w:start w:val="1"/>
      <w:numFmt w:val="decimal"/>
      <w:lvlText w:val="%1."/>
      <w:lvlJc w:val="left"/>
      <w:pPr>
        <w:ind w:left="643" w:hanging="360"/>
      </w:pPr>
      <w:rPr>
        <w:rFonts w:hint="default"/>
        <w:b/>
        <w:sz w:val="24"/>
        <w:szCs w:val="24"/>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0511DF2"/>
    <w:multiLevelType w:val="hybridMultilevel"/>
    <w:tmpl w:val="1B52735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15:restartNumberingAfterBreak="0">
    <w:nsid w:val="14984C18"/>
    <w:multiLevelType w:val="hybridMultilevel"/>
    <w:tmpl w:val="15888694"/>
    <w:lvl w:ilvl="0" w:tplc="2090A358">
      <w:start w:val="1"/>
      <w:numFmt w:val="bullet"/>
      <w:lvlText w:val=""/>
      <w:lvlJc w:val="left"/>
      <w:pPr>
        <w:tabs>
          <w:tab w:val="num" w:pos="360"/>
        </w:tabs>
        <w:ind w:left="340"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62954"/>
    <w:multiLevelType w:val="hybridMultilevel"/>
    <w:tmpl w:val="1466F3FC"/>
    <w:lvl w:ilvl="0" w:tplc="2090A358">
      <w:start w:val="1"/>
      <w:numFmt w:val="bullet"/>
      <w:lvlText w:val=""/>
      <w:lvlJc w:val="left"/>
      <w:pPr>
        <w:tabs>
          <w:tab w:val="num" w:pos="360"/>
        </w:tabs>
        <w:ind w:left="340"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8750D"/>
    <w:multiLevelType w:val="hybridMultilevel"/>
    <w:tmpl w:val="824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521C2"/>
    <w:multiLevelType w:val="hybridMultilevel"/>
    <w:tmpl w:val="1BF84B86"/>
    <w:lvl w:ilvl="0" w:tplc="C9008B94">
      <w:start w:val="1"/>
      <w:numFmt w:val="decimal"/>
      <w:pStyle w:val="Elementheading"/>
      <w:lvlText w:val="%1."/>
      <w:lvlJc w:val="left"/>
      <w:pPr>
        <w:tabs>
          <w:tab w:val="num" w:pos="360"/>
        </w:tabs>
        <w:ind w:left="360" w:hanging="360"/>
      </w:pPr>
      <w:rPr>
        <w:rFonts w:cs="Times New Roman"/>
      </w:rPr>
    </w:lvl>
    <w:lvl w:ilvl="1" w:tplc="9F54DB4C">
      <w:start w:val="1"/>
      <w:numFmt w:val="bullet"/>
      <w:lvlText w:val="–"/>
      <w:lvlJc w:val="left"/>
      <w:pPr>
        <w:tabs>
          <w:tab w:val="num" w:pos="1080"/>
        </w:tabs>
        <w:ind w:left="1080" w:hanging="360"/>
      </w:pPr>
      <w:rPr>
        <w:rFonts w:ascii="Arial" w:hAnsi="Aria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76F40D9"/>
    <w:multiLevelType w:val="hybridMultilevel"/>
    <w:tmpl w:val="F96A1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11013D"/>
    <w:multiLevelType w:val="hybridMultilevel"/>
    <w:tmpl w:val="FCD8716C"/>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CA05286"/>
    <w:multiLevelType w:val="hybridMultilevel"/>
    <w:tmpl w:val="95C05D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FD55480"/>
    <w:multiLevelType w:val="multilevel"/>
    <w:tmpl w:val="D6EC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510A21"/>
    <w:multiLevelType w:val="hybridMultilevel"/>
    <w:tmpl w:val="8524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C29C1"/>
    <w:multiLevelType w:val="hybridMultilevel"/>
    <w:tmpl w:val="18109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500F73"/>
    <w:multiLevelType w:val="hybridMultilevel"/>
    <w:tmpl w:val="BAA6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606BE2"/>
    <w:multiLevelType w:val="hybridMultilevel"/>
    <w:tmpl w:val="EDAA12D4"/>
    <w:lvl w:ilvl="0" w:tplc="5D2E082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7A051B"/>
    <w:multiLevelType w:val="hybridMultilevel"/>
    <w:tmpl w:val="0794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CF40F2"/>
    <w:multiLevelType w:val="multilevel"/>
    <w:tmpl w:val="6B4A89F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94F067C"/>
    <w:multiLevelType w:val="hybridMultilevel"/>
    <w:tmpl w:val="D8A6E94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2A9B3F60"/>
    <w:multiLevelType w:val="hybridMultilevel"/>
    <w:tmpl w:val="300A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766B6D"/>
    <w:multiLevelType w:val="multilevel"/>
    <w:tmpl w:val="FA8E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8172FF"/>
    <w:multiLevelType w:val="multilevel"/>
    <w:tmpl w:val="DDFE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914D38"/>
    <w:multiLevelType w:val="hybridMultilevel"/>
    <w:tmpl w:val="1074B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1077A1"/>
    <w:multiLevelType w:val="hybridMultilevel"/>
    <w:tmpl w:val="7D5A6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A23523"/>
    <w:multiLevelType w:val="multilevel"/>
    <w:tmpl w:val="3FC27C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31038BF"/>
    <w:multiLevelType w:val="hybridMultilevel"/>
    <w:tmpl w:val="8C6A45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55B0F9A"/>
    <w:multiLevelType w:val="hybridMultilevel"/>
    <w:tmpl w:val="E36C638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732" w:hanging="360"/>
      </w:pPr>
    </w:lvl>
    <w:lvl w:ilvl="2" w:tplc="0809001B" w:tentative="1">
      <w:start w:val="1"/>
      <w:numFmt w:val="lowerRoman"/>
      <w:lvlText w:val="%3."/>
      <w:lvlJc w:val="right"/>
      <w:pPr>
        <w:ind w:left="1452" w:hanging="180"/>
      </w:pPr>
    </w:lvl>
    <w:lvl w:ilvl="3" w:tplc="0809000F" w:tentative="1">
      <w:start w:val="1"/>
      <w:numFmt w:val="decimal"/>
      <w:lvlText w:val="%4."/>
      <w:lvlJc w:val="left"/>
      <w:pPr>
        <w:ind w:left="2172" w:hanging="360"/>
      </w:pPr>
    </w:lvl>
    <w:lvl w:ilvl="4" w:tplc="08090019" w:tentative="1">
      <w:start w:val="1"/>
      <w:numFmt w:val="lowerLetter"/>
      <w:lvlText w:val="%5."/>
      <w:lvlJc w:val="left"/>
      <w:pPr>
        <w:ind w:left="2892" w:hanging="360"/>
      </w:pPr>
    </w:lvl>
    <w:lvl w:ilvl="5" w:tplc="0809001B" w:tentative="1">
      <w:start w:val="1"/>
      <w:numFmt w:val="lowerRoman"/>
      <w:lvlText w:val="%6."/>
      <w:lvlJc w:val="right"/>
      <w:pPr>
        <w:ind w:left="3612" w:hanging="180"/>
      </w:pPr>
    </w:lvl>
    <w:lvl w:ilvl="6" w:tplc="0809000F" w:tentative="1">
      <w:start w:val="1"/>
      <w:numFmt w:val="decimal"/>
      <w:lvlText w:val="%7."/>
      <w:lvlJc w:val="left"/>
      <w:pPr>
        <w:ind w:left="4332" w:hanging="360"/>
      </w:pPr>
    </w:lvl>
    <w:lvl w:ilvl="7" w:tplc="08090019" w:tentative="1">
      <w:start w:val="1"/>
      <w:numFmt w:val="lowerLetter"/>
      <w:lvlText w:val="%8."/>
      <w:lvlJc w:val="left"/>
      <w:pPr>
        <w:ind w:left="5052" w:hanging="360"/>
      </w:pPr>
    </w:lvl>
    <w:lvl w:ilvl="8" w:tplc="0809001B" w:tentative="1">
      <w:start w:val="1"/>
      <w:numFmt w:val="lowerRoman"/>
      <w:lvlText w:val="%9."/>
      <w:lvlJc w:val="right"/>
      <w:pPr>
        <w:ind w:left="5772" w:hanging="180"/>
      </w:pPr>
    </w:lvl>
  </w:abstractNum>
  <w:abstractNum w:abstractNumId="29" w15:restartNumberingAfterBreak="0">
    <w:nsid w:val="35DC6B88"/>
    <w:multiLevelType w:val="hybridMultilevel"/>
    <w:tmpl w:val="2230DC26"/>
    <w:lvl w:ilvl="0" w:tplc="2090A358">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0" w15:restartNumberingAfterBreak="0">
    <w:nsid w:val="38F30DB6"/>
    <w:multiLevelType w:val="hybridMultilevel"/>
    <w:tmpl w:val="47F04FE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BA44B57"/>
    <w:multiLevelType w:val="multilevel"/>
    <w:tmpl w:val="325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C512AF9"/>
    <w:multiLevelType w:val="hybridMultilevel"/>
    <w:tmpl w:val="BA2499F2"/>
    <w:lvl w:ilvl="0" w:tplc="2090A35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1F18EB"/>
    <w:multiLevelType w:val="multilevel"/>
    <w:tmpl w:val="83A6D586"/>
    <w:lvl w:ilvl="0">
      <w:start w:val="1"/>
      <w:numFmt w:val="decimal"/>
      <w:lvlText w:val="%1."/>
      <w:lvlJc w:val="left"/>
      <w:pPr>
        <w:ind w:left="720" w:hanging="360"/>
      </w:pPr>
    </w:lvl>
    <w:lvl w:ilvl="1">
      <w:start w:val="14"/>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4" w15:restartNumberingAfterBreak="0">
    <w:nsid w:val="44727F53"/>
    <w:multiLevelType w:val="hybridMultilevel"/>
    <w:tmpl w:val="B03C92BC"/>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4A24F3B"/>
    <w:multiLevelType w:val="hybridMultilevel"/>
    <w:tmpl w:val="CBC28D86"/>
    <w:lvl w:ilvl="0" w:tplc="FFFFFFFF">
      <w:start w:val="1"/>
      <w:numFmt w:val="bullet"/>
      <w:pStyle w:val="Bullet1"/>
      <w:lvlText w:val=""/>
      <w:lvlJc w:val="left"/>
      <w:pPr>
        <w:tabs>
          <w:tab w:val="num" w:pos="757"/>
        </w:tabs>
        <w:ind w:left="75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EF14C5"/>
    <w:multiLevelType w:val="hybridMultilevel"/>
    <w:tmpl w:val="71FC2C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0E93DD0"/>
    <w:multiLevelType w:val="hybridMultilevel"/>
    <w:tmpl w:val="D4B00B5E"/>
    <w:lvl w:ilvl="0" w:tplc="FFFFFFFF">
      <w:start w:val="1"/>
      <w:numFmt w:val="bullet"/>
      <w:lvlText w:val=""/>
      <w:lvlJc w:val="left"/>
      <w:pPr>
        <w:ind w:left="1287" w:hanging="360"/>
      </w:pPr>
      <w:rPr>
        <w:rFonts w:ascii="Symbol" w:hAnsi="Symbol" w:hint="default"/>
      </w:rPr>
    </w:lvl>
    <w:lvl w:ilvl="1" w:tplc="B8587BFC">
      <w:start w:val="1"/>
      <w:numFmt w:val="bullet"/>
      <w:lvlText w:val="−"/>
      <w:lvlJc w:val="left"/>
      <w:pPr>
        <w:ind w:left="2007" w:hanging="360"/>
      </w:pPr>
      <w:rPr>
        <w:rFonts w:ascii="Arial" w:hAnsi="Arial" w:hint="default"/>
        <w:color w:val="auto"/>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8" w15:restartNumberingAfterBreak="0">
    <w:nsid w:val="533B4E43"/>
    <w:multiLevelType w:val="hybridMultilevel"/>
    <w:tmpl w:val="EB388BB4"/>
    <w:lvl w:ilvl="0" w:tplc="553C6026">
      <w:start w:val="8"/>
      <w:numFmt w:val="decimal"/>
      <w:lvlText w:val="%1."/>
      <w:lvlJc w:val="left"/>
      <w:pPr>
        <w:ind w:left="720" w:hanging="360"/>
      </w:pPr>
      <w:rPr>
        <w:rFonts w:ascii="Arial" w:eastAsia="Times New Roman" w:hAnsi="Aria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591581"/>
    <w:multiLevelType w:val="hybridMultilevel"/>
    <w:tmpl w:val="F3BAB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8F16413"/>
    <w:multiLevelType w:val="hybridMultilevel"/>
    <w:tmpl w:val="03320F8C"/>
    <w:lvl w:ilvl="0" w:tplc="08090001">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5DDB5E6E"/>
    <w:multiLevelType w:val="multilevel"/>
    <w:tmpl w:val="FAE6F968"/>
    <w:numStyleLink w:val="GTListBullet"/>
  </w:abstractNum>
  <w:abstractNum w:abstractNumId="42" w15:restartNumberingAfterBreak="0">
    <w:nsid w:val="5F0D389B"/>
    <w:multiLevelType w:val="hybridMultilevel"/>
    <w:tmpl w:val="79F6613E"/>
    <w:lvl w:ilvl="0" w:tplc="2D92809C">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1BC3D3D"/>
    <w:multiLevelType w:val="multilevel"/>
    <w:tmpl w:val="FAE6F968"/>
    <w:styleLink w:val="GTListBullet"/>
    <w:lvl w:ilvl="0">
      <w:start w:val="1"/>
      <w:numFmt w:val="bullet"/>
      <w:pStyle w:val="ListBullet1"/>
      <w:lvlText w:val=""/>
      <w:lvlJc w:val="left"/>
      <w:pPr>
        <w:tabs>
          <w:tab w:val="num" w:pos="284"/>
        </w:tabs>
        <w:ind w:left="284" w:hanging="284"/>
      </w:pPr>
      <w:rPr>
        <w:rFonts w:ascii="Symbol" w:hAnsi="Symbol" w:hint="default"/>
        <w:color w:val="auto"/>
      </w:rPr>
    </w:lvl>
    <w:lvl w:ilvl="1">
      <w:start w:val="1"/>
      <w:numFmt w:val="bullet"/>
      <w:pStyle w:val="ListBullet21"/>
      <w:lvlText w:val=""/>
      <w:lvlJc w:val="left"/>
      <w:pPr>
        <w:tabs>
          <w:tab w:val="num" w:pos="567"/>
        </w:tabs>
        <w:ind w:left="567" w:hanging="283"/>
      </w:pPr>
      <w:rPr>
        <w:rFonts w:ascii="Symbol" w:hAnsi="Symbol" w:hint="default"/>
      </w:rPr>
    </w:lvl>
    <w:lvl w:ilvl="2">
      <w:start w:val="1"/>
      <w:numFmt w:val="bullet"/>
      <w:lvlRestart w:val="0"/>
      <w:pStyle w:val="ListBullet31"/>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44" w15:restartNumberingAfterBreak="0">
    <w:nsid w:val="62412DE1"/>
    <w:multiLevelType w:val="multilevel"/>
    <w:tmpl w:val="91CCE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68E2BB4"/>
    <w:multiLevelType w:val="hybridMultilevel"/>
    <w:tmpl w:val="970AF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D2C01F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6E434227"/>
    <w:multiLevelType w:val="hybridMultilevel"/>
    <w:tmpl w:val="7AEE86DA"/>
    <w:lvl w:ilvl="0" w:tplc="0809000F">
      <w:start w:val="10"/>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0C62C14"/>
    <w:multiLevelType w:val="multilevel"/>
    <w:tmpl w:val="62FA68FE"/>
    <w:lvl w:ilvl="0">
      <w:start w:val="1"/>
      <w:numFmt w:val="lowerRoman"/>
      <w:lvlText w:val="%1."/>
      <w:lvlJc w:val="right"/>
      <w:pPr>
        <w:tabs>
          <w:tab w:val="num" w:pos="720"/>
        </w:tabs>
        <w:ind w:left="720" w:hanging="360"/>
      </w:pPr>
    </w:lvl>
    <w:lvl w:ilvl="1">
      <w:start w:val="1"/>
      <w:numFmt w:val="decimal"/>
      <w:lvlText w:val="%2."/>
      <w:lvlJc w:val="left"/>
      <w:pPr>
        <w:ind w:left="1440" w:hanging="360"/>
      </w:pPr>
      <w:rPr>
        <w:rFonts w:hint="default"/>
        <w:b/>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716E681F"/>
    <w:multiLevelType w:val="hybridMultilevel"/>
    <w:tmpl w:val="78A496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71E104AC"/>
    <w:multiLevelType w:val="multilevel"/>
    <w:tmpl w:val="C2B6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AF55BB7"/>
    <w:multiLevelType w:val="multilevel"/>
    <w:tmpl w:val="7F0EA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CCC0285"/>
    <w:multiLevelType w:val="hybridMultilevel"/>
    <w:tmpl w:val="901E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3767724">
    <w:abstractNumId w:val="7"/>
  </w:num>
  <w:num w:numId="2" w16cid:durableId="1953197990">
    <w:abstractNumId w:val="32"/>
  </w:num>
  <w:num w:numId="3" w16cid:durableId="43915174">
    <w:abstractNumId w:val="35"/>
  </w:num>
  <w:num w:numId="4" w16cid:durableId="567502393">
    <w:abstractNumId w:val="46"/>
  </w:num>
  <w:num w:numId="5" w16cid:durableId="1859001469">
    <w:abstractNumId w:val="9"/>
  </w:num>
  <w:num w:numId="6" w16cid:durableId="795104819">
    <w:abstractNumId w:val="6"/>
  </w:num>
  <w:num w:numId="7" w16cid:durableId="1382287908">
    <w:abstractNumId w:val="30"/>
  </w:num>
  <w:num w:numId="8" w16cid:durableId="1907446830">
    <w:abstractNumId w:val="12"/>
  </w:num>
  <w:num w:numId="9" w16cid:durableId="889805631">
    <w:abstractNumId w:val="34"/>
  </w:num>
  <w:num w:numId="10" w16cid:durableId="334497874">
    <w:abstractNumId w:val="42"/>
  </w:num>
  <w:num w:numId="11" w16cid:durableId="235751129">
    <w:abstractNumId w:val="45"/>
  </w:num>
  <w:num w:numId="12" w16cid:durableId="2096248190">
    <w:abstractNumId w:val="39"/>
  </w:num>
  <w:num w:numId="13" w16cid:durableId="1323392464">
    <w:abstractNumId w:val="28"/>
  </w:num>
  <w:num w:numId="14" w16cid:durableId="1687749943">
    <w:abstractNumId w:val="11"/>
  </w:num>
  <w:num w:numId="15" w16cid:durableId="965819470">
    <w:abstractNumId w:val="10"/>
  </w:num>
  <w:num w:numId="16" w16cid:durableId="458305809">
    <w:abstractNumId w:val="27"/>
  </w:num>
  <w:num w:numId="17" w16cid:durableId="6098632">
    <w:abstractNumId w:val="24"/>
  </w:num>
  <w:num w:numId="18" w16cid:durableId="512650417">
    <w:abstractNumId w:val="38"/>
  </w:num>
  <w:num w:numId="19" w16cid:durableId="752628257">
    <w:abstractNumId w:val="29"/>
  </w:num>
  <w:num w:numId="20" w16cid:durableId="148135791">
    <w:abstractNumId w:val="4"/>
  </w:num>
  <w:num w:numId="21" w16cid:durableId="2010717542">
    <w:abstractNumId w:val="47"/>
  </w:num>
  <w:num w:numId="22" w16cid:durableId="130900200">
    <w:abstractNumId w:val="52"/>
  </w:num>
  <w:num w:numId="23" w16cid:durableId="950283828">
    <w:abstractNumId w:val="8"/>
  </w:num>
  <w:num w:numId="24" w16cid:durableId="565529092">
    <w:abstractNumId w:val="0"/>
  </w:num>
  <w:num w:numId="25" w16cid:durableId="2059932422">
    <w:abstractNumId w:val="36"/>
  </w:num>
  <w:num w:numId="26" w16cid:durableId="1008291536">
    <w:abstractNumId w:val="1"/>
  </w:num>
  <w:num w:numId="27" w16cid:durableId="1208838763">
    <w:abstractNumId w:val="20"/>
  </w:num>
  <w:num w:numId="28" w16cid:durableId="1970502799">
    <w:abstractNumId w:val="37"/>
  </w:num>
  <w:num w:numId="29" w16cid:durableId="855314222">
    <w:abstractNumId w:val="40"/>
  </w:num>
  <w:num w:numId="30" w16cid:durableId="328993029">
    <w:abstractNumId w:val="5"/>
  </w:num>
  <w:num w:numId="31" w16cid:durableId="970860262">
    <w:abstractNumId w:val="3"/>
  </w:num>
  <w:num w:numId="32" w16cid:durableId="1985038142">
    <w:abstractNumId w:val="14"/>
  </w:num>
  <w:num w:numId="33" w16cid:durableId="323825839">
    <w:abstractNumId w:val="43"/>
  </w:num>
  <w:num w:numId="34" w16cid:durableId="58791202">
    <w:abstractNumId w:val="41"/>
  </w:num>
  <w:num w:numId="35" w16cid:durableId="1681812893">
    <w:abstractNumId w:val="2"/>
  </w:num>
  <w:num w:numId="36" w16cid:durableId="2046519797">
    <w:abstractNumId w:val="16"/>
  </w:num>
  <w:num w:numId="37" w16cid:durableId="480343207">
    <w:abstractNumId w:val="18"/>
  </w:num>
  <w:num w:numId="38" w16cid:durableId="1881210978">
    <w:abstractNumId w:val="21"/>
  </w:num>
  <w:num w:numId="39" w16cid:durableId="195892876">
    <w:abstractNumId w:val="25"/>
  </w:num>
  <w:num w:numId="40" w16cid:durableId="85663378">
    <w:abstractNumId w:val="31"/>
  </w:num>
  <w:num w:numId="41" w16cid:durableId="2000571788">
    <w:abstractNumId w:val="22"/>
  </w:num>
  <w:num w:numId="42" w16cid:durableId="1263537225">
    <w:abstractNumId w:val="23"/>
  </w:num>
  <w:num w:numId="43" w16cid:durableId="1837307827">
    <w:abstractNumId w:val="48"/>
  </w:num>
  <w:num w:numId="44" w16cid:durableId="1967276282">
    <w:abstractNumId w:val="19"/>
  </w:num>
  <w:num w:numId="45" w16cid:durableId="2135249255">
    <w:abstractNumId w:val="13"/>
  </w:num>
  <w:num w:numId="46" w16cid:durableId="746878135">
    <w:abstractNumId w:val="26"/>
  </w:num>
  <w:num w:numId="47" w16cid:durableId="1450851617">
    <w:abstractNumId w:val="50"/>
  </w:num>
  <w:num w:numId="48" w16cid:durableId="131018563">
    <w:abstractNumId w:val="33"/>
  </w:num>
  <w:num w:numId="49" w16cid:durableId="1216547979">
    <w:abstractNumId w:val="17"/>
  </w:num>
  <w:num w:numId="50" w16cid:durableId="930434656">
    <w:abstractNumId w:val="49"/>
  </w:num>
  <w:num w:numId="51" w16cid:durableId="967197380">
    <w:abstractNumId w:val="15"/>
  </w:num>
  <w:num w:numId="52" w16cid:durableId="532960773">
    <w:abstractNumId w:val="44"/>
  </w:num>
  <w:num w:numId="53" w16cid:durableId="1206721640">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6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F1"/>
    <w:rsid w:val="0000035E"/>
    <w:rsid w:val="00000535"/>
    <w:rsid w:val="0000079C"/>
    <w:rsid w:val="00000AF1"/>
    <w:rsid w:val="00000B1C"/>
    <w:rsid w:val="0000208D"/>
    <w:rsid w:val="00002554"/>
    <w:rsid w:val="00003452"/>
    <w:rsid w:val="00004A8C"/>
    <w:rsid w:val="0000534B"/>
    <w:rsid w:val="0000598D"/>
    <w:rsid w:val="000062BC"/>
    <w:rsid w:val="00006BF4"/>
    <w:rsid w:val="00010399"/>
    <w:rsid w:val="0001082C"/>
    <w:rsid w:val="00010A4D"/>
    <w:rsid w:val="00010B3A"/>
    <w:rsid w:val="00010DB3"/>
    <w:rsid w:val="00010F82"/>
    <w:rsid w:val="00011214"/>
    <w:rsid w:val="0001142E"/>
    <w:rsid w:val="000119E5"/>
    <w:rsid w:val="0001277B"/>
    <w:rsid w:val="00012E50"/>
    <w:rsid w:val="00013D93"/>
    <w:rsid w:val="000141F4"/>
    <w:rsid w:val="00014533"/>
    <w:rsid w:val="00014729"/>
    <w:rsid w:val="000149E8"/>
    <w:rsid w:val="00014B0A"/>
    <w:rsid w:val="00014BF2"/>
    <w:rsid w:val="00014DFF"/>
    <w:rsid w:val="000151F7"/>
    <w:rsid w:val="0001553E"/>
    <w:rsid w:val="00015DA5"/>
    <w:rsid w:val="00016EE4"/>
    <w:rsid w:val="00017836"/>
    <w:rsid w:val="00017FA1"/>
    <w:rsid w:val="000200E1"/>
    <w:rsid w:val="00020610"/>
    <w:rsid w:val="0002073D"/>
    <w:rsid w:val="0002075B"/>
    <w:rsid w:val="000208FD"/>
    <w:rsid w:val="00020944"/>
    <w:rsid w:val="00020D50"/>
    <w:rsid w:val="00020EA2"/>
    <w:rsid w:val="000210A6"/>
    <w:rsid w:val="00021D11"/>
    <w:rsid w:val="000220A8"/>
    <w:rsid w:val="00022585"/>
    <w:rsid w:val="000234A2"/>
    <w:rsid w:val="00023619"/>
    <w:rsid w:val="00023C49"/>
    <w:rsid w:val="000246D6"/>
    <w:rsid w:val="0002472D"/>
    <w:rsid w:val="0002536D"/>
    <w:rsid w:val="00025ACA"/>
    <w:rsid w:val="00025B19"/>
    <w:rsid w:val="000277B8"/>
    <w:rsid w:val="000277C0"/>
    <w:rsid w:val="000278BD"/>
    <w:rsid w:val="000303B9"/>
    <w:rsid w:val="000305D7"/>
    <w:rsid w:val="00030688"/>
    <w:rsid w:val="0003080F"/>
    <w:rsid w:val="000321CE"/>
    <w:rsid w:val="00032305"/>
    <w:rsid w:val="00032A6E"/>
    <w:rsid w:val="00032AFC"/>
    <w:rsid w:val="00033C43"/>
    <w:rsid w:val="000342BD"/>
    <w:rsid w:val="00034ADD"/>
    <w:rsid w:val="00035273"/>
    <w:rsid w:val="00035C0D"/>
    <w:rsid w:val="00036BE6"/>
    <w:rsid w:val="000373A8"/>
    <w:rsid w:val="0004014F"/>
    <w:rsid w:val="0004017C"/>
    <w:rsid w:val="0004040A"/>
    <w:rsid w:val="00040582"/>
    <w:rsid w:val="00040C1A"/>
    <w:rsid w:val="00040D12"/>
    <w:rsid w:val="00041398"/>
    <w:rsid w:val="000415B3"/>
    <w:rsid w:val="00041E27"/>
    <w:rsid w:val="000420BA"/>
    <w:rsid w:val="0004250A"/>
    <w:rsid w:val="00042580"/>
    <w:rsid w:val="00042878"/>
    <w:rsid w:val="00042A36"/>
    <w:rsid w:val="0004312A"/>
    <w:rsid w:val="0004325B"/>
    <w:rsid w:val="0004328D"/>
    <w:rsid w:val="00043895"/>
    <w:rsid w:val="00043ADB"/>
    <w:rsid w:val="00043B32"/>
    <w:rsid w:val="00043E90"/>
    <w:rsid w:val="00043EDE"/>
    <w:rsid w:val="00044EA7"/>
    <w:rsid w:val="00045A40"/>
    <w:rsid w:val="00045C2F"/>
    <w:rsid w:val="00046668"/>
    <w:rsid w:val="00046952"/>
    <w:rsid w:val="0004695B"/>
    <w:rsid w:val="00047AE1"/>
    <w:rsid w:val="00047D50"/>
    <w:rsid w:val="00050542"/>
    <w:rsid w:val="000506CF"/>
    <w:rsid w:val="000507B2"/>
    <w:rsid w:val="00050ABD"/>
    <w:rsid w:val="00050BB5"/>
    <w:rsid w:val="00051660"/>
    <w:rsid w:val="00051A6B"/>
    <w:rsid w:val="000523F6"/>
    <w:rsid w:val="000530AB"/>
    <w:rsid w:val="000530DC"/>
    <w:rsid w:val="000530E3"/>
    <w:rsid w:val="00053AD3"/>
    <w:rsid w:val="00053C59"/>
    <w:rsid w:val="000542B5"/>
    <w:rsid w:val="00054C37"/>
    <w:rsid w:val="0005501F"/>
    <w:rsid w:val="00055BE8"/>
    <w:rsid w:val="000560AF"/>
    <w:rsid w:val="00056AD5"/>
    <w:rsid w:val="00056B5C"/>
    <w:rsid w:val="00057A7A"/>
    <w:rsid w:val="00057C88"/>
    <w:rsid w:val="000601A1"/>
    <w:rsid w:val="00060AD7"/>
    <w:rsid w:val="00061E49"/>
    <w:rsid w:val="000645C5"/>
    <w:rsid w:val="00064E09"/>
    <w:rsid w:val="00064E7C"/>
    <w:rsid w:val="0006512B"/>
    <w:rsid w:val="000658DA"/>
    <w:rsid w:val="00065F75"/>
    <w:rsid w:val="00066E64"/>
    <w:rsid w:val="00067C46"/>
    <w:rsid w:val="00070FA5"/>
    <w:rsid w:val="00071346"/>
    <w:rsid w:val="000725E4"/>
    <w:rsid w:val="00072F46"/>
    <w:rsid w:val="0007357E"/>
    <w:rsid w:val="0007358E"/>
    <w:rsid w:val="0007399B"/>
    <w:rsid w:val="000740CD"/>
    <w:rsid w:val="00074619"/>
    <w:rsid w:val="00074DD3"/>
    <w:rsid w:val="000750F6"/>
    <w:rsid w:val="000751B3"/>
    <w:rsid w:val="000758E1"/>
    <w:rsid w:val="00076E0D"/>
    <w:rsid w:val="00076F8B"/>
    <w:rsid w:val="00077254"/>
    <w:rsid w:val="00077604"/>
    <w:rsid w:val="00077B29"/>
    <w:rsid w:val="00077B7C"/>
    <w:rsid w:val="00077F7E"/>
    <w:rsid w:val="00080A95"/>
    <w:rsid w:val="00080B95"/>
    <w:rsid w:val="00080DE9"/>
    <w:rsid w:val="00081534"/>
    <w:rsid w:val="0008183B"/>
    <w:rsid w:val="00081AF5"/>
    <w:rsid w:val="000820C9"/>
    <w:rsid w:val="000829DA"/>
    <w:rsid w:val="00082B3E"/>
    <w:rsid w:val="00082D49"/>
    <w:rsid w:val="00083166"/>
    <w:rsid w:val="00083411"/>
    <w:rsid w:val="00083E9E"/>
    <w:rsid w:val="000841F5"/>
    <w:rsid w:val="00084229"/>
    <w:rsid w:val="0008485D"/>
    <w:rsid w:val="00084963"/>
    <w:rsid w:val="00084AA3"/>
    <w:rsid w:val="00084E94"/>
    <w:rsid w:val="00085F6F"/>
    <w:rsid w:val="0008635A"/>
    <w:rsid w:val="00086600"/>
    <w:rsid w:val="00086922"/>
    <w:rsid w:val="00086E11"/>
    <w:rsid w:val="00086E9E"/>
    <w:rsid w:val="00086FEC"/>
    <w:rsid w:val="00087A4E"/>
    <w:rsid w:val="00087E9A"/>
    <w:rsid w:val="00090324"/>
    <w:rsid w:val="00091246"/>
    <w:rsid w:val="000914B1"/>
    <w:rsid w:val="000938DF"/>
    <w:rsid w:val="0009391C"/>
    <w:rsid w:val="00093C56"/>
    <w:rsid w:val="00094083"/>
    <w:rsid w:val="00094C18"/>
    <w:rsid w:val="00095035"/>
    <w:rsid w:val="00095225"/>
    <w:rsid w:val="000952BA"/>
    <w:rsid w:val="0009546C"/>
    <w:rsid w:val="000958A9"/>
    <w:rsid w:val="000958F7"/>
    <w:rsid w:val="00095979"/>
    <w:rsid w:val="00096389"/>
    <w:rsid w:val="00096DD4"/>
    <w:rsid w:val="0009763B"/>
    <w:rsid w:val="00097729"/>
    <w:rsid w:val="0009784A"/>
    <w:rsid w:val="000A0033"/>
    <w:rsid w:val="000A0185"/>
    <w:rsid w:val="000A0197"/>
    <w:rsid w:val="000A044C"/>
    <w:rsid w:val="000A1D0B"/>
    <w:rsid w:val="000A1EAB"/>
    <w:rsid w:val="000A1EDA"/>
    <w:rsid w:val="000A2576"/>
    <w:rsid w:val="000A26DF"/>
    <w:rsid w:val="000A29E7"/>
    <w:rsid w:val="000A2EA7"/>
    <w:rsid w:val="000A3566"/>
    <w:rsid w:val="000A3A32"/>
    <w:rsid w:val="000A4D65"/>
    <w:rsid w:val="000A5E97"/>
    <w:rsid w:val="000A5F56"/>
    <w:rsid w:val="000A6088"/>
    <w:rsid w:val="000A66CF"/>
    <w:rsid w:val="000A66E6"/>
    <w:rsid w:val="000A6F73"/>
    <w:rsid w:val="000A7028"/>
    <w:rsid w:val="000A780B"/>
    <w:rsid w:val="000A7811"/>
    <w:rsid w:val="000A7D9B"/>
    <w:rsid w:val="000A7DF6"/>
    <w:rsid w:val="000B0551"/>
    <w:rsid w:val="000B094E"/>
    <w:rsid w:val="000B0BA5"/>
    <w:rsid w:val="000B107E"/>
    <w:rsid w:val="000B198C"/>
    <w:rsid w:val="000B1B90"/>
    <w:rsid w:val="000B1C5E"/>
    <w:rsid w:val="000B26CE"/>
    <w:rsid w:val="000B27B7"/>
    <w:rsid w:val="000B27FE"/>
    <w:rsid w:val="000B2975"/>
    <w:rsid w:val="000B2F77"/>
    <w:rsid w:val="000B3103"/>
    <w:rsid w:val="000B3AFD"/>
    <w:rsid w:val="000B3DFA"/>
    <w:rsid w:val="000B4030"/>
    <w:rsid w:val="000B43DC"/>
    <w:rsid w:val="000B458B"/>
    <w:rsid w:val="000B4B6B"/>
    <w:rsid w:val="000B4CC2"/>
    <w:rsid w:val="000B50D0"/>
    <w:rsid w:val="000B52F0"/>
    <w:rsid w:val="000B5483"/>
    <w:rsid w:val="000B55BB"/>
    <w:rsid w:val="000B5A0A"/>
    <w:rsid w:val="000B5AD4"/>
    <w:rsid w:val="000B5B29"/>
    <w:rsid w:val="000B6268"/>
    <w:rsid w:val="000B6615"/>
    <w:rsid w:val="000B6627"/>
    <w:rsid w:val="000B6B96"/>
    <w:rsid w:val="000B70DD"/>
    <w:rsid w:val="000B7B70"/>
    <w:rsid w:val="000C0140"/>
    <w:rsid w:val="000C0176"/>
    <w:rsid w:val="000C053B"/>
    <w:rsid w:val="000C0C2A"/>
    <w:rsid w:val="000C1EB9"/>
    <w:rsid w:val="000C30DA"/>
    <w:rsid w:val="000C3A3F"/>
    <w:rsid w:val="000C3CCC"/>
    <w:rsid w:val="000C4207"/>
    <w:rsid w:val="000C4357"/>
    <w:rsid w:val="000C5460"/>
    <w:rsid w:val="000C5751"/>
    <w:rsid w:val="000C5A45"/>
    <w:rsid w:val="000C6725"/>
    <w:rsid w:val="000C6775"/>
    <w:rsid w:val="000C6EAA"/>
    <w:rsid w:val="000C75D1"/>
    <w:rsid w:val="000C77DD"/>
    <w:rsid w:val="000C7815"/>
    <w:rsid w:val="000C7D96"/>
    <w:rsid w:val="000D011F"/>
    <w:rsid w:val="000D05BE"/>
    <w:rsid w:val="000D06A1"/>
    <w:rsid w:val="000D1458"/>
    <w:rsid w:val="000D1653"/>
    <w:rsid w:val="000D1D8C"/>
    <w:rsid w:val="000D22FF"/>
    <w:rsid w:val="000D231E"/>
    <w:rsid w:val="000D23F3"/>
    <w:rsid w:val="000D2D63"/>
    <w:rsid w:val="000D30FA"/>
    <w:rsid w:val="000D3F26"/>
    <w:rsid w:val="000D4322"/>
    <w:rsid w:val="000D43FA"/>
    <w:rsid w:val="000D4D71"/>
    <w:rsid w:val="000D53CC"/>
    <w:rsid w:val="000D561B"/>
    <w:rsid w:val="000D5F8D"/>
    <w:rsid w:val="000D601D"/>
    <w:rsid w:val="000D63D1"/>
    <w:rsid w:val="000D674F"/>
    <w:rsid w:val="000D6F4D"/>
    <w:rsid w:val="000D70C0"/>
    <w:rsid w:val="000D70E0"/>
    <w:rsid w:val="000D7B25"/>
    <w:rsid w:val="000D7C2D"/>
    <w:rsid w:val="000D7F43"/>
    <w:rsid w:val="000D7FBA"/>
    <w:rsid w:val="000E0368"/>
    <w:rsid w:val="000E0A9C"/>
    <w:rsid w:val="000E0FB3"/>
    <w:rsid w:val="000E1426"/>
    <w:rsid w:val="000E1D1E"/>
    <w:rsid w:val="000E21AF"/>
    <w:rsid w:val="000E25C2"/>
    <w:rsid w:val="000E2798"/>
    <w:rsid w:val="000E2EA8"/>
    <w:rsid w:val="000E3976"/>
    <w:rsid w:val="000E3DE4"/>
    <w:rsid w:val="000E4379"/>
    <w:rsid w:val="000E43AD"/>
    <w:rsid w:val="000E4AE1"/>
    <w:rsid w:val="000E4C56"/>
    <w:rsid w:val="000E4FE9"/>
    <w:rsid w:val="000E546B"/>
    <w:rsid w:val="000E574A"/>
    <w:rsid w:val="000E62A0"/>
    <w:rsid w:val="000E7168"/>
    <w:rsid w:val="000E7442"/>
    <w:rsid w:val="000E776F"/>
    <w:rsid w:val="000E79BE"/>
    <w:rsid w:val="000E79E0"/>
    <w:rsid w:val="000E7AF9"/>
    <w:rsid w:val="000F10C8"/>
    <w:rsid w:val="000F1109"/>
    <w:rsid w:val="000F11D9"/>
    <w:rsid w:val="000F1391"/>
    <w:rsid w:val="000F20AD"/>
    <w:rsid w:val="000F2863"/>
    <w:rsid w:val="000F28E8"/>
    <w:rsid w:val="000F34FB"/>
    <w:rsid w:val="000F4262"/>
    <w:rsid w:val="000F60A4"/>
    <w:rsid w:val="000F6432"/>
    <w:rsid w:val="000F64D6"/>
    <w:rsid w:val="000F65F3"/>
    <w:rsid w:val="0010055B"/>
    <w:rsid w:val="00100CF0"/>
    <w:rsid w:val="00100FEB"/>
    <w:rsid w:val="001010BF"/>
    <w:rsid w:val="001011F3"/>
    <w:rsid w:val="001012C6"/>
    <w:rsid w:val="001019FE"/>
    <w:rsid w:val="00101D28"/>
    <w:rsid w:val="00102AC6"/>
    <w:rsid w:val="00103249"/>
    <w:rsid w:val="00103388"/>
    <w:rsid w:val="00103543"/>
    <w:rsid w:val="00104906"/>
    <w:rsid w:val="00104E46"/>
    <w:rsid w:val="001055E6"/>
    <w:rsid w:val="001059A3"/>
    <w:rsid w:val="00106B1D"/>
    <w:rsid w:val="00110003"/>
    <w:rsid w:val="001104D3"/>
    <w:rsid w:val="001108D8"/>
    <w:rsid w:val="001109BB"/>
    <w:rsid w:val="00110C59"/>
    <w:rsid w:val="00111BA9"/>
    <w:rsid w:val="00111BC3"/>
    <w:rsid w:val="001123C0"/>
    <w:rsid w:val="001126A6"/>
    <w:rsid w:val="001126A7"/>
    <w:rsid w:val="001130A3"/>
    <w:rsid w:val="00113652"/>
    <w:rsid w:val="00113660"/>
    <w:rsid w:val="001143F7"/>
    <w:rsid w:val="00114899"/>
    <w:rsid w:val="00114A42"/>
    <w:rsid w:val="00114B10"/>
    <w:rsid w:val="00114B21"/>
    <w:rsid w:val="00115D3B"/>
    <w:rsid w:val="00115D9E"/>
    <w:rsid w:val="00116184"/>
    <w:rsid w:val="00116AF7"/>
    <w:rsid w:val="00117001"/>
    <w:rsid w:val="00117269"/>
    <w:rsid w:val="001172CA"/>
    <w:rsid w:val="00117674"/>
    <w:rsid w:val="001178F7"/>
    <w:rsid w:val="0011795B"/>
    <w:rsid w:val="00117BB2"/>
    <w:rsid w:val="00117C96"/>
    <w:rsid w:val="001206C8"/>
    <w:rsid w:val="00120962"/>
    <w:rsid w:val="00120A80"/>
    <w:rsid w:val="00120CD8"/>
    <w:rsid w:val="0012131C"/>
    <w:rsid w:val="00121B76"/>
    <w:rsid w:val="00121C01"/>
    <w:rsid w:val="00121EF0"/>
    <w:rsid w:val="00122170"/>
    <w:rsid w:val="0012259B"/>
    <w:rsid w:val="00122E43"/>
    <w:rsid w:val="00122ED2"/>
    <w:rsid w:val="001230B3"/>
    <w:rsid w:val="00123CD3"/>
    <w:rsid w:val="00123D89"/>
    <w:rsid w:val="00124675"/>
    <w:rsid w:val="00124809"/>
    <w:rsid w:val="0012486E"/>
    <w:rsid w:val="001253B9"/>
    <w:rsid w:val="001254D5"/>
    <w:rsid w:val="001262B8"/>
    <w:rsid w:val="00126441"/>
    <w:rsid w:val="001264AD"/>
    <w:rsid w:val="001265EA"/>
    <w:rsid w:val="00126FE0"/>
    <w:rsid w:val="00127173"/>
    <w:rsid w:val="001300BF"/>
    <w:rsid w:val="00131143"/>
    <w:rsid w:val="0013120D"/>
    <w:rsid w:val="00132887"/>
    <w:rsid w:val="00132D7D"/>
    <w:rsid w:val="00132F60"/>
    <w:rsid w:val="00133355"/>
    <w:rsid w:val="001334CE"/>
    <w:rsid w:val="00134383"/>
    <w:rsid w:val="00135D80"/>
    <w:rsid w:val="00135F0A"/>
    <w:rsid w:val="001362A2"/>
    <w:rsid w:val="001363E9"/>
    <w:rsid w:val="00136749"/>
    <w:rsid w:val="00136C94"/>
    <w:rsid w:val="00136D66"/>
    <w:rsid w:val="00137496"/>
    <w:rsid w:val="0013754C"/>
    <w:rsid w:val="001377F8"/>
    <w:rsid w:val="0014004D"/>
    <w:rsid w:val="00140352"/>
    <w:rsid w:val="00140A89"/>
    <w:rsid w:val="00140AC3"/>
    <w:rsid w:val="00140D2F"/>
    <w:rsid w:val="00140EBC"/>
    <w:rsid w:val="00140F94"/>
    <w:rsid w:val="00141232"/>
    <w:rsid w:val="00141427"/>
    <w:rsid w:val="00141522"/>
    <w:rsid w:val="00142EC0"/>
    <w:rsid w:val="00142FD7"/>
    <w:rsid w:val="001433B9"/>
    <w:rsid w:val="001433E3"/>
    <w:rsid w:val="0014397D"/>
    <w:rsid w:val="001440BA"/>
    <w:rsid w:val="00144E79"/>
    <w:rsid w:val="00145284"/>
    <w:rsid w:val="001454CC"/>
    <w:rsid w:val="0014569D"/>
    <w:rsid w:val="001456DE"/>
    <w:rsid w:val="00145855"/>
    <w:rsid w:val="0014585D"/>
    <w:rsid w:val="00145CF9"/>
    <w:rsid w:val="00145F56"/>
    <w:rsid w:val="00146A36"/>
    <w:rsid w:val="00146EB7"/>
    <w:rsid w:val="0014721E"/>
    <w:rsid w:val="0014758A"/>
    <w:rsid w:val="0014759D"/>
    <w:rsid w:val="0014765F"/>
    <w:rsid w:val="00150486"/>
    <w:rsid w:val="001508E0"/>
    <w:rsid w:val="00150B37"/>
    <w:rsid w:val="001514B6"/>
    <w:rsid w:val="00151E58"/>
    <w:rsid w:val="0015227E"/>
    <w:rsid w:val="001528E6"/>
    <w:rsid w:val="00153056"/>
    <w:rsid w:val="00153613"/>
    <w:rsid w:val="00153B5B"/>
    <w:rsid w:val="00154401"/>
    <w:rsid w:val="00154A21"/>
    <w:rsid w:val="0015547D"/>
    <w:rsid w:val="0015588F"/>
    <w:rsid w:val="00155FAD"/>
    <w:rsid w:val="00156055"/>
    <w:rsid w:val="001566D1"/>
    <w:rsid w:val="00156FF6"/>
    <w:rsid w:val="00157874"/>
    <w:rsid w:val="0015795B"/>
    <w:rsid w:val="001602B5"/>
    <w:rsid w:val="00160D1F"/>
    <w:rsid w:val="00160F7E"/>
    <w:rsid w:val="00162F47"/>
    <w:rsid w:val="001639DF"/>
    <w:rsid w:val="00163E83"/>
    <w:rsid w:val="0016435E"/>
    <w:rsid w:val="001644D0"/>
    <w:rsid w:val="00164861"/>
    <w:rsid w:val="001648A0"/>
    <w:rsid w:val="0016569C"/>
    <w:rsid w:val="0016588B"/>
    <w:rsid w:val="00165A7F"/>
    <w:rsid w:val="00165C1B"/>
    <w:rsid w:val="001664F4"/>
    <w:rsid w:val="001665C6"/>
    <w:rsid w:val="00166AA9"/>
    <w:rsid w:val="00170864"/>
    <w:rsid w:val="001708E0"/>
    <w:rsid w:val="00170ACE"/>
    <w:rsid w:val="001713D0"/>
    <w:rsid w:val="001714F3"/>
    <w:rsid w:val="00171C44"/>
    <w:rsid w:val="001722AF"/>
    <w:rsid w:val="00172448"/>
    <w:rsid w:val="001727B6"/>
    <w:rsid w:val="00172CD9"/>
    <w:rsid w:val="001731BC"/>
    <w:rsid w:val="00174112"/>
    <w:rsid w:val="001748B0"/>
    <w:rsid w:val="00174AE1"/>
    <w:rsid w:val="001751CD"/>
    <w:rsid w:val="001758A7"/>
    <w:rsid w:val="00175D3B"/>
    <w:rsid w:val="00176602"/>
    <w:rsid w:val="0017663D"/>
    <w:rsid w:val="001766C3"/>
    <w:rsid w:val="001772B0"/>
    <w:rsid w:val="001773D7"/>
    <w:rsid w:val="00177501"/>
    <w:rsid w:val="0017771D"/>
    <w:rsid w:val="00177C0C"/>
    <w:rsid w:val="001801A7"/>
    <w:rsid w:val="001806B5"/>
    <w:rsid w:val="0018076C"/>
    <w:rsid w:val="00180865"/>
    <w:rsid w:val="00180D76"/>
    <w:rsid w:val="001815D8"/>
    <w:rsid w:val="001820DB"/>
    <w:rsid w:val="00182604"/>
    <w:rsid w:val="001831CA"/>
    <w:rsid w:val="00183772"/>
    <w:rsid w:val="00183CAE"/>
    <w:rsid w:val="00184236"/>
    <w:rsid w:val="00185C21"/>
    <w:rsid w:val="00185D5C"/>
    <w:rsid w:val="00186598"/>
    <w:rsid w:val="001865F9"/>
    <w:rsid w:val="00186733"/>
    <w:rsid w:val="00186B35"/>
    <w:rsid w:val="00186B6B"/>
    <w:rsid w:val="00186C39"/>
    <w:rsid w:val="00187050"/>
    <w:rsid w:val="0018764B"/>
    <w:rsid w:val="00187684"/>
    <w:rsid w:val="001902C1"/>
    <w:rsid w:val="001904DD"/>
    <w:rsid w:val="001905BA"/>
    <w:rsid w:val="0019072F"/>
    <w:rsid w:val="0019079A"/>
    <w:rsid w:val="00190EF0"/>
    <w:rsid w:val="00191625"/>
    <w:rsid w:val="001916AB"/>
    <w:rsid w:val="0019180B"/>
    <w:rsid w:val="00191E13"/>
    <w:rsid w:val="00192AAD"/>
    <w:rsid w:val="001930EB"/>
    <w:rsid w:val="00193D5F"/>
    <w:rsid w:val="00194D1D"/>
    <w:rsid w:val="0019587C"/>
    <w:rsid w:val="0019589E"/>
    <w:rsid w:val="00196F4E"/>
    <w:rsid w:val="001A0B31"/>
    <w:rsid w:val="001A0BAE"/>
    <w:rsid w:val="001A0CC1"/>
    <w:rsid w:val="001A0D60"/>
    <w:rsid w:val="001A12A3"/>
    <w:rsid w:val="001A1886"/>
    <w:rsid w:val="001A1B60"/>
    <w:rsid w:val="001A221F"/>
    <w:rsid w:val="001A23AB"/>
    <w:rsid w:val="001A2C9D"/>
    <w:rsid w:val="001A43D8"/>
    <w:rsid w:val="001A4907"/>
    <w:rsid w:val="001A4C4A"/>
    <w:rsid w:val="001A5294"/>
    <w:rsid w:val="001A55BE"/>
    <w:rsid w:val="001A57C0"/>
    <w:rsid w:val="001A5EEA"/>
    <w:rsid w:val="001A6664"/>
    <w:rsid w:val="001A70E8"/>
    <w:rsid w:val="001A7638"/>
    <w:rsid w:val="001A7F8B"/>
    <w:rsid w:val="001A7FC9"/>
    <w:rsid w:val="001B0069"/>
    <w:rsid w:val="001B037F"/>
    <w:rsid w:val="001B15C7"/>
    <w:rsid w:val="001B1E08"/>
    <w:rsid w:val="001B2446"/>
    <w:rsid w:val="001B2B8A"/>
    <w:rsid w:val="001B2E6D"/>
    <w:rsid w:val="001B3057"/>
    <w:rsid w:val="001B30C6"/>
    <w:rsid w:val="001B32D9"/>
    <w:rsid w:val="001B34CE"/>
    <w:rsid w:val="001B3CD9"/>
    <w:rsid w:val="001B4412"/>
    <w:rsid w:val="001B44CD"/>
    <w:rsid w:val="001B4902"/>
    <w:rsid w:val="001B4C7D"/>
    <w:rsid w:val="001B5839"/>
    <w:rsid w:val="001B5BE6"/>
    <w:rsid w:val="001B5F4C"/>
    <w:rsid w:val="001B6124"/>
    <w:rsid w:val="001B61E5"/>
    <w:rsid w:val="001B66D8"/>
    <w:rsid w:val="001B6F5E"/>
    <w:rsid w:val="001B73E5"/>
    <w:rsid w:val="001B7D7D"/>
    <w:rsid w:val="001B7EF5"/>
    <w:rsid w:val="001B7F11"/>
    <w:rsid w:val="001C03A0"/>
    <w:rsid w:val="001C0E71"/>
    <w:rsid w:val="001C0F34"/>
    <w:rsid w:val="001C1457"/>
    <w:rsid w:val="001C2124"/>
    <w:rsid w:val="001C27F4"/>
    <w:rsid w:val="001C2819"/>
    <w:rsid w:val="001C4F23"/>
    <w:rsid w:val="001C581B"/>
    <w:rsid w:val="001C5FFE"/>
    <w:rsid w:val="001C6176"/>
    <w:rsid w:val="001C64DB"/>
    <w:rsid w:val="001C6690"/>
    <w:rsid w:val="001C6F6B"/>
    <w:rsid w:val="001C7202"/>
    <w:rsid w:val="001C7230"/>
    <w:rsid w:val="001C72C8"/>
    <w:rsid w:val="001C7E6A"/>
    <w:rsid w:val="001C7F25"/>
    <w:rsid w:val="001D0009"/>
    <w:rsid w:val="001D0366"/>
    <w:rsid w:val="001D1FD0"/>
    <w:rsid w:val="001D248F"/>
    <w:rsid w:val="001D2A5B"/>
    <w:rsid w:val="001D2CD8"/>
    <w:rsid w:val="001D2E7D"/>
    <w:rsid w:val="001D36F9"/>
    <w:rsid w:val="001D3F97"/>
    <w:rsid w:val="001D411E"/>
    <w:rsid w:val="001D4E3D"/>
    <w:rsid w:val="001D5069"/>
    <w:rsid w:val="001D55E2"/>
    <w:rsid w:val="001D661D"/>
    <w:rsid w:val="001D757D"/>
    <w:rsid w:val="001E07E7"/>
    <w:rsid w:val="001E1571"/>
    <w:rsid w:val="001E15E1"/>
    <w:rsid w:val="001E170C"/>
    <w:rsid w:val="001E1FB9"/>
    <w:rsid w:val="001E24F0"/>
    <w:rsid w:val="001E258E"/>
    <w:rsid w:val="001E2EE7"/>
    <w:rsid w:val="001E47ED"/>
    <w:rsid w:val="001E5099"/>
    <w:rsid w:val="001E5835"/>
    <w:rsid w:val="001E638F"/>
    <w:rsid w:val="001E66AF"/>
    <w:rsid w:val="001E7C2C"/>
    <w:rsid w:val="001F0233"/>
    <w:rsid w:val="001F11C4"/>
    <w:rsid w:val="001F1439"/>
    <w:rsid w:val="001F153B"/>
    <w:rsid w:val="001F2210"/>
    <w:rsid w:val="001F2774"/>
    <w:rsid w:val="001F3251"/>
    <w:rsid w:val="001F401E"/>
    <w:rsid w:val="001F407D"/>
    <w:rsid w:val="001F439E"/>
    <w:rsid w:val="001F5623"/>
    <w:rsid w:val="001F573B"/>
    <w:rsid w:val="001F581B"/>
    <w:rsid w:val="001F593D"/>
    <w:rsid w:val="001F5BA4"/>
    <w:rsid w:val="001F65BB"/>
    <w:rsid w:val="001F74A9"/>
    <w:rsid w:val="001F76DA"/>
    <w:rsid w:val="001F794D"/>
    <w:rsid w:val="002004B5"/>
    <w:rsid w:val="0020074A"/>
    <w:rsid w:val="00200969"/>
    <w:rsid w:val="0020146E"/>
    <w:rsid w:val="00201538"/>
    <w:rsid w:val="00201561"/>
    <w:rsid w:val="00202135"/>
    <w:rsid w:val="002023CB"/>
    <w:rsid w:val="002024FC"/>
    <w:rsid w:val="00203DC8"/>
    <w:rsid w:val="002045ED"/>
    <w:rsid w:val="0020471A"/>
    <w:rsid w:val="00204B63"/>
    <w:rsid w:val="00204F50"/>
    <w:rsid w:val="00205108"/>
    <w:rsid w:val="00205345"/>
    <w:rsid w:val="00205393"/>
    <w:rsid w:val="00206330"/>
    <w:rsid w:val="0020670A"/>
    <w:rsid w:val="0020682B"/>
    <w:rsid w:val="00206B9C"/>
    <w:rsid w:val="00206C0F"/>
    <w:rsid w:val="0020703A"/>
    <w:rsid w:val="00207AC0"/>
    <w:rsid w:val="00210600"/>
    <w:rsid w:val="0021070B"/>
    <w:rsid w:val="002109D3"/>
    <w:rsid w:val="00210C62"/>
    <w:rsid w:val="00210E39"/>
    <w:rsid w:val="0021141E"/>
    <w:rsid w:val="0021154B"/>
    <w:rsid w:val="002116F2"/>
    <w:rsid w:val="0021182C"/>
    <w:rsid w:val="00211E09"/>
    <w:rsid w:val="00212A8E"/>
    <w:rsid w:val="002142A4"/>
    <w:rsid w:val="00214329"/>
    <w:rsid w:val="00214B6C"/>
    <w:rsid w:val="00214C54"/>
    <w:rsid w:val="002151B9"/>
    <w:rsid w:val="00215D48"/>
    <w:rsid w:val="00216086"/>
    <w:rsid w:val="00216788"/>
    <w:rsid w:val="0021685B"/>
    <w:rsid w:val="00216DC1"/>
    <w:rsid w:val="00216E01"/>
    <w:rsid w:val="002170C1"/>
    <w:rsid w:val="002177F1"/>
    <w:rsid w:val="00217D9C"/>
    <w:rsid w:val="00220731"/>
    <w:rsid w:val="00220868"/>
    <w:rsid w:val="0022100A"/>
    <w:rsid w:val="00221024"/>
    <w:rsid w:val="0022104A"/>
    <w:rsid w:val="0022117B"/>
    <w:rsid w:val="0022142B"/>
    <w:rsid w:val="00221857"/>
    <w:rsid w:val="002223CA"/>
    <w:rsid w:val="0022258B"/>
    <w:rsid w:val="002226E3"/>
    <w:rsid w:val="00222819"/>
    <w:rsid w:val="00223202"/>
    <w:rsid w:val="002233F7"/>
    <w:rsid w:val="0022341F"/>
    <w:rsid w:val="00223564"/>
    <w:rsid w:val="00223738"/>
    <w:rsid w:val="0022459E"/>
    <w:rsid w:val="0022476C"/>
    <w:rsid w:val="00224E11"/>
    <w:rsid w:val="002259AA"/>
    <w:rsid w:val="00225F22"/>
    <w:rsid w:val="00226B6E"/>
    <w:rsid w:val="002270A4"/>
    <w:rsid w:val="00227718"/>
    <w:rsid w:val="00227B91"/>
    <w:rsid w:val="002302B3"/>
    <w:rsid w:val="00230B1C"/>
    <w:rsid w:val="00230B4E"/>
    <w:rsid w:val="00230D1A"/>
    <w:rsid w:val="00231593"/>
    <w:rsid w:val="00231A54"/>
    <w:rsid w:val="002329B2"/>
    <w:rsid w:val="00232C35"/>
    <w:rsid w:val="002334E5"/>
    <w:rsid w:val="0023364B"/>
    <w:rsid w:val="00233893"/>
    <w:rsid w:val="00233A10"/>
    <w:rsid w:val="00233B23"/>
    <w:rsid w:val="00233C28"/>
    <w:rsid w:val="00233C4E"/>
    <w:rsid w:val="002340EB"/>
    <w:rsid w:val="002343D6"/>
    <w:rsid w:val="00234A17"/>
    <w:rsid w:val="00234D9B"/>
    <w:rsid w:val="002350E0"/>
    <w:rsid w:val="002359C7"/>
    <w:rsid w:val="002367EE"/>
    <w:rsid w:val="00237509"/>
    <w:rsid w:val="0023777C"/>
    <w:rsid w:val="00237AF7"/>
    <w:rsid w:val="00237CBC"/>
    <w:rsid w:val="00237EAE"/>
    <w:rsid w:val="0024064F"/>
    <w:rsid w:val="00241B1E"/>
    <w:rsid w:val="0024229B"/>
    <w:rsid w:val="00242581"/>
    <w:rsid w:val="00242676"/>
    <w:rsid w:val="00242FFB"/>
    <w:rsid w:val="00243083"/>
    <w:rsid w:val="00243528"/>
    <w:rsid w:val="00243E32"/>
    <w:rsid w:val="0024555E"/>
    <w:rsid w:val="00245753"/>
    <w:rsid w:val="002463F9"/>
    <w:rsid w:val="002467B9"/>
    <w:rsid w:val="00246835"/>
    <w:rsid w:val="00246914"/>
    <w:rsid w:val="00246957"/>
    <w:rsid w:val="00246B7A"/>
    <w:rsid w:val="00246CC4"/>
    <w:rsid w:val="00246F59"/>
    <w:rsid w:val="00246F9F"/>
    <w:rsid w:val="00247B0F"/>
    <w:rsid w:val="00247F36"/>
    <w:rsid w:val="00251344"/>
    <w:rsid w:val="00251DAA"/>
    <w:rsid w:val="0025298B"/>
    <w:rsid w:val="002530E4"/>
    <w:rsid w:val="002534EE"/>
    <w:rsid w:val="00253922"/>
    <w:rsid w:val="00253966"/>
    <w:rsid w:val="00253BDA"/>
    <w:rsid w:val="0025479B"/>
    <w:rsid w:val="00254E5E"/>
    <w:rsid w:val="0025506E"/>
    <w:rsid w:val="0025666B"/>
    <w:rsid w:val="00256918"/>
    <w:rsid w:val="00256E43"/>
    <w:rsid w:val="00257698"/>
    <w:rsid w:val="00257B5A"/>
    <w:rsid w:val="00257F2F"/>
    <w:rsid w:val="00260678"/>
    <w:rsid w:val="002607DE"/>
    <w:rsid w:val="00260BAC"/>
    <w:rsid w:val="00260EB1"/>
    <w:rsid w:val="0026101B"/>
    <w:rsid w:val="002611D7"/>
    <w:rsid w:val="00261314"/>
    <w:rsid w:val="00261652"/>
    <w:rsid w:val="002617BF"/>
    <w:rsid w:val="00261CF6"/>
    <w:rsid w:val="00261EB2"/>
    <w:rsid w:val="002622F7"/>
    <w:rsid w:val="00262CA8"/>
    <w:rsid w:val="00262CE6"/>
    <w:rsid w:val="0026316C"/>
    <w:rsid w:val="002631DB"/>
    <w:rsid w:val="002638B4"/>
    <w:rsid w:val="00263987"/>
    <w:rsid w:val="00263D2A"/>
    <w:rsid w:val="00263E5F"/>
    <w:rsid w:val="002648C3"/>
    <w:rsid w:val="00265051"/>
    <w:rsid w:val="00265C8A"/>
    <w:rsid w:val="00267034"/>
    <w:rsid w:val="00267083"/>
    <w:rsid w:val="00270353"/>
    <w:rsid w:val="00271E9C"/>
    <w:rsid w:val="00272865"/>
    <w:rsid w:val="00272FE0"/>
    <w:rsid w:val="00273B26"/>
    <w:rsid w:val="00273B88"/>
    <w:rsid w:val="00274FDC"/>
    <w:rsid w:val="00275C8F"/>
    <w:rsid w:val="00275C99"/>
    <w:rsid w:val="002763DC"/>
    <w:rsid w:val="00276630"/>
    <w:rsid w:val="00276F53"/>
    <w:rsid w:val="00276F7C"/>
    <w:rsid w:val="00277278"/>
    <w:rsid w:val="0027738C"/>
    <w:rsid w:val="00280805"/>
    <w:rsid w:val="00280967"/>
    <w:rsid w:val="00280AB2"/>
    <w:rsid w:val="00280F09"/>
    <w:rsid w:val="00281375"/>
    <w:rsid w:val="00282689"/>
    <w:rsid w:val="00282755"/>
    <w:rsid w:val="002829AC"/>
    <w:rsid w:val="00282C98"/>
    <w:rsid w:val="00282D31"/>
    <w:rsid w:val="00283002"/>
    <w:rsid w:val="00283B43"/>
    <w:rsid w:val="00283FA6"/>
    <w:rsid w:val="002845A1"/>
    <w:rsid w:val="00284979"/>
    <w:rsid w:val="00285772"/>
    <w:rsid w:val="00285789"/>
    <w:rsid w:val="002861A9"/>
    <w:rsid w:val="0028630C"/>
    <w:rsid w:val="002865A4"/>
    <w:rsid w:val="0028667F"/>
    <w:rsid w:val="00286DE9"/>
    <w:rsid w:val="002872C5"/>
    <w:rsid w:val="00287777"/>
    <w:rsid w:val="00287B0C"/>
    <w:rsid w:val="00287ECA"/>
    <w:rsid w:val="00287EEE"/>
    <w:rsid w:val="00290560"/>
    <w:rsid w:val="00290A11"/>
    <w:rsid w:val="00291113"/>
    <w:rsid w:val="002917FE"/>
    <w:rsid w:val="00291D79"/>
    <w:rsid w:val="00292226"/>
    <w:rsid w:val="002922E7"/>
    <w:rsid w:val="00293806"/>
    <w:rsid w:val="00293B89"/>
    <w:rsid w:val="002943A2"/>
    <w:rsid w:val="0029587D"/>
    <w:rsid w:val="00295ADA"/>
    <w:rsid w:val="00297223"/>
    <w:rsid w:val="002A0021"/>
    <w:rsid w:val="002A09BE"/>
    <w:rsid w:val="002A09D6"/>
    <w:rsid w:val="002A0A85"/>
    <w:rsid w:val="002A11F4"/>
    <w:rsid w:val="002A137D"/>
    <w:rsid w:val="002A1553"/>
    <w:rsid w:val="002A22B5"/>
    <w:rsid w:val="002A23EB"/>
    <w:rsid w:val="002A2686"/>
    <w:rsid w:val="002A2E9D"/>
    <w:rsid w:val="002A301D"/>
    <w:rsid w:val="002A327C"/>
    <w:rsid w:val="002A4633"/>
    <w:rsid w:val="002A4B1E"/>
    <w:rsid w:val="002A5171"/>
    <w:rsid w:val="002A52BB"/>
    <w:rsid w:val="002A56D4"/>
    <w:rsid w:val="002A5DC6"/>
    <w:rsid w:val="002A5F62"/>
    <w:rsid w:val="002A5FFF"/>
    <w:rsid w:val="002A6980"/>
    <w:rsid w:val="002A6B72"/>
    <w:rsid w:val="002A6BB3"/>
    <w:rsid w:val="002A7604"/>
    <w:rsid w:val="002A7696"/>
    <w:rsid w:val="002A7AA3"/>
    <w:rsid w:val="002A7BA3"/>
    <w:rsid w:val="002B0312"/>
    <w:rsid w:val="002B0569"/>
    <w:rsid w:val="002B07B9"/>
    <w:rsid w:val="002B0A32"/>
    <w:rsid w:val="002B0CCD"/>
    <w:rsid w:val="002B0F7B"/>
    <w:rsid w:val="002B11AB"/>
    <w:rsid w:val="002B1644"/>
    <w:rsid w:val="002B16A4"/>
    <w:rsid w:val="002B17EF"/>
    <w:rsid w:val="002B21D8"/>
    <w:rsid w:val="002B28BF"/>
    <w:rsid w:val="002B3B9D"/>
    <w:rsid w:val="002B4A71"/>
    <w:rsid w:val="002B4BE2"/>
    <w:rsid w:val="002B5035"/>
    <w:rsid w:val="002B505D"/>
    <w:rsid w:val="002B51E0"/>
    <w:rsid w:val="002B5A15"/>
    <w:rsid w:val="002B5ACB"/>
    <w:rsid w:val="002B6C06"/>
    <w:rsid w:val="002B7101"/>
    <w:rsid w:val="002B736B"/>
    <w:rsid w:val="002B7519"/>
    <w:rsid w:val="002B765E"/>
    <w:rsid w:val="002C1B6B"/>
    <w:rsid w:val="002C1F2F"/>
    <w:rsid w:val="002C22A5"/>
    <w:rsid w:val="002C26C2"/>
    <w:rsid w:val="002C2A14"/>
    <w:rsid w:val="002C2CEA"/>
    <w:rsid w:val="002C3A4A"/>
    <w:rsid w:val="002C3FA1"/>
    <w:rsid w:val="002C4277"/>
    <w:rsid w:val="002C4C50"/>
    <w:rsid w:val="002C52E9"/>
    <w:rsid w:val="002C5499"/>
    <w:rsid w:val="002C5529"/>
    <w:rsid w:val="002C58FE"/>
    <w:rsid w:val="002C69E6"/>
    <w:rsid w:val="002C6CDB"/>
    <w:rsid w:val="002C6D08"/>
    <w:rsid w:val="002C6FC3"/>
    <w:rsid w:val="002C7B2E"/>
    <w:rsid w:val="002D004E"/>
    <w:rsid w:val="002D0126"/>
    <w:rsid w:val="002D0C7B"/>
    <w:rsid w:val="002D1038"/>
    <w:rsid w:val="002D1082"/>
    <w:rsid w:val="002D11DA"/>
    <w:rsid w:val="002D1CBA"/>
    <w:rsid w:val="002D2042"/>
    <w:rsid w:val="002D2CC8"/>
    <w:rsid w:val="002D2D99"/>
    <w:rsid w:val="002D3020"/>
    <w:rsid w:val="002D332B"/>
    <w:rsid w:val="002D4421"/>
    <w:rsid w:val="002D4B0E"/>
    <w:rsid w:val="002D4E63"/>
    <w:rsid w:val="002D5657"/>
    <w:rsid w:val="002D6068"/>
    <w:rsid w:val="002D64AA"/>
    <w:rsid w:val="002D68E9"/>
    <w:rsid w:val="002D6B9F"/>
    <w:rsid w:val="002D6E2D"/>
    <w:rsid w:val="002D7618"/>
    <w:rsid w:val="002D77FD"/>
    <w:rsid w:val="002E01BB"/>
    <w:rsid w:val="002E03FC"/>
    <w:rsid w:val="002E08AE"/>
    <w:rsid w:val="002E0EE4"/>
    <w:rsid w:val="002E1117"/>
    <w:rsid w:val="002E11AE"/>
    <w:rsid w:val="002E17CB"/>
    <w:rsid w:val="002E18BA"/>
    <w:rsid w:val="002E1DDB"/>
    <w:rsid w:val="002E20A6"/>
    <w:rsid w:val="002E2E0F"/>
    <w:rsid w:val="002E309D"/>
    <w:rsid w:val="002E312D"/>
    <w:rsid w:val="002E3224"/>
    <w:rsid w:val="002E34B4"/>
    <w:rsid w:val="002E3686"/>
    <w:rsid w:val="002E4391"/>
    <w:rsid w:val="002E4AD8"/>
    <w:rsid w:val="002E4F89"/>
    <w:rsid w:val="002E5393"/>
    <w:rsid w:val="002E5987"/>
    <w:rsid w:val="002E634F"/>
    <w:rsid w:val="002E6D11"/>
    <w:rsid w:val="002E7416"/>
    <w:rsid w:val="002E76DF"/>
    <w:rsid w:val="002E780D"/>
    <w:rsid w:val="002E7B21"/>
    <w:rsid w:val="002E7B82"/>
    <w:rsid w:val="002F04BE"/>
    <w:rsid w:val="002F0748"/>
    <w:rsid w:val="002F074A"/>
    <w:rsid w:val="002F0A49"/>
    <w:rsid w:val="002F0B21"/>
    <w:rsid w:val="002F0DD8"/>
    <w:rsid w:val="002F0F02"/>
    <w:rsid w:val="002F103E"/>
    <w:rsid w:val="002F184C"/>
    <w:rsid w:val="002F1D61"/>
    <w:rsid w:val="002F20A3"/>
    <w:rsid w:val="002F22F6"/>
    <w:rsid w:val="002F29FA"/>
    <w:rsid w:val="002F2E94"/>
    <w:rsid w:val="002F3282"/>
    <w:rsid w:val="002F3895"/>
    <w:rsid w:val="002F4ECC"/>
    <w:rsid w:val="002F50D4"/>
    <w:rsid w:val="002F5479"/>
    <w:rsid w:val="002F54B1"/>
    <w:rsid w:val="002F63CA"/>
    <w:rsid w:val="002F661E"/>
    <w:rsid w:val="002F71CA"/>
    <w:rsid w:val="0030007A"/>
    <w:rsid w:val="003005C8"/>
    <w:rsid w:val="0030062A"/>
    <w:rsid w:val="003009C7"/>
    <w:rsid w:val="00301DB0"/>
    <w:rsid w:val="00301F4A"/>
    <w:rsid w:val="003024B6"/>
    <w:rsid w:val="00302976"/>
    <w:rsid w:val="0030300E"/>
    <w:rsid w:val="00303E97"/>
    <w:rsid w:val="00303ED4"/>
    <w:rsid w:val="0030436E"/>
    <w:rsid w:val="00304C71"/>
    <w:rsid w:val="00304D1C"/>
    <w:rsid w:val="00304F41"/>
    <w:rsid w:val="00306D2A"/>
    <w:rsid w:val="00307638"/>
    <w:rsid w:val="003076B6"/>
    <w:rsid w:val="00307A1B"/>
    <w:rsid w:val="00307A92"/>
    <w:rsid w:val="00307D1C"/>
    <w:rsid w:val="00310140"/>
    <w:rsid w:val="00310923"/>
    <w:rsid w:val="00310B65"/>
    <w:rsid w:val="00310CBB"/>
    <w:rsid w:val="00310D38"/>
    <w:rsid w:val="00310D3E"/>
    <w:rsid w:val="003113BA"/>
    <w:rsid w:val="003134E6"/>
    <w:rsid w:val="0031385F"/>
    <w:rsid w:val="00314710"/>
    <w:rsid w:val="0031475E"/>
    <w:rsid w:val="00314A1E"/>
    <w:rsid w:val="00314B83"/>
    <w:rsid w:val="00315AFA"/>
    <w:rsid w:val="00316666"/>
    <w:rsid w:val="0031741E"/>
    <w:rsid w:val="00317745"/>
    <w:rsid w:val="00317F98"/>
    <w:rsid w:val="00320085"/>
    <w:rsid w:val="003209C2"/>
    <w:rsid w:val="00320CE3"/>
    <w:rsid w:val="00320ECD"/>
    <w:rsid w:val="0032129D"/>
    <w:rsid w:val="003217C4"/>
    <w:rsid w:val="00321978"/>
    <w:rsid w:val="00321F28"/>
    <w:rsid w:val="00322412"/>
    <w:rsid w:val="00323051"/>
    <w:rsid w:val="003235E7"/>
    <w:rsid w:val="00323B2D"/>
    <w:rsid w:val="00324407"/>
    <w:rsid w:val="003244CD"/>
    <w:rsid w:val="003247D0"/>
    <w:rsid w:val="00324821"/>
    <w:rsid w:val="00324D1B"/>
    <w:rsid w:val="00326261"/>
    <w:rsid w:val="00326B95"/>
    <w:rsid w:val="00326D41"/>
    <w:rsid w:val="00327C6E"/>
    <w:rsid w:val="00327C7F"/>
    <w:rsid w:val="0033038E"/>
    <w:rsid w:val="00330628"/>
    <w:rsid w:val="00330F76"/>
    <w:rsid w:val="0033162D"/>
    <w:rsid w:val="003316DB"/>
    <w:rsid w:val="00331DEC"/>
    <w:rsid w:val="00332C63"/>
    <w:rsid w:val="003334A3"/>
    <w:rsid w:val="003344DE"/>
    <w:rsid w:val="00334744"/>
    <w:rsid w:val="003353EA"/>
    <w:rsid w:val="00335563"/>
    <w:rsid w:val="00335823"/>
    <w:rsid w:val="003360BE"/>
    <w:rsid w:val="00336C48"/>
    <w:rsid w:val="0033732E"/>
    <w:rsid w:val="00337449"/>
    <w:rsid w:val="003377A8"/>
    <w:rsid w:val="00337E3E"/>
    <w:rsid w:val="003407DF"/>
    <w:rsid w:val="00340F00"/>
    <w:rsid w:val="00341565"/>
    <w:rsid w:val="00341FC6"/>
    <w:rsid w:val="003435C8"/>
    <w:rsid w:val="00343ED3"/>
    <w:rsid w:val="003445E9"/>
    <w:rsid w:val="00345155"/>
    <w:rsid w:val="0034543B"/>
    <w:rsid w:val="00345BE5"/>
    <w:rsid w:val="00345F64"/>
    <w:rsid w:val="00346761"/>
    <w:rsid w:val="00346A95"/>
    <w:rsid w:val="003472CE"/>
    <w:rsid w:val="003477C3"/>
    <w:rsid w:val="00347BFA"/>
    <w:rsid w:val="0035038E"/>
    <w:rsid w:val="0035052D"/>
    <w:rsid w:val="00350574"/>
    <w:rsid w:val="003508AD"/>
    <w:rsid w:val="00350A5D"/>
    <w:rsid w:val="00350DEB"/>
    <w:rsid w:val="00351574"/>
    <w:rsid w:val="00351777"/>
    <w:rsid w:val="003523FF"/>
    <w:rsid w:val="0035245C"/>
    <w:rsid w:val="00352A8D"/>
    <w:rsid w:val="00352B82"/>
    <w:rsid w:val="00353488"/>
    <w:rsid w:val="0035416E"/>
    <w:rsid w:val="0035442C"/>
    <w:rsid w:val="003546E9"/>
    <w:rsid w:val="00354778"/>
    <w:rsid w:val="00354C3E"/>
    <w:rsid w:val="00355132"/>
    <w:rsid w:val="003558ED"/>
    <w:rsid w:val="00355C38"/>
    <w:rsid w:val="00355E7F"/>
    <w:rsid w:val="0035657E"/>
    <w:rsid w:val="003565FF"/>
    <w:rsid w:val="00356736"/>
    <w:rsid w:val="00356F1F"/>
    <w:rsid w:val="00357AA7"/>
    <w:rsid w:val="00357E42"/>
    <w:rsid w:val="00360BA4"/>
    <w:rsid w:val="00361107"/>
    <w:rsid w:val="003618C1"/>
    <w:rsid w:val="00361A65"/>
    <w:rsid w:val="00361BA2"/>
    <w:rsid w:val="00361F02"/>
    <w:rsid w:val="003625C4"/>
    <w:rsid w:val="00362743"/>
    <w:rsid w:val="003631D2"/>
    <w:rsid w:val="00363BD7"/>
    <w:rsid w:val="00364F9B"/>
    <w:rsid w:val="00365435"/>
    <w:rsid w:val="003662C5"/>
    <w:rsid w:val="003673FA"/>
    <w:rsid w:val="00367961"/>
    <w:rsid w:val="00367CE9"/>
    <w:rsid w:val="003701CD"/>
    <w:rsid w:val="0037140D"/>
    <w:rsid w:val="003717A4"/>
    <w:rsid w:val="003717AC"/>
    <w:rsid w:val="00371900"/>
    <w:rsid w:val="00371F22"/>
    <w:rsid w:val="0037229D"/>
    <w:rsid w:val="00372732"/>
    <w:rsid w:val="00373212"/>
    <w:rsid w:val="0037339E"/>
    <w:rsid w:val="00374237"/>
    <w:rsid w:val="00374823"/>
    <w:rsid w:val="00374843"/>
    <w:rsid w:val="00374B04"/>
    <w:rsid w:val="00374DD0"/>
    <w:rsid w:val="00375FC3"/>
    <w:rsid w:val="00376348"/>
    <w:rsid w:val="00376BE1"/>
    <w:rsid w:val="003771EA"/>
    <w:rsid w:val="00377442"/>
    <w:rsid w:val="003800D5"/>
    <w:rsid w:val="003801F0"/>
    <w:rsid w:val="00380922"/>
    <w:rsid w:val="00380BD8"/>
    <w:rsid w:val="00380D41"/>
    <w:rsid w:val="00380DAC"/>
    <w:rsid w:val="00381FF4"/>
    <w:rsid w:val="003823A7"/>
    <w:rsid w:val="00382E71"/>
    <w:rsid w:val="00382F78"/>
    <w:rsid w:val="0038304E"/>
    <w:rsid w:val="003839D0"/>
    <w:rsid w:val="00383A45"/>
    <w:rsid w:val="0038410B"/>
    <w:rsid w:val="003845B1"/>
    <w:rsid w:val="0038468B"/>
    <w:rsid w:val="00384EBB"/>
    <w:rsid w:val="0038551E"/>
    <w:rsid w:val="003857FC"/>
    <w:rsid w:val="00385F2A"/>
    <w:rsid w:val="00385FB9"/>
    <w:rsid w:val="00386521"/>
    <w:rsid w:val="0038687D"/>
    <w:rsid w:val="003869BF"/>
    <w:rsid w:val="00387211"/>
    <w:rsid w:val="0038736A"/>
    <w:rsid w:val="00387E1F"/>
    <w:rsid w:val="00390951"/>
    <w:rsid w:val="00390A2F"/>
    <w:rsid w:val="00390D11"/>
    <w:rsid w:val="00391604"/>
    <w:rsid w:val="003919EF"/>
    <w:rsid w:val="00391C6E"/>
    <w:rsid w:val="0039233C"/>
    <w:rsid w:val="00392730"/>
    <w:rsid w:val="00392DA9"/>
    <w:rsid w:val="00393F75"/>
    <w:rsid w:val="0039489A"/>
    <w:rsid w:val="003948C1"/>
    <w:rsid w:val="00394F05"/>
    <w:rsid w:val="00395215"/>
    <w:rsid w:val="00396356"/>
    <w:rsid w:val="0039741F"/>
    <w:rsid w:val="003975CB"/>
    <w:rsid w:val="003976FF"/>
    <w:rsid w:val="00397775"/>
    <w:rsid w:val="00397813"/>
    <w:rsid w:val="00397EBC"/>
    <w:rsid w:val="00397F29"/>
    <w:rsid w:val="003A0749"/>
    <w:rsid w:val="003A0FC0"/>
    <w:rsid w:val="003A11F8"/>
    <w:rsid w:val="003A1DFE"/>
    <w:rsid w:val="003A1EBE"/>
    <w:rsid w:val="003A289A"/>
    <w:rsid w:val="003A2C62"/>
    <w:rsid w:val="003A2DB9"/>
    <w:rsid w:val="003A32D6"/>
    <w:rsid w:val="003A3E48"/>
    <w:rsid w:val="003A4447"/>
    <w:rsid w:val="003A464A"/>
    <w:rsid w:val="003A517B"/>
    <w:rsid w:val="003A5446"/>
    <w:rsid w:val="003A54A1"/>
    <w:rsid w:val="003A56D7"/>
    <w:rsid w:val="003A5B1D"/>
    <w:rsid w:val="003A728C"/>
    <w:rsid w:val="003A7BEC"/>
    <w:rsid w:val="003B03B9"/>
    <w:rsid w:val="003B05C3"/>
    <w:rsid w:val="003B086C"/>
    <w:rsid w:val="003B0C5E"/>
    <w:rsid w:val="003B25C3"/>
    <w:rsid w:val="003B2779"/>
    <w:rsid w:val="003B3192"/>
    <w:rsid w:val="003B3224"/>
    <w:rsid w:val="003B3856"/>
    <w:rsid w:val="003B39D1"/>
    <w:rsid w:val="003B559A"/>
    <w:rsid w:val="003B55AC"/>
    <w:rsid w:val="003B58C3"/>
    <w:rsid w:val="003B58E0"/>
    <w:rsid w:val="003B5B4C"/>
    <w:rsid w:val="003B5E35"/>
    <w:rsid w:val="003B6136"/>
    <w:rsid w:val="003B63E1"/>
    <w:rsid w:val="003B69D9"/>
    <w:rsid w:val="003B6A7B"/>
    <w:rsid w:val="003B7CC7"/>
    <w:rsid w:val="003B7DB7"/>
    <w:rsid w:val="003C008B"/>
    <w:rsid w:val="003C0319"/>
    <w:rsid w:val="003C092B"/>
    <w:rsid w:val="003C0C63"/>
    <w:rsid w:val="003C110F"/>
    <w:rsid w:val="003C1DC8"/>
    <w:rsid w:val="003C1ED1"/>
    <w:rsid w:val="003C281C"/>
    <w:rsid w:val="003C4C83"/>
    <w:rsid w:val="003C4DA7"/>
    <w:rsid w:val="003C5158"/>
    <w:rsid w:val="003C5C29"/>
    <w:rsid w:val="003C65ED"/>
    <w:rsid w:val="003C66DE"/>
    <w:rsid w:val="003C6DD1"/>
    <w:rsid w:val="003C702D"/>
    <w:rsid w:val="003C744F"/>
    <w:rsid w:val="003C7D76"/>
    <w:rsid w:val="003D0814"/>
    <w:rsid w:val="003D16C5"/>
    <w:rsid w:val="003D1A89"/>
    <w:rsid w:val="003D1F59"/>
    <w:rsid w:val="003D262F"/>
    <w:rsid w:val="003D2E14"/>
    <w:rsid w:val="003D30CE"/>
    <w:rsid w:val="003D35F7"/>
    <w:rsid w:val="003D4BFC"/>
    <w:rsid w:val="003D511F"/>
    <w:rsid w:val="003D51B7"/>
    <w:rsid w:val="003D5813"/>
    <w:rsid w:val="003D5A69"/>
    <w:rsid w:val="003D6751"/>
    <w:rsid w:val="003D6F8D"/>
    <w:rsid w:val="003E027A"/>
    <w:rsid w:val="003E1190"/>
    <w:rsid w:val="003E1329"/>
    <w:rsid w:val="003E1467"/>
    <w:rsid w:val="003E1B67"/>
    <w:rsid w:val="003E2317"/>
    <w:rsid w:val="003E27DA"/>
    <w:rsid w:val="003E2B44"/>
    <w:rsid w:val="003E2E7E"/>
    <w:rsid w:val="003E2FAB"/>
    <w:rsid w:val="003E3202"/>
    <w:rsid w:val="003E3737"/>
    <w:rsid w:val="003E38CA"/>
    <w:rsid w:val="003E3EE4"/>
    <w:rsid w:val="003E3F15"/>
    <w:rsid w:val="003E4BB5"/>
    <w:rsid w:val="003E4D28"/>
    <w:rsid w:val="003E50A9"/>
    <w:rsid w:val="003E5896"/>
    <w:rsid w:val="003E58C5"/>
    <w:rsid w:val="003E59EF"/>
    <w:rsid w:val="003E5F3B"/>
    <w:rsid w:val="003E6175"/>
    <w:rsid w:val="003E6CE1"/>
    <w:rsid w:val="003F014B"/>
    <w:rsid w:val="003F0965"/>
    <w:rsid w:val="003F0DB7"/>
    <w:rsid w:val="003F0E1A"/>
    <w:rsid w:val="003F108A"/>
    <w:rsid w:val="003F10B2"/>
    <w:rsid w:val="003F1601"/>
    <w:rsid w:val="003F193C"/>
    <w:rsid w:val="003F1C5E"/>
    <w:rsid w:val="003F20D8"/>
    <w:rsid w:val="003F22F1"/>
    <w:rsid w:val="003F2747"/>
    <w:rsid w:val="003F28A7"/>
    <w:rsid w:val="003F3372"/>
    <w:rsid w:val="003F4ABB"/>
    <w:rsid w:val="003F4E0D"/>
    <w:rsid w:val="003F5153"/>
    <w:rsid w:val="003F5787"/>
    <w:rsid w:val="003F59AD"/>
    <w:rsid w:val="003F63A8"/>
    <w:rsid w:val="003F7C71"/>
    <w:rsid w:val="003F7E50"/>
    <w:rsid w:val="00400395"/>
    <w:rsid w:val="00400441"/>
    <w:rsid w:val="00400644"/>
    <w:rsid w:val="0040086E"/>
    <w:rsid w:val="00400B81"/>
    <w:rsid w:val="0040136E"/>
    <w:rsid w:val="00402311"/>
    <w:rsid w:val="00402BA1"/>
    <w:rsid w:val="00403546"/>
    <w:rsid w:val="004041A9"/>
    <w:rsid w:val="00404B1C"/>
    <w:rsid w:val="00404D36"/>
    <w:rsid w:val="004050EA"/>
    <w:rsid w:val="00405F98"/>
    <w:rsid w:val="0040615D"/>
    <w:rsid w:val="00406E5B"/>
    <w:rsid w:val="004072B9"/>
    <w:rsid w:val="00407546"/>
    <w:rsid w:val="00407978"/>
    <w:rsid w:val="00407EF9"/>
    <w:rsid w:val="00410704"/>
    <w:rsid w:val="00410DE8"/>
    <w:rsid w:val="004113D5"/>
    <w:rsid w:val="0041163C"/>
    <w:rsid w:val="00411AF6"/>
    <w:rsid w:val="00411B58"/>
    <w:rsid w:val="00412171"/>
    <w:rsid w:val="00412397"/>
    <w:rsid w:val="00413219"/>
    <w:rsid w:val="004132B3"/>
    <w:rsid w:val="00414076"/>
    <w:rsid w:val="00414217"/>
    <w:rsid w:val="00414297"/>
    <w:rsid w:val="00414686"/>
    <w:rsid w:val="00414751"/>
    <w:rsid w:val="00414A15"/>
    <w:rsid w:val="00414E05"/>
    <w:rsid w:val="0041552A"/>
    <w:rsid w:val="0041570B"/>
    <w:rsid w:val="004161C3"/>
    <w:rsid w:val="004161E1"/>
    <w:rsid w:val="00416DD7"/>
    <w:rsid w:val="0041793D"/>
    <w:rsid w:val="0042033A"/>
    <w:rsid w:val="00420513"/>
    <w:rsid w:val="00420AE5"/>
    <w:rsid w:val="00420AFB"/>
    <w:rsid w:val="00421821"/>
    <w:rsid w:val="00421C98"/>
    <w:rsid w:val="00421D90"/>
    <w:rsid w:val="00422345"/>
    <w:rsid w:val="00422B14"/>
    <w:rsid w:val="004231AC"/>
    <w:rsid w:val="00423CAC"/>
    <w:rsid w:val="00423F41"/>
    <w:rsid w:val="0042417C"/>
    <w:rsid w:val="00424273"/>
    <w:rsid w:val="004248CA"/>
    <w:rsid w:val="00424959"/>
    <w:rsid w:val="00425E38"/>
    <w:rsid w:val="004260C2"/>
    <w:rsid w:val="00426427"/>
    <w:rsid w:val="00426F5B"/>
    <w:rsid w:val="00427AAA"/>
    <w:rsid w:val="00427CBA"/>
    <w:rsid w:val="004305DB"/>
    <w:rsid w:val="004314AE"/>
    <w:rsid w:val="00431990"/>
    <w:rsid w:val="00431B97"/>
    <w:rsid w:val="00432078"/>
    <w:rsid w:val="0043215C"/>
    <w:rsid w:val="00432D53"/>
    <w:rsid w:val="00432DB7"/>
    <w:rsid w:val="004334F8"/>
    <w:rsid w:val="004335FD"/>
    <w:rsid w:val="004343BA"/>
    <w:rsid w:val="00434862"/>
    <w:rsid w:val="00434ADC"/>
    <w:rsid w:val="00434DB8"/>
    <w:rsid w:val="00435626"/>
    <w:rsid w:val="0043573F"/>
    <w:rsid w:val="00435A8A"/>
    <w:rsid w:val="00435B78"/>
    <w:rsid w:val="00435B9C"/>
    <w:rsid w:val="00435C4D"/>
    <w:rsid w:val="0043627D"/>
    <w:rsid w:val="00436732"/>
    <w:rsid w:val="00436963"/>
    <w:rsid w:val="00436C40"/>
    <w:rsid w:val="004370B8"/>
    <w:rsid w:val="0043724E"/>
    <w:rsid w:val="00437574"/>
    <w:rsid w:val="00437832"/>
    <w:rsid w:val="00437893"/>
    <w:rsid w:val="004400C9"/>
    <w:rsid w:val="00440609"/>
    <w:rsid w:val="0044101B"/>
    <w:rsid w:val="00442F1A"/>
    <w:rsid w:val="00443384"/>
    <w:rsid w:val="00444DF0"/>
    <w:rsid w:val="004454B9"/>
    <w:rsid w:val="004468D4"/>
    <w:rsid w:val="00446933"/>
    <w:rsid w:val="004469BC"/>
    <w:rsid w:val="00446FFD"/>
    <w:rsid w:val="004471B4"/>
    <w:rsid w:val="004472DD"/>
    <w:rsid w:val="00447458"/>
    <w:rsid w:val="00447725"/>
    <w:rsid w:val="00447C1F"/>
    <w:rsid w:val="004500ED"/>
    <w:rsid w:val="004502D9"/>
    <w:rsid w:val="004507C3"/>
    <w:rsid w:val="0045124B"/>
    <w:rsid w:val="00451ACA"/>
    <w:rsid w:val="00452283"/>
    <w:rsid w:val="004522EC"/>
    <w:rsid w:val="004526C5"/>
    <w:rsid w:val="00452B2D"/>
    <w:rsid w:val="00453270"/>
    <w:rsid w:val="004539FA"/>
    <w:rsid w:val="004544F1"/>
    <w:rsid w:val="00456191"/>
    <w:rsid w:val="004562A9"/>
    <w:rsid w:val="004562D3"/>
    <w:rsid w:val="004564C0"/>
    <w:rsid w:val="00456530"/>
    <w:rsid w:val="00456F03"/>
    <w:rsid w:val="00456F6B"/>
    <w:rsid w:val="0045786B"/>
    <w:rsid w:val="00457F58"/>
    <w:rsid w:val="00460FAE"/>
    <w:rsid w:val="004615F6"/>
    <w:rsid w:val="00461A0A"/>
    <w:rsid w:val="004627B4"/>
    <w:rsid w:val="004640FB"/>
    <w:rsid w:val="004644A9"/>
    <w:rsid w:val="00464706"/>
    <w:rsid w:val="00464A74"/>
    <w:rsid w:val="00465302"/>
    <w:rsid w:val="0046535E"/>
    <w:rsid w:val="00465552"/>
    <w:rsid w:val="00465FFA"/>
    <w:rsid w:val="004666DC"/>
    <w:rsid w:val="0046715D"/>
    <w:rsid w:val="00467A13"/>
    <w:rsid w:val="0047020C"/>
    <w:rsid w:val="00470622"/>
    <w:rsid w:val="00470B28"/>
    <w:rsid w:val="00470F37"/>
    <w:rsid w:val="0047179C"/>
    <w:rsid w:val="00471A51"/>
    <w:rsid w:val="004720BB"/>
    <w:rsid w:val="004721E0"/>
    <w:rsid w:val="00472262"/>
    <w:rsid w:val="00472875"/>
    <w:rsid w:val="00472A47"/>
    <w:rsid w:val="00472ACC"/>
    <w:rsid w:val="004731FA"/>
    <w:rsid w:val="004735BE"/>
    <w:rsid w:val="00473AAF"/>
    <w:rsid w:val="00473BC0"/>
    <w:rsid w:val="00473E32"/>
    <w:rsid w:val="00474E5B"/>
    <w:rsid w:val="00475B89"/>
    <w:rsid w:val="0047603A"/>
    <w:rsid w:val="004770FE"/>
    <w:rsid w:val="004771D5"/>
    <w:rsid w:val="00477C0A"/>
    <w:rsid w:val="0048021C"/>
    <w:rsid w:val="004802E4"/>
    <w:rsid w:val="004813AC"/>
    <w:rsid w:val="004817B7"/>
    <w:rsid w:val="00481D0E"/>
    <w:rsid w:val="00482313"/>
    <w:rsid w:val="00482A0F"/>
    <w:rsid w:val="00482D52"/>
    <w:rsid w:val="00482F42"/>
    <w:rsid w:val="00483725"/>
    <w:rsid w:val="00484558"/>
    <w:rsid w:val="004848B8"/>
    <w:rsid w:val="00485190"/>
    <w:rsid w:val="0048564F"/>
    <w:rsid w:val="00485760"/>
    <w:rsid w:val="00485C06"/>
    <w:rsid w:val="00485D59"/>
    <w:rsid w:val="004868E0"/>
    <w:rsid w:val="00486E62"/>
    <w:rsid w:val="00491440"/>
    <w:rsid w:val="00491C25"/>
    <w:rsid w:val="00491C92"/>
    <w:rsid w:val="0049235F"/>
    <w:rsid w:val="00493025"/>
    <w:rsid w:val="0049313B"/>
    <w:rsid w:val="00493254"/>
    <w:rsid w:val="00493429"/>
    <w:rsid w:val="004935BD"/>
    <w:rsid w:val="00493707"/>
    <w:rsid w:val="004937CD"/>
    <w:rsid w:val="00494627"/>
    <w:rsid w:val="00494BC4"/>
    <w:rsid w:val="00494C90"/>
    <w:rsid w:val="00495133"/>
    <w:rsid w:val="004961F1"/>
    <w:rsid w:val="00496A9C"/>
    <w:rsid w:val="00496C27"/>
    <w:rsid w:val="00497F50"/>
    <w:rsid w:val="004A0338"/>
    <w:rsid w:val="004A04BC"/>
    <w:rsid w:val="004A1315"/>
    <w:rsid w:val="004A1A5B"/>
    <w:rsid w:val="004A2014"/>
    <w:rsid w:val="004A25BE"/>
    <w:rsid w:val="004A3C3D"/>
    <w:rsid w:val="004A3ECD"/>
    <w:rsid w:val="004A4029"/>
    <w:rsid w:val="004A4855"/>
    <w:rsid w:val="004A4DF6"/>
    <w:rsid w:val="004A5221"/>
    <w:rsid w:val="004A5455"/>
    <w:rsid w:val="004A5DE6"/>
    <w:rsid w:val="004A61EE"/>
    <w:rsid w:val="004A6810"/>
    <w:rsid w:val="004A683E"/>
    <w:rsid w:val="004A7913"/>
    <w:rsid w:val="004B03F1"/>
    <w:rsid w:val="004B075E"/>
    <w:rsid w:val="004B1BA7"/>
    <w:rsid w:val="004B22B4"/>
    <w:rsid w:val="004B2481"/>
    <w:rsid w:val="004B2B04"/>
    <w:rsid w:val="004B2F41"/>
    <w:rsid w:val="004B38E6"/>
    <w:rsid w:val="004B42E2"/>
    <w:rsid w:val="004B42FC"/>
    <w:rsid w:val="004B4344"/>
    <w:rsid w:val="004B43EB"/>
    <w:rsid w:val="004B46CC"/>
    <w:rsid w:val="004B591D"/>
    <w:rsid w:val="004B6D6A"/>
    <w:rsid w:val="004B7211"/>
    <w:rsid w:val="004B782B"/>
    <w:rsid w:val="004B78BB"/>
    <w:rsid w:val="004C03AE"/>
    <w:rsid w:val="004C0BC2"/>
    <w:rsid w:val="004C0DFD"/>
    <w:rsid w:val="004C2447"/>
    <w:rsid w:val="004C2654"/>
    <w:rsid w:val="004C2EC8"/>
    <w:rsid w:val="004C3564"/>
    <w:rsid w:val="004C3891"/>
    <w:rsid w:val="004C3960"/>
    <w:rsid w:val="004C4138"/>
    <w:rsid w:val="004C43C4"/>
    <w:rsid w:val="004C4848"/>
    <w:rsid w:val="004C4D21"/>
    <w:rsid w:val="004C5211"/>
    <w:rsid w:val="004C52F6"/>
    <w:rsid w:val="004C5437"/>
    <w:rsid w:val="004C57BB"/>
    <w:rsid w:val="004C5C05"/>
    <w:rsid w:val="004C6E37"/>
    <w:rsid w:val="004C6EC5"/>
    <w:rsid w:val="004C7B31"/>
    <w:rsid w:val="004C7FEB"/>
    <w:rsid w:val="004D095D"/>
    <w:rsid w:val="004D11DA"/>
    <w:rsid w:val="004D1326"/>
    <w:rsid w:val="004D1757"/>
    <w:rsid w:val="004D1843"/>
    <w:rsid w:val="004D185A"/>
    <w:rsid w:val="004D1863"/>
    <w:rsid w:val="004D1E4B"/>
    <w:rsid w:val="004D2050"/>
    <w:rsid w:val="004D2454"/>
    <w:rsid w:val="004D25F6"/>
    <w:rsid w:val="004D2979"/>
    <w:rsid w:val="004D2DE0"/>
    <w:rsid w:val="004D31D0"/>
    <w:rsid w:val="004D370E"/>
    <w:rsid w:val="004D4A79"/>
    <w:rsid w:val="004D4FD1"/>
    <w:rsid w:val="004D5AFF"/>
    <w:rsid w:val="004D5CA8"/>
    <w:rsid w:val="004D60E8"/>
    <w:rsid w:val="004D6435"/>
    <w:rsid w:val="004D66D8"/>
    <w:rsid w:val="004D6985"/>
    <w:rsid w:val="004D6A42"/>
    <w:rsid w:val="004D6C4C"/>
    <w:rsid w:val="004D6E4E"/>
    <w:rsid w:val="004D6E7A"/>
    <w:rsid w:val="004D70FF"/>
    <w:rsid w:val="004D71B8"/>
    <w:rsid w:val="004D7221"/>
    <w:rsid w:val="004D7970"/>
    <w:rsid w:val="004D7B54"/>
    <w:rsid w:val="004E012F"/>
    <w:rsid w:val="004E0333"/>
    <w:rsid w:val="004E044F"/>
    <w:rsid w:val="004E0A1B"/>
    <w:rsid w:val="004E0D49"/>
    <w:rsid w:val="004E110A"/>
    <w:rsid w:val="004E201A"/>
    <w:rsid w:val="004E20A0"/>
    <w:rsid w:val="004E2689"/>
    <w:rsid w:val="004E3545"/>
    <w:rsid w:val="004E5ABE"/>
    <w:rsid w:val="004E7571"/>
    <w:rsid w:val="004E7AAF"/>
    <w:rsid w:val="004F03F7"/>
    <w:rsid w:val="004F0447"/>
    <w:rsid w:val="004F0619"/>
    <w:rsid w:val="004F152C"/>
    <w:rsid w:val="004F1BF0"/>
    <w:rsid w:val="004F2367"/>
    <w:rsid w:val="004F2552"/>
    <w:rsid w:val="004F3100"/>
    <w:rsid w:val="004F32DE"/>
    <w:rsid w:val="004F379B"/>
    <w:rsid w:val="004F5112"/>
    <w:rsid w:val="004F5A40"/>
    <w:rsid w:val="004F6621"/>
    <w:rsid w:val="004F7BB4"/>
    <w:rsid w:val="004F7EF4"/>
    <w:rsid w:val="004F7FBA"/>
    <w:rsid w:val="0050005E"/>
    <w:rsid w:val="005005E4"/>
    <w:rsid w:val="00501BFA"/>
    <w:rsid w:val="00501D3F"/>
    <w:rsid w:val="00501DE6"/>
    <w:rsid w:val="00501E76"/>
    <w:rsid w:val="00502979"/>
    <w:rsid w:val="00503192"/>
    <w:rsid w:val="0050319A"/>
    <w:rsid w:val="005035D7"/>
    <w:rsid w:val="00503729"/>
    <w:rsid w:val="00503D02"/>
    <w:rsid w:val="00503F97"/>
    <w:rsid w:val="00504301"/>
    <w:rsid w:val="005044E5"/>
    <w:rsid w:val="00504E1B"/>
    <w:rsid w:val="00504EA4"/>
    <w:rsid w:val="00504EBE"/>
    <w:rsid w:val="005052A5"/>
    <w:rsid w:val="005055B9"/>
    <w:rsid w:val="005059B2"/>
    <w:rsid w:val="00505A29"/>
    <w:rsid w:val="0050641F"/>
    <w:rsid w:val="00506507"/>
    <w:rsid w:val="005065EA"/>
    <w:rsid w:val="005070E4"/>
    <w:rsid w:val="00507A54"/>
    <w:rsid w:val="00507BF2"/>
    <w:rsid w:val="00507CEA"/>
    <w:rsid w:val="00510857"/>
    <w:rsid w:val="005109D5"/>
    <w:rsid w:val="00510BA0"/>
    <w:rsid w:val="00510BFF"/>
    <w:rsid w:val="00511080"/>
    <w:rsid w:val="00511381"/>
    <w:rsid w:val="0051147F"/>
    <w:rsid w:val="00511DA3"/>
    <w:rsid w:val="00511EB2"/>
    <w:rsid w:val="00511F71"/>
    <w:rsid w:val="005122DF"/>
    <w:rsid w:val="0051242F"/>
    <w:rsid w:val="00512519"/>
    <w:rsid w:val="00512585"/>
    <w:rsid w:val="005129EA"/>
    <w:rsid w:val="00512BAB"/>
    <w:rsid w:val="005135ED"/>
    <w:rsid w:val="005144B2"/>
    <w:rsid w:val="0051508A"/>
    <w:rsid w:val="005150F4"/>
    <w:rsid w:val="0051575F"/>
    <w:rsid w:val="005157EB"/>
    <w:rsid w:val="00515802"/>
    <w:rsid w:val="00515D53"/>
    <w:rsid w:val="00515DEA"/>
    <w:rsid w:val="0051615A"/>
    <w:rsid w:val="0051629A"/>
    <w:rsid w:val="00516F4C"/>
    <w:rsid w:val="0051733D"/>
    <w:rsid w:val="00517C65"/>
    <w:rsid w:val="00517ED4"/>
    <w:rsid w:val="0052081A"/>
    <w:rsid w:val="00520945"/>
    <w:rsid w:val="005220C3"/>
    <w:rsid w:val="005221AC"/>
    <w:rsid w:val="0052232D"/>
    <w:rsid w:val="00522592"/>
    <w:rsid w:val="00522992"/>
    <w:rsid w:val="00522AC7"/>
    <w:rsid w:val="00522CFB"/>
    <w:rsid w:val="00522F0B"/>
    <w:rsid w:val="005231D4"/>
    <w:rsid w:val="005239E0"/>
    <w:rsid w:val="00523B9A"/>
    <w:rsid w:val="005244CC"/>
    <w:rsid w:val="00524AC7"/>
    <w:rsid w:val="00524C41"/>
    <w:rsid w:val="00524D8C"/>
    <w:rsid w:val="00525232"/>
    <w:rsid w:val="005253C3"/>
    <w:rsid w:val="00525CF5"/>
    <w:rsid w:val="005261C9"/>
    <w:rsid w:val="00526516"/>
    <w:rsid w:val="0052725D"/>
    <w:rsid w:val="00527321"/>
    <w:rsid w:val="005276B1"/>
    <w:rsid w:val="0053063B"/>
    <w:rsid w:val="00530789"/>
    <w:rsid w:val="00530A32"/>
    <w:rsid w:val="00530D93"/>
    <w:rsid w:val="00531DA7"/>
    <w:rsid w:val="00531EBA"/>
    <w:rsid w:val="00532059"/>
    <w:rsid w:val="005320B8"/>
    <w:rsid w:val="005324B6"/>
    <w:rsid w:val="00533C01"/>
    <w:rsid w:val="00533D5D"/>
    <w:rsid w:val="005348C8"/>
    <w:rsid w:val="00534A47"/>
    <w:rsid w:val="00534B26"/>
    <w:rsid w:val="00534B31"/>
    <w:rsid w:val="00534C20"/>
    <w:rsid w:val="00535465"/>
    <w:rsid w:val="005354C0"/>
    <w:rsid w:val="00535CDA"/>
    <w:rsid w:val="00536500"/>
    <w:rsid w:val="00536A4A"/>
    <w:rsid w:val="00537206"/>
    <w:rsid w:val="005376EF"/>
    <w:rsid w:val="00537AD3"/>
    <w:rsid w:val="00537E9D"/>
    <w:rsid w:val="0054036B"/>
    <w:rsid w:val="00540452"/>
    <w:rsid w:val="00540887"/>
    <w:rsid w:val="00540909"/>
    <w:rsid w:val="0054194E"/>
    <w:rsid w:val="00541B54"/>
    <w:rsid w:val="00543076"/>
    <w:rsid w:val="005431B6"/>
    <w:rsid w:val="0054352E"/>
    <w:rsid w:val="00543E4A"/>
    <w:rsid w:val="00544015"/>
    <w:rsid w:val="00544673"/>
    <w:rsid w:val="00544BB6"/>
    <w:rsid w:val="00544E0C"/>
    <w:rsid w:val="00545670"/>
    <w:rsid w:val="00545C2E"/>
    <w:rsid w:val="00546441"/>
    <w:rsid w:val="00546629"/>
    <w:rsid w:val="00547677"/>
    <w:rsid w:val="005479EF"/>
    <w:rsid w:val="00547C5D"/>
    <w:rsid w:val="005501A3"/>
    <w:rsid w:val="005501CD"/>
    <w:rsid w:val="0055150E"/>
    <w:rsid w:val="00551592"/>
    <w:rsid w:val="005517EF"/>
    <w:rsid w:val="00551D6F"/>
    <w:rsid w:val="00552414"/>
    <w:rsid w:val="0055265E"/>
    <w:rsid w:val="00552703"/>
    <w:rsid w:val="0055276A"/>
    <w:rsid w:val="00553405"/>
    <w:rsid w:val="00553686"/>
    <w:rsid w:val="00555D82"/>
    <w:rsid w:val="00556541"/>
    <w:rsid w:val="00556B7A"/>
    <w:rsid w:val="00557484"/>
    <w:rsid w:val="005575B4"/>
    <w:rsid w:val="0055798B"/>
    <w:rsid w:val="00557AD6"/>
    <w:rsid w:val="00557BE7"/>
    <w:rsid w:val="00560045"/>
    <w:rsid w:val="0056075B"/>
    <w:rsid w:val="00560769"/>
    <w:rsid w:val="00560D3B"/>
    <w:rsid w:val="00560E2A"/>
    <w:rsid w:val="00561160"/>
    <w:rsid w:val="005612ED"/>
    <w:rsid w:val="00561532"/>
    <w:rsid w:val="005616C6"/>
    <w:rsid w:val="00561D0E"/>
    <w:rsid w:val="0056210F"/>
    <w:rsid w:val="0056264A"/>
    <w:rsid w:val="00562F07"/>
    <w:rsid w:val="0056352E"/>
    <w:rsid w:val="0056380C"/>
    <w:rsid w:val="00563A1B"/>
    <w:rsid w:val="00563EC8"/>
    <w:rsid w:val="0056442A"/>
    <w:rsid w:val="00565A20"/>
    <w:rsid w:val="00565FBE"/>
    <w:rsid w:val="00566621"/>
    <w:rsid w:val="00567467"/>
    <w:rsid w:val="00567AE9"/>
    <w:rsid w:val="00567E39"/>
    <w:rsid w:val="0057002A"/>
    <w:rsid w:val="005709CC"/>
    <w:rsid w:val="00570C82"/>
    <w:rsid w:val="00570D7C"/>
    <w:rsid w:val="0057121D"/>
    <w:rsid w:val="0057142C"/>
    <w:rsid w:val="005716DF"/>
    <w:rsid w:val="0057257F"/>
    <w:rsid w:val="00572975"/>
    <w:rsid w:val="005731AF"/>
    <w:rsid w:val="00573489"/>
    <w:rsid w:val="005736F1"/>
    <w:rsid w:val="005740F4"/>
    <w:rsid w:val="005746C1"/>
    <w:rsid w:val="00574754"/>
    <w:rsid w:val="00574F7C"/>
    <w:rsid w:val="005751CF"/>
    <w:rsid w:val="00575408"/>
    <w:rsid w:val="0057611B"/>
    <w:rsid w:val="0057676C"/>
    <w:rsid w:val="0057681B"/>
    <w:rsid w:val="00576BE2"/>
    <w:rsid w:val="00577340"/>
    <w:rsid w:val="00580ABB"/>
    <w:rsid w:val="0058120D"/>
    <w:rsid w:val="00581285"/>
    <w:rsid w:val="00581384"/>
    <w:rsid w:val="0058145E"/>
    <w:rsid w:val="00583364"/>
    <w:rsid w:val="005833B5"/>
    <w:rsid w:val="005836B3"/>
    <w:rsid w:val="0058415F"/>
    <w:rsid w:val="005845B9"/>
    <w:rsid w:val="00584CDC"/>
    <w:rsid w:val="00585B21"/>
    <w:rsid w:val="00585E4C"/>
    <w:rsid w:val="00585ECC"/>
    <w:rsid w:val="005873B4"/>
    <w:rsid w:val="00587429"/>
    <w:rsid w:val="00587DDA"/>
    <w:rsid w:val="00590167"/>
    <w:rsid w:val="005919AD"/>
    <w:rsid w:val="00591AB0"/>
    <w:rsid w:val="00594195"/>
    <w:rsid w:val="005942E8"/>
    <w:rsid w:val="0059438B"/>
    <w:rsid w:val="00594D03"/>
    <w:rsid w:val="0059524A"/>
    <w:rsid w:val="00595344"/>
    <w:rsid w:val="005957BA"/>
    <w:rsid w:val="005964EF"/>
    <w:rsid w:val="005968C8"/>
    <w:rsid w:val="005974D1"/>
    <w:rsid w:val="00597647"/>
    <w:rsid w:val="00597BB9"/>
    <w:rsid w:val="005A0A31"/>
    <w:rsid w:val="005A0F15"/>
    <w:rsid w:val="005A176F"/>
    <w:rsid w:val="005A1882"/>
    <w:rsid w:val="005A1985"/>
    <w:rsid w:val="005A1DEB"/>
    <w:rsid w:val="005A1FAD"/>
    <w:rsid w:val="005A2CC4"/>
    <w:rsid w:val="005A2E4C"/>
    <w:rsid w:val="005A3148"/>
    <w:rsid w:val="005A3868"/>
    <w:rsid w:val="005A3A77"/>
    <w:rsid w:val="005A4342"/>
    <w:rsid w:val="005A43CF"/>
    <w:rsid w:val="005A46D2"/>
    <w:rsid w:val="005A4CBC"/>
    <w:rsid w:val="005A5484"/>
    <w:rsid w:val="005A554F"/>
    <w:rsid w:val="005A56C8"/>
    <w:rsid w:val="005A5C2C"/>
    <w:rsid w:val="005A5E84"/>
    <w:rsid w:val="005A61FE"/>
    <w:rsid w:val="005A638E"/>
    <w:rsid w:val="005A6B21"/>
    <w:rsid w:val="005A6F07"/>
    <w:rsid w:val="005A703E"/>
    <w:rsid w:val="005A718C"/>
    <w:rsid w:val="005A71AC"/>
    <w:rsid w:val="005A757B"/>
    <w:rsid w:val="005A7823"/>
    <w:rsid w:val="005A7DA9"/>
    <w:rsid w:val="005A7FC9"/>
    <w:rsid w:val="005B06BE"/>
    <w:rsid w:val="005B0724"/>
    <w:rsid w:val="005B0ABC"/>
    <w:rsid w:val="005B0D39"/>
    <w:rsid w:val="005B106C"/>
    <w:rsid w:val="005B158E"/>
    <w:rsid w:val="005B16A9"/>
    <w:rsid w:val="005B1C9E"/>
    <w:rsid w:val="005B1EE4"/>
    <w:rsid w:val="005B225D"/>
    <w:rsid w:val="005B3350"/>
    <w:rsid w:val="005B3D97"/>
    <w:rsid w:val="005B3FC4"/>
    <w:rsid w:val="005B4D53"/>
    <w:rsid w:val="005B50B1"/>
    <w:rsid w:val="005B55F5"/>
    <w:rsid w:val="005B5694"/>
    <w:rsid w:val="005B6333"/>
    <w:rsid w:val="005B66CF"/>
    <w:rsid w:val="005B704D"/>
    <w:rsid w:val="005B708B"/>
    <w:rsid w:val="005B718B"/>
    <w:rsid w:val="005B78B8"/>
    <w:rsid w:val="005C0905"/>
    <w:rsid w:val="005C153D"/>
    <w:rsid w:val="005C171C"/>
    <w:rsid w:val="005C1D0A"/>
    <w:rsid w:val="005C1D63"/>
    <w:rsid w:val="005C249E"/>
    <w:rsid w:val="005C3C27"/>
    <w:rsid w:val="005C3FF5"/>
    <w:rsid w:val="005C45BE"/>
    <w:rsid w:val="005C463B"/>
    <w:rsid w:val="005C4E2E"/>
    <w:rsid w:val="005C506D"/>
    <w:rsid w:val="005C5A1C"/>
    <w:rsid w:val="005C67AA"/>
    <w:rsid w:val="005C69D7"/>
    <w:rsid w:val="005C7606"/>
    <w:rsid w:val="005C7B53"/>
    <w:rsid w:val="005C7C55"/>
    <w:rsid w:val="005D023C"/>
    <w:rsid w:val="005D09CC"/>
    <w:rsid w:val="005D0DDE"/>
    <w:rsid w:val="005D1194"/>
    <w:rsid w:val="005D12D8"/>
    <w:rsid w:val="005D131C"/>
    <w:rsid w:val="005D17AC"/>
    <w:rsid w:val="005D27D3"/>
    <w:rsid w:val="005D2B05"/>
    <w:rsid w:val="005D4580"/>
    <w:rsid w:val="005D466A"/>
    <w:rsid w:val="005D491E"/>
    <w:rsid w:val="005D5202"/>
    <w:rsid w:val="005D569B"/>
    <w:rsid w:val="005D5F2F"/>
    <w:rsid w:val="005D63DA"/>
    <w:rsid w:val="005D6651"/>
    <w:rsid w:val="005D66F8"/>
    <w:rsid w:val="005D6706"/>
    <w:rsid w:val="005D6A99"/>
    <w:rsid w:val="005D6F32"/>
    <w:rsid w:val="005D71F6"/>
    <w:rsid w:val="005D74C5"/>
    <w:rsid w:val="005D74EA"/>
    <w:rsid w:val="005D773E"/>
    <w:rsid w:val="005D7C66"/>
    <w:rsid w:val="005E024E"/>
    <w:rsid w:val="005E0977"/>
    <w:rsid w:val="005E121A"/>
    <w:rsid w:val="005E13AC"/>
    <w:rsid w:val="005E1E0A"/>
    <w:rsid w:val="005E200C"/>
    <w:rsid w:val="005E2427"/>
    <w:rsid w:val="005E2710"/>
    <w:rsid w:val="005E2B78"/>
    <w:rsid w:val="005E4D03"/>
    <w:rsid w:val="005E4EBF"/>
    <w:rsid w:val="005E555A"/>
    <w:rsid w:val="005E5C71"/>
    <w:rsid w:val="005E5CE6"/>
    <w:rsid w:val="005E5F41"/>
    <w:rsid w:val="005E61BA"/>
    <w:rsid w:val="005E62CD"/>
    <w:rsid w:val="005E669D"/>
    <w:rsid w:val="005E6C51"/>
    <w:rsid w:val="005E73C9"/>
    <w:rsid w:val="005E76C9"/>
    <w:rsid w:val="005E7A4B"/>
    <w:rsid w:val="005E7D0B"/>
    <w:rsid w:val="005F02ED"/>
    <w:rsid w:val="005F0610"/>
    <w:rsid w:val="005F10CC"/>
    <w:rsid w:val="005F1820"/>
    <w:rsid w:val="005F26B4"/>
    <w:rsid w:val="005F27D4"/>
    <w:rsid w:val="005F3084"/>
    <w:rsid w:val="005F4375"/>
    <w:rsid w:val="005F47F9"/>
    <w:rsid w:val="005F5D8E"/>
    <w:rsid w:val="005F6390"/>
    <w:rsid w:val="005F6EE1"/>
    <w:rsid w:val="005F7367"/>
    <w:rsid w:val="005F7D99"/>
    <w:rsid w:val="005F7EAB"/>
    <w:rsid w:val="0060115F"/>
    <w:rsid w:val="0060126A"/>
    <w:rsid w:val="0060143D"/>
    <w:rsid w:val="00601531"/>
    <w:rsid w:val="0060172E"/>
    <w:rsid w:val="00601D2B"/>
    <w:rsid w:val="00601EB5"/>
    <w:rsid w:val="0060228B"/>
    <w:rsid w:val="00602391"/>
    <w:rsid w:val="0060299F"/>
    <w:rsid w:val="00602A74"/>
    <w:rsid w:val="00603228"/>
    <w:rsid w:val="006035FD"/>
    <w:rsid w:val="00603B6D"/>
    <w:rsid w:val="00603E6D"/>
    <w:rsid w:val="00604389"/>
    <w:rsid w:val="00604D82"/>
    <w:rsid w:val="00605534"/>
    <w:rsid w:val="006065B4"/>
    <w:rsid w:val="00607805"/>
    <w:rsid w:val="006102B7"/>
    <w:rsid w:val="00610626"/>
    <w:rsid w:val="00610BB6"/>
    <w:rsid w:val="00612437"/>
    <w:rsid w:val="00612836"/>
    <w:rsid w:val="00612B83"/>
    <w:rsid w:val="00612CB7"/>
    <w:rsid w:val="006137DF"/>
    <w:rsid w:val="00613CCD"/>
    <w:rsid w:val="00614918"/>
    <w:rsid w:val="00614EE6"/>
    <w:rsid w:val="006152AD"/>
    <w:rsid w:val="0061558E"/>
    <w:rsid w:val="00615BB2"/>
    <w:rsid w:val="00615DA3"/>
    <w:rsid w:val="006160BB"/>
    <w:rsid w:val="00616308"/>
    <w:rsid w:val="0061666F"/>
    <w:rsid w:val="006167A6"/>
    <w:rsid w:val="00616A7E"/>
    <w:rsid w:val="00617ACC"/>
    <w:rsid w:val="006202FA"/>
    <w:rsid w:val="006206A8"/>
    <w:rsid w:val="00620712"/>
    <w:rsid w:val="00621973"/>
    <w:rsid w:val="00621A29"/>
    <w:rsid w:val="00621A5E"/>
    <w:rsid w:val="0062228A"/>
    <w:rsid w:val="00622968"/>
    <w:rsid w:val="00623153"/>
    <w:rsid w:val="00623AD5"/>
    <w:rsid w:val="00623D3F"/>
    <w:rsid w:val="006245D4"/>
    <w:rsid w:val="00624C14"/>
    <w:rsid w:val="00624E41"/>
    <w:rsid w:val="00625014"/>
    <w:rsid w:val="006257C1"/>
    <w:rsid w:val="00625C3B"/>
    <w:rsid w:val="00625D2E"/>
    <w:rsid w:val="006262A2"/>
    <w:rsid w:val="006263C4"/>
    <w:rsid w:val="00627253"/>
    <w:rsid w:val="00627AFE"/>
    <w:rsid w:val="0063006B"/>
    <w:rsid w:val="006301F8"/>
    <w:rsid w:val="006306C3"/>
    <w:rsid w:val="006312F6"/>
    <w:rsid w:val="0063139F"/>
    <w:rsid w:val="00631755"/>
    <w:rsid w:val="00631C7B"/>
    <w:rsid w:val="00632036"/>
    <w:rsid w:val="006325CD"/>
    <w:rsid w:val="00632772"/>
    <w:rsid w:val="00632E23"/>
    <w:rsid w:val="006338A3"/>
    <w:rsid w:val="00633E70"/>
    <w:rsid w:val="00633ECF"/>
    <w:rsid w:val="006349C1"/>
    <w:rsid w:val="00634D94"/>
    <w:rsid w:val="00634F1B"/>
    <w:rsid w:val="00635179"/>
    <w:rsid w:val="00635290"/>
    <w:rsid w:val="006359C6"/>
    <w:rsid w:val="0063666B"/>
    <w:rsid w:val="00637ED3"/>
    <w:rsid w:val="00640031"/>
    <w:rsid w:val="006400F8"/>
    <w:rsid w:val="006404C3"/>
    <w:rsid w:val="00640573"/>
    <w:rsid w:val="00640805"/>
    <w:rsid w:val="00640B37"/>
    <w:rsid w:val="00640FBE"/>
    <w:rsid w:val="006415E7"/>
    <w:rsid w:val="00641A19"/>
    <w:rsid w:val="00641F1E"/>
    <w:rsid w:val="0064208C"/>
    <w:rsid w:val="00642588"/>
    <w:rsid w:val="00642772"/>
    <w:rsid w:val="00642B6E"/>
    <w:rsid w:val="0064329C"/>
    <w:rsid w:val="0064359E"/>
    <w:rsid w:val="00644B4D"/>
    <w:rsid w:val="00644C36"/>
    <w:rsid w:val="00644F61"/>
    <w:rsid w:val="006453C7"/>
    <w:rsid w:val="00645645"/>
    <w:rsid w:val="00645819"/>
    <w:rsid w:val="00645DBF"/>
    <w:rsid w:val="00645E33"/>
    <w:rsid w:val="006460B7"/>
    <w:rsid w:val="006466BA"/>
    <w:rsid w:val="00646C2D"/>
    <w:rsid w:val="00646FEB"/>
    <w:rsid w:val="0064711B"/>
    <w:rsid w:val="00647313"/>
    <w:rsid w:val="006475A9"/>
    <w:rsid w:val="00647763"/>
    <w:rsid w:val="00647CA0"/>
    <w:rsid w:val="006500CD"/>
    <w:rsid w:val="00650558"/>
    <w:rsid w:val="006514FD"/>
    <w:rsid w:val="00651761"/>
    <w:rsid w:val="00651F83"/>
    <w:rsid w:val="00652375"/>
    <w:rsid w:val="006526E2"/>
    <w:rsid w:val="00652BF7"/>
    <w:rsid w:val="00652F00"/>
    <w:rsid w:val="00653185"/>
    <w:rsid w:val="0065367A"/>
    <w:rsid w:val="00654D46"/>
    <w:rsid w:val="00654E1B"/>
    <w:rsid w:val="0065558C"/>
    <w:rsid w:val="00655627"/>
    <w:rsid w:val="006557FA"/>
    <w:rsid w:val="00655C67"/>
    <w:rsid w:val="00656899"/>
    <w:rsid w:val="00656F23"/>
    <w:rsid w:val="006574CB"/>
    <w:rsid w:val="006575FA"/>
    <w:rsid w:val="006577E7"/>
    <w:rsid w:val="00657972"/>
    <w:rsid w:val="00657C85"/>
    <w:rsid w:val="00657CDA"/>
    <w:rsid w:val="00660B8B"/>
    <w:rsid w:val="0066193C"/>
    <w:rsid w:val="00661CE4"/>
    <w:rsid w:val="00661EDD"/>
    <w:rsid w:val="00662A60"/>
    <w:rsid w:val="006631F8"/>
    <w:rsid w:val="00663832"/>
    <w:rsid w:val="00663938"/>
    <w:rsid w:val="00663AC7"/>
    <w:rsid w:val="00664289"/>
    <w:rsid w:val="00664DA6"/>
    <w:rsid w:val="006654DC"/>
    <w:rsid w:val="006659EF"/>
    <w:rsid w:val="00665C7B"/>
    <w:rsid w:val="00665D2C"/>
    <w:rsid w:val="00665FDC"/>
    <w:rsid w:val="006663BD"/>
    <w:rsid w:val="006665A6"/>
    <w:rsid w:val="00667AC0"/>
    <w:rsid w:val="00670566"/>
    <w:rsid w:val="00670E88"/>
    <w:rsid w:val="00671CB0"/>
    <w:rsid w:val="00672D08"/>
    <w:rsid w:val="006731C8"/>
    <w:rsid w:val="00673313"/>
    <w:rsid w:val="0067481F"/>
    <w:rsid w:val="0067539D"/>
    <w:rsid w:val="00675622"/>
    <w:rsid w:val="00676829"/>
    <w:rsid w:val="00676904"/>
    <w:rsid w:val="006774D6"/>
    <w:rsid w:val="006776BF"/>
    <w:rsid w:val="0067794B"/>
    <w:rsid w:val="00680553"/>
    <w:rsid w:val="00680C4A"/>
    <w:rsid w:val="006818E9"/>
    <w:rsid w:val="0068193A"/>
    <w:rsid w:val="00681A42"/>
    <w:rsid w:val="00681D5F"/>
    <w:rsid w:val="00682702"/>
    <w:rsid w:val="00682B18"/>
    <w:rsid w:val="00682B70"/>
    <w:rsid w:val="0068303E"/>
    <w:rsid w:val="00683B32"/>
    <w:rsid w:val="0068448E"/>
    <w:rsid w:val="006857BE"/>
    <w:rsid w:val="00685BFB"/>
    <w:rsid w:val="00685F79"/>
    <w:rsid w:val="00686338"/>
    <w:rsid w:val="006866D2"/>
    <w:rsid w:val="00686C06"/>
    <w:rsid w:val="00686F54"/>
    <w:rsid w:val="006870F1"/>
    <w:rsid w:val="00687DDF"/>
    <w:rsid w:val="00690607"/>
    <w:rsid w:val="006906B0"/>
    <w:rsid w:val="006919FF"/>
    <w:rsid w:val="00692326"/>
    <w:rsid w:val="0069284B"/>
    <w:rsid w:val="00692875"/>
    <w:rsid w:val="0069328A"/>
    <w:rsid w:val="006932B1"/>
    <w:rsid w:val="0069337F"/>
    <w:rsid w:val="00693701"/>
    <w:rsid w:val="00693DE8"/>
    <w:rsid w:val="0069465F"/>
    <w:rsid w:val="00694BEE"/>
    <w:rsid w:val="00694C81"/>
    <w:rsid w:val="00694CF3"/>
    <w:rsid w:val="00695D5C"/>
    <w:rsid w:val="006963B1"/>
    <w:rsid w:val="006965D3"/>
    <w:rsid w:val="00696D10"/>
    <w:rsid w:val="006A000C"/>
    <w:rsid w:val="006A1314"/>
    <w:rsid w:val="006A19A3"/>
    <w:rsid w:val="006A1E63"/>
    <w:rsid w:val="006A245D"/>
    <w:rsid w:val="006A2725"/>
    <w:rsid w:val="006A29C8"/>
    <w:rsid w:val="006A29CA"/>
    <w:rsid w:val="006A2C55"/>
    <w:rsid w:val="006A383D"/>
    <w:rsid w:val="006A44EE"/>
    <w:rsid w:val="006A4B16"/>
    <w:rsid w:val="006A4C2A"/>
    <w:rsid w:val="006A4D0B"/>
    <w:rsid w:val="006A5A54"/>
    <w:rsid w:val="006A6686"/>
    <w:rsid w:val="006A66A1"/>
    <w:rsid w:val="006A6FF5"/>
    <w:rsid w:val="006B0263"/>
    <w:rsid w:val="006B11E5"/>
    <w:rsid w:val="006B11F1"/>
    <w:rsid w:val="006B12BB"/>
    <w:rsid w:val="006B15BA"/>
    <w:rsid w:val="006B1CE1"/>
    <w:rsid w:val="006B1E47"/>
    <w:rsid w:val="006B2880"/>
    <w:rsid w:val="006B2E63"/>
    <w:rsid w:val="006B30A3"/>
    <w:rsid w:val="006B35CD"/>
    <w:rsid w:val="006B377E"/>
    <w:rsid w:val="006B3D62"/>
    <w:rsid w:val="006B476A"/>
    <w:rsid w:val="006B4786"/>
    <w:rsid w:val="006B5004"/>
    <w:rsid w:val="006B56BA"/>
    <w:rsid w:val="006B57E8"/>
    <w:rsid w:val="006B5ED3"/>
    <w:rsid w:val="006B64A2"/>
    <w:rsid w:val="006B6728"/>
    <w:rsid w:val="006B6AF4"/>
    <w:rsid w:val="006B6C2E"/>
    <w:rsid w:val="006B6FFA"/>
    <w:rsid w:val="006B7666"/>
    <w:rsid w:val="006B7A1A"/>
    <w:rsid w:val="006C07D0"/>
    <w:rsid w:val="006C0A28"/>
    <w:rsid w:val="006C0D44"/>
    <w:rsid w:val="006C0E01"/>
    <w:rsid w:val="006C15B4"/>
    <w:rsid w:val="006C16E1"/>
    <w:rsid w:val="006C17EC"/>
    <w:rsid w:val="006C1A7C"/>
    <w:rsid w:val="006C1AA4"/>
    <w:rsid w:val="006C1C14"/>
    <w:rsid w:val="006C1E2C"/>
    <w:rsid w:val="006C1F11"/>
    <w:rsid w:val="006C24FB"/>
    <w:rsid w:val="006C2745"/>
    <w:rsid w:val="006C2983"/>
    <w:rsid w:val="006C2D07"/>
    <w:rsid w:val="006C2E30"/>
    <w:rsid w:val="006C30E2"/>
    <w:rsid w:val="006C3BDE"/>
    <w:rsid w:val="006C4480"/>
    <w:rsid w:val="006C481B"/>
    <w:rsid w:val="006C491A"/>
    <w:rsid w:val="006C543A"/>
    <w:rsid w:val="006C5632"/>
    <w:rsid w:val="006C58C5"/>
    <w:rsid w:val="006C5D89"/>
    <w:rsid w:val="006C5E31"/>
    <w:rsid w:val="006C6190"/>
    <w:rsid w:val="006C642F"/>
    <w:rsid w:val="006C6436"/>
    <w:rsid w:val="006C66BE"/>
    <w:rsid w:val="006C6A09"/>
    <w:rsid w:val="006C6DE4"/>
    <w:rsid w:val="006C73C6"/>
    <w:rsid w:val="006C7576"/>
    <w:rsid w:val="006C76CE"/>
    <w:rsid w:val="006C7D2B"/>
    <w:rsid w:val="006D0965"/>
    <w:rsid w:val="006D104A"/>
    <w:rsid w:val="006D2216"/>
    <w:rsid w:val="006D2624"/>
    <w:rsid w:val="006D2EED"/>
    <w:rsid w:val="006D3028"/>
    <w:rsid w:val="006D316A"/>
    <w:rsid w:val="006D432B"/>
    <w:rsid w:val="006D4F14"/>
    <w:rsid w:val="006D508D"/>
    <w:rsid w:val="006D5BB0"/>
    <w:rsid w:val="006D614B"/>
    <w:rsid w:val="006D65B4"/>
    <w:rsid w:val="006D6C0E"/>
    <w:rsid w:val="006D7176"/>
    <w:rsid w:val="006D71A7"/>
    <w:rsid w:val="006D71D1"/>
    <w:rsid w:val="006D75FB"/>
    <w:rsid w:val="006D7932"/>
    <w:rsid w:val="006D7A81"/>
    <w:rsid w:val="006E0D07"/>
    <w:rsid w:val="006E1066"/>
    <w:rsid w:val="006E1996"/>
    <w:rsid w:val="006E1C4D"/>
    <w:rsid w:val="006E1DA3"/>
    <w:rsid w:val="006E25DE"/>
    <w:rsid w:val="006E29E8"/>
    <w:rsid w:val="006E3E3E"/>
    <w:rsid w:val="006E4498"/>
    <w:rsid w:val="006E4971"/>
    <w:rsid w:val="006E4C28"/>
    <w:rsid w:val="006E516B"/>
    <w:rsid w:val="006E5205"/>
    <w:rsid w:val="006E641E"/>
    <w:rsid w:val="006E6BD8"/>
    <w:rsid w:val="006E6F5C"/>
    <w:rsid w:val="006E73E9"/>
    <w:rsid w:val="006E7482"/>
    <w:rsid w:val="006E7757"/>
    <w:rsid w:val="006E7C84"/>
    <w:rsid w:val="006E7DE3"/>
    <w:rsid w:val="006E7E69"/>
    <w:rsid w:val="006F07A4"/>
    <w:rsid w:val="006F0BE3"/>
    <w:rsid w:val="006F106C"/>
    <w:rsid w:val="006F118C"/>
    <w:rsid w:val="006F1299"/>
    <w:rsid w:val="006F154E"/>
    <w:rsid w:val="006F1D73"/>
    <w:rsid w:val="006F21D5"/>
    <w:rsid w:val="006F2256"/>
    <w:rsid w:val="006F225B"/>
    <w:rsid w:val="006F2A4F"/>
    <w:rsid w:val="006F3553"/>
    <w:rsid w:val="006F3CF6"/>
    <w:rsid w:val="006F3ED0"/>
    <w:rsid w:val="006F40FC"/>
    <w:rsid w:val="006F4A7B"/>
    <w:rsid w:val="006F4CEF"/>
    <w:rsid w:val="006F50C5"/>
    <w:rsid w:val="006F51E1"/>
    <w:rsid w:val="006F5C00"/>
    <w:rsid w:val="006F628E"/>
    <w:rsid w:val="006F65AD"/>
    <w:rsid w:val="006F690C"/>
    <w:rsid w:val="006F69E5"/>
    <w:rsid w:val="006F6B1E"/>
    <w:rsid w:val="006F6E6A"/>
    <w:rsid w:val="006F7307"/>
    <w:rsid w:val="006F7979"/>
    <w:rsid w:val="006F7DC1"/>
    <w:rsid w:val="007000DF"/>
    <w:rsid w:val="007001B6"/>
    <w:rsid w:val="00700847"/>
    <w:rsid w:val="00701712"/>
    <w:rsid w:val="00701B4F"/>
    <w:rsid w:val="00701B77"/>
    <w:rsid w:val="007027B3"/>
    <w:rsid w:val="00702D86"/>
    <w:rsid w:val="007031E4"/>
    <w:rsid w:val="007035FA"/>
    <w:rsid w:val="0070528C"/>
    <w:rsid w:val="00705A4E"/>
    <w:rsid w:val="00705AC1"/>
    <w:rsid w:val="00705C38"/>
    <w:rsid w:val="0070639D"/>
    <w:rsid w:val="00706B0F"/>
    <w:rsid w:val="00706CC8"/>
    <w:rsid w:val="00707732"/>
    <w:rsid w:val="0070782E"/>
    <w:rsid w:val="0070797B"/>
    <w:rsid w:val="0071003F"/>
    <w:rsid w:val="00710552"/>
    <w:rsid w:val="00710890"/>
    <w:rsid w:val="00710C43"/>
    <w:rsid w:val="00711196"/>
    <w:rsid w:val="007111A1"/>
    <w:rsid w:val="00711C62"/>
    <w:rsid w:val="007123CD"/>
    <w:rsid w:val="0071284E"/>
    <w:rsid w:val="007128D9"/>
    <w:rsid w:val="00712CB2"/>
    <w:rsid w:val="00713178"/>
    <w:rsid w:val="007132EB"/>
    <w:rsid w:val="007141A1"/>
    <w:rsid w:val="00714812"/>
    <w:rsid w:val="007148A1"/>
    <w:rsid w:val="00714BB3"/>
    <w:rsid w:val="00714FE1"/>
    <w:rsid w:val="007153DD"/>
    <w:rsid w:val="00715808"/>
    <w:rsid w:val="007166D4"/>
    <w:rsid w:val="00716963"/>
    <w:rsid w:val="00716ACB"/>
    <w:rsid w:val="00716F8E"/>
    <w:rsid w:val="00717043"/>
    <w:rsid w:val="007177F6"/>
    <w:rsid w:val="00717B31"/>
    <w:rsid w:val="007202DE"/>
    <w:rsid w:val="00721791"/>
    <w:rsid w:val="00721F4D"/>
    <w:rsid w:val="00722967"/>
    <w:rsid w:val="00723219"/>
    <w:rsid w:val="00723314"/>
    <w:rsid w:val="00723417"/>
    <w:rsid w:val="00723501"/>
    <w:rsid w:val="00723738"/>
    <w:rsid w:val="007238BB"/>
    <w:rsid w:val="00723F51"/>
    <w:rsid w:val="007245DE"/>
    <w:rsid w:val="00724DAC"/>
    <w:rsid w:val="00724EF9"/>
    <w:rsid w:val="007250A4"/>
    <w:rsid w:val="007253C5"/>
    <w:rsid w:val="00725931"/>
    <w:rsid w:val="00725A68"/>
    <w:rsid w:val="0072659E"/>
    <w:rsid w:val="0072675D"/>
    <w:rsid w:val="00726C0B"/>
    <w:rsid w:val="00726E83"/>
    <w:rsid w:val="00727276"/>
    <w:rsid w:val="007274D4"/>
    <w:rsid w:val="00730238"/>
    <w:rsid w:val="007303EB"/>
    <w:rsid w:val="0073042F"/>
    <w:rsid w:val="0073082D"/>
    <w:rsid w:val="007308D6"/>
    <w:rsid w:val="00730F1B"/>
    <w:rsid w:val="007310A3"/>
    <w:rsid w:val="00731540"/>
    <w:rsid w:val="00731615"/>
    <w:rsid w:val="00731F22"/>
    <w:rsid w:val="007321B7"/>
    <w:rsid w:val="0073228C"/>
    <w:rsid w:val="00732291"/>
    <w:rsid w:val="0073244D"/>
    <w:rsid w:val="0073245D"/>
    <w:rsid w:val="007326FB"/>
    <w:rsid w:val="00732A19"/>
    <w:rsid w:val="00732A86"/>
    <w:rsid w:val="00732BE2"/>
    <w:rsid w:val="007336E3"/>
    <w:rsid w:val="00733AA5"/>
    <w:rsid w:val="00733D57"/>
    <w:rsid w:val="007347D4"/>
    <w:rsid w:val="007348DF"/>
    <w:rsid w:val="00734981"/>
    <w:rsid w:val="007349C5"/>
    <w:rsid w:val="00734EE4"/>
    <w:rsid w:val="007351A3"/>
    <w:rsid w:val="00735836"/>
    <w:rsid w:val="00735C47"/>
    <w:rsid w:val="00736A9F"/>
    <w:rsid w:val="007371ED"/>
    <w:rsid w:val="00737683"/>
    <w:rsid w:val="00737AFB"/>
    <w:rsid w:val="00737BD2"/>
    <w:rsid w:val="00737C61"/>
    <w:rsid w:val="00740278"/>
    <w:rsid w:val="0074028F"/>
    <w:rsid w:val="0074107F"/>
    <w:rsid w:val="007419CD"/>
    <w:rsid w:val="00742043"/>
    <w:rsid w:val="00742BDB"/>
    <w:rsid w:val="00742C97"/>
    <w:rsid w:val="00743069"/>
    <w:rsid w:val="0074319F"/>
    <w:rsid w:val="00743B79"/>
    <w:rsid w:val="00743C9A"/>
    <w:rsid w:val="00744651"/>
    <w:rsid w:val="00745039"/>
    <w:rsid w:val="00745235"/>
    <w:rsid w:val="0074590F"/>
    <w:rsid w:val="00745DA9"/>
    <w:rsid w:val="007461AB"/>
    <w:rsid w:val="0074638E"/>
    <w:rsid w:val="007472CE"/>
    <w:rsid w:val="0074735E"/>
    <w:rsid w:val="00747859"/>
    <w:rsid w:val="00750247"/>
    <w:rsid w:val="00751264"/>
    <w:rsid w:val="00751276"/>
    <w:rsid w:val="007520F2"/>
    <w:rsid w:val="00752C20"/>
    <w:rsid w:val="00753106"/>
    <w:rsid w:val="007539F3"/>
    <w:rsid w:val="00753BE9"/>
    <w:rsid w:val="00754024"/>
    <w:rsid w:val="0075414C"/>
    <w:rsid w:val="007543F8"/>
    <w:rsid w:val="00754773"/>
    <w:rsid w:val="00754A17"/>
    <w:rsid w:val="00754C22"/>
    <w:rsid w:val="007553E0"/>
    <w:rsid w:val="00755A17"/>
    <w:rsid w:val="00755B01"/>
    <w:rsid w:val="0075675D"/>
    <w:rsid w:val="00756B1E"/>
    <w:rsid w:val="007572DD"/>
    <w:rsid w:val="00757A1E"/>
    <w:rsid w:val="0076039D"/>
    <w:rsid w:val="00760481"/>
    <w:rsid w:val="007611EE"/>
    <w:rsid w:val="0076172E"/>
    <w:rsid w:val="00762CF8"/>
    <w:rsid w:val="00762FE5"/>
    <w:rsid w:val="0076385B"/>
    <w:rsid w:val="00763B82"/>
    <w:rsid w:val="00763F96"/>
    <w:rsid w:val="00764A1F"/>
    <w:rsid w:val="007657B2"/>
    <w:rsid w:val="00765899"/>
    <w:rsid w:val="007658C1"/>
    <w:rsid w:val="00765F83"/>
    <w:rsid w:val="0076651A"/>
    <w:rsid w:val="00766C28"/>
    <w:rsid w:val="00766C7F"/>
    <w:rsid w:val="00767853"/>
    <w:rsid w:val="007679A1"/>
    <w:rsid w:val="00767C7F"/>
    <w:rsid w:val="00767E27"/>
    <w:rsid w:val="00767F65"/>
    <w:rsid w:val="00767FD1"/>
    <w:rsid w:val="00770F35"/>
    <w:rsid w:val="0077114B"/>
    <w:rsid w:val="00771852"/>
    <w:rsid w:val="00771A95"/>
    <w:rsid w:val="00773705"/>
    <w:rsid w:val="00773785"/>
    <w:rsid w:val="00773808"/>
    <w:rsid w:val="007746B3"/>
    <w:rsid w:val="0077496B"/>
    <w:rsid w:val="00775641"/>
    <w:rsid w:val="007764DE"/>
    <w:rsid w:val="00777EDC"/>
    <w:rsid w:val="00777FE2"/>
    <w:rsid w:val="00780064"/>
    <w:rsid w:val="00780848"/>
    <w:rsid w:val="0078093B"/>
    <w:rsid w:val="00780E6E"/>
    <w:rsid w:val="007814F7"/>
    <w:rsid w:val="00781E78"/>
    <w:rsid w:val="00782474"/>
    <w:rsid w:val="00782736"/>
    <w:rsid w:val="00782866"/>
    <w:rsid w:val="00782ED1"/>
    <w:rsid w:val="0078363A"/>
    <w:rsid w:val="007837A2"/>
    <w:rsid w:val="0078405F"/>
    <w:rsid w:val="007849AC"/>
    <w:rsid w:val="0078504E"/>
    <w:rsid w:val="00785141"/>
    <w:rsid w:val="0078515F"/>
    <w:rsid w:val="007851AC"/>
    <w:rsid w:val="00785675"/>
    <w:rsid w:val="0078644A"/>
    <w:rsid w:val="00786BBC"/>
    <w:rsid w:val="0078717B"/>
    <w:rsid w:val="007873A1"/>
    <w:rsid w:val="007877EC"/>
    <w:rsid w:val="00787E7A"/>
    <w:rsid w:val="0079197A"/>
    <w:rsid w:val="0079227F"/>
    <w:rsid w:val="00792BE6"/>
    <w:rsid w:val="007933D0"/>
    <w:rsid w:val="00793B23"/>
    <w:rsid w:val="00794873"/>
    <w:rsid w:val="0079599C"/>
    <w:rsid w:val="007959FB"/>
    <w:rsid w:val="00795F24"/>
    <w:rsid w:val="007975ED"/>
    <w:rsid w:val="00797FEA"/>
    <w:rsid w:val="007A05D4"/>
    <w:rsid w:val="007A0EFC"/>
    <w:rsid w:val="007A1A5F"/>
    <w:rsid w:val="007A215B"/>
    <w:rsid w:val="007A239D"/>
    <w:rsid w:val="007A2C49"/>
    <w:rsid w:val="007A2DB9"/>
    <w:rsid w:val="007A3118"/>
    <w:rsid w:val="007A377A"/>
    <w:rsid w:val="007A3AE9"/>
    <w:rsid w:val="007A4CDD"/>
    <w:rsid w:val="007A5019"/>
    <w:rsid w:val="007A5106"/>
    <w:rsid w:val="007A5DFC"/>
    <w:rsid w:val="007A5F6F"/>
    <w:rsid w:val="007A63D2"/>
    <w:rsid w:val="007A6594"/>
    <w:rsid w:val="007A72C1"/>
    <w:rsid w:val="007A732E"/>
    <w:rsid w:val="007A74DF"/>
    <w:rsid w:val="007A790E"/>
    <w:rsid w:val="007A7A23"/>
    <w:rsid w:val="007B05C6"/>
    <w:rsid w:val="007B1335"/>
    <w:rsid w:val="007B26CA"/>
    <w:rsid w:val="007B2937"/>
    <w:rsid w:val="007B2D4D"/>
    <w:rsid w:val="007B34EC"/>
    <w:rsid w:val="007B3B5C"/>
    <w:rsid w:val="007B413F"/>
    <w:rsid w:val="007B4452"/>
    <w:rsid w:val="007B5226"/>
    <w:rsid w:val="007B55C4"/>
    <w:rsid w:val="007B5734"/>
    <w:rsid w:val="007B5ED1"/>
    <w:rsid w:val="007B6CED"/>
    <w:rsid w:val="007B7262"/>
    <w:rsid w:val="007B7498"/>
    <w:rsid w:val="007B7521"/>
    <w:rsid w:val="007B76B9"/>
    <w:rsid w:val="007B78D1"/>
    <w:rsid w:val="007B7B41"/>
    <w:rsid w:val="007B7FA8"/>
    <w:rsid w:val="007C00B7"/>
    <w:rsid w:val="007C077C"/>
    <w:rsid w:val="007C12E2"/>
    <w:rsid w:val="007C15EC"/>
    <w:rsid w:val="007C1C74"/>
    <w:rsid w:val="007C243A"/>
    <w:rsid w:val="007C26E8"/>
    <w:rsid w:val="007C2ADC"/>
    <w:rsid w:val="007C40C6"/>
    <w:rsid w:val="007C4374"/>
    <w:rsid w:val="007C46C9"/>
    <w:rsid w:val="007C5322"/>
    <w:rsid w:val="007C5661"/>
    <w:rsid w:val="007C5F47"/>
    <w:rsid w:val="007C6727"/>
    <w:rsid w:val="007C6A0B"/>
    <w:rsid w:val="007C7EB5"/>
    <w:rsid w:val="007C7F9F"/>
    <w:rsid w:val="007D0045"/>
    <w:rsid w:val="007D0055"/>
    <w:rsid w:val="007D08B0"/>
    <w:rsid w:val="007D1009"/>
    <w:rsid w:val="007D11D2"/>
    <w:rsid w:val="007D1AA1"/>
    <w:rsid w:val="007D1EA5"/>
    <w:rsid w:val="007D2E50"/>
    <w:rsid w:val="007D3181"/>
    <w:rsid w:val="007D46BB"/>
    <w:rsid w:val="007D47BB"/>
    <w:rsid w:val="007D56CC"/>
    <w:rsid w:val="007D5C9A"/>
    <w:rsid w:val="007D5D92"/>
    <w:rsid w:val="007D68CF"/>
    <w:rsid w:val="007E05CD"/>
    <w:rsid w:val="007E0623"/>
    <w:rsid w:val="007E178B"/>
    <w:rsid w:val="007E1832"/>
    <w:rsid w:val="007E23DB"/>
    <w:rsid w:val="007E25E5"/>
    <w:rsid w:val="007E2890"/>
    <w:rsid w:val="007E298C"/>
    <w:rsid w:val="007E29F6"/>
    <w:rsid w:val="007E2C94"/>
    <w:rsid w:val="007E3627"/>
    <w:rsid w:val="007E3EB1"/>
    <w:rsid w:val="007E408F"/>
    <w:rsid w:val="007E4111"/>
    <w:rsid w:val="007E4155"/>
    <w:rsid w:val="007E47A3"/>
    <w:rsid w:val="007E52EA"/>
    <w:rsid w:val="007E554A"/>
    <w:rsid w:val="007E6385"/>
    <w:rsid w:val="007E773B"/>
    <w:rsid w:val="007F01E5"/>
    <w:rsid w:val="007F0269"/>
    <w:rsid w:val="007F08F7"/>
    <w:rsid w:val="007F0AF1"/>
    <w:rsid w:val="007F1E71"/>
    <w:rsid w:val="007F21B0"/>
    <w:rsid w:val="007F23CA"/>
    <w:rsid w:val="007F2899"/>
    <w:rsid w:val="007F2C5B"/>
    <w:rsid w:val="007F3147"/>
    <w:rsid w:val="007F3447"/>
    <w:rsid w:val="007F41CE"/>
    <w:rsid w:val="007F421B"/>
    <w:rsid w:val="007F562E"/>
    <w:rsid w:val="007F5BDD"/>
    <w:rsid w:val="007F7025"/>
    <w:rsid w:val="007F7421"/>
    <w:rsid w:val="007F794D"/>
    <w:rsid w:val="007F7C81"/>
    <w:rsid w:val="00800183"/>
    <w:rsid w:val="008005F3"/>
    <w:rsid w:val="00802575"/>
    <w:rsid w:val="00802669"/>
    <w:rsid w:val="0080282C"/>
    <w:rsid w:val="00802FF8"/>
    <w:rsid w:val="00803288"/>
    <w:rsid w:val="00803526"/>
    <w:rsid w:val="00803890"/>
    <w:rsid w:val="00803A38"/>
    <w:rsid w:val="00803E9C"/>
    <w:rsid w:val="0080403D"/>
    <w:rsid w:val="00804DC1"/>
    <w:rsid w:val="0080555F"/>
    <w:rsid w:val="00805B3D"/>
    <w:rsid w:val="00806BC8"/>
    <w:rsid w:val="00807014"/>
    <w:rsid w:val="00807825"/>
    <w:rsid w:val="0080792C"/>
    <w:rsid w:val="00810065"/>
    <w:rsid w:val="00810621"/>
    <w:rsid w:val="00810848"/>
    <w:rsid w:val="00810BBE"/>
    <w:rsid w:val="00810C13"/>
    <w:rsid w:val="00810FD3"/>
    <w:rsid w:val="0081218C"/>
    <w:rsid w:val="0081351A"/>
    <w:rsid w:val="00813630"/>
    <w:rsid w:val="00813996"/>
    <w:rsid w:val="00813A92"/>
    <w:rsid w:val="00813F8F"/>
    <w:rsid w:val="008150E7"/>
    <w:rsid w:val="00815974"/>
    <w:rsid w:val="00816496"/>
    <w:rsid w:val="00817358"/>
    <w:rsid w:val="00817443"/>
    <w:rsid w:val="008175AE"/>
    <w:rsid w:val="00817A56"/>
    <w:rsid w:val="00817BCF"/>
    <w:rsid w:val="00817E70"/>
    <w:rsid w:val="00821411"/>
    <w:rsid w:val="00821B53"/>
    <w:rsid w:val="008220E2"/>
    <w:rsid w:val="008223CA"/>
    <w:rsid w:val="00822632"/>
    <w:rsid w:val="00822BA1"/>
    <w:rsid w:val="00823C4E"/>
    <w:rsid w:val="00823CF8"/>
    <w:rsid w:val="008240F9"/>
    <w:rsid w:val="008244CF"/>
    <w:rsid w:val="00824E3B"/>
    <w:rsid w:val="00824EA1"/>
    <w:rsid w:val="00824FDE"/>
    <w:rsid w:val="00825306"/>
    <w:rsid w:val="00825E24"/>
    <w:rsid w:val="0082644A"/>
    <w:rsid w:val="008265A3"/>
    <w:rsid w:val="00826680"/>
    <w:rsid w:val="00826BA6"/>
    <w:rsid w:val="00826D78"/>
    <w:rsid w:val="00826EDE"/>
    <w:rsid w:val="00830446"/>
    <w:rsid w:val="00830614"/>
    <w:rsid w:val="00830E14"/>
    <w:rsid w:val="00830F14"/>
    <w:rsid w:val="00831189"/>
    <w:rsid w:val="0083134A"/>
    <w:rsid w:val="0083186E"/>
    <w:rsid w:val="00831B44"/>
    <w:rsid w:val="00831D94"/>
    <w:rsid w:val="008326BB"/>
    <w:rsid w:val="008326F2"/>
    <w:rsid w:val="00832D0D"/>
    <w:rsid w:val="00833138"/>
    <w:rsid w:val="00833191"/>
    <w:rsid w:val="008332F7"/>
    <w:rsid w:val="008334B3"/>
    <w:rsid w:val="008336FD"/>
    <w:rsid w:val="0083396B"/>
    <w:rsid w:val="00833A06"/>
    <w:rsid w:val="00833DE3"/>
    <w:rsid w:val="00834ADC"/>
    <w:rsid w:val="00834D28"/>
    <w:rsid w:val="00834D5C"/>
    <w:rsid w:val="008355EF"/>
    <w:rsid w:val="00835B39"/>
    <w:rsid w:val="00835CCD"/>
    <w:rsid w:val="00835D72"/>
    <w:rsid w:val="008360AF"/>
    <w:rsid w:val="008365EF"/>
    <w:rsid w:val="00836AF9"/>
    <w:rsid w:val="00836BE4"/>
    <w:rsid w:val="00836CAA"/>
    <w:rsid w:val="00837604"/>
    <w:rsid w:val="00840622"/>
    <w:rsid w:val="008411F0"/>
    <w:rsid w:val="008417F0"/>
    <w:rsid w:val="00841847"/>
    <w:rsid w:val="00841D36"/>
    <w:rsid w:val="00841F69"/>
    <w:rsid w:val="008425B2"/>
    <w:rsid w:val="008426BD"/>
    <w:rsid w:val="008433E3"/>
    <w:rsid w:val="00843769"/>
    <w:rsid w:val="008439A3"/>
    <w:rsid w:val="00843C16"/>
    <w:rsid w:val="00843CBA"/>
    <w:rsid w:val="00843DC3"/>
    <w:rsid w:val="00844289"/>
    <w:rsid w:val="008448C2"/>
    <w:rsid w:val="00844D55"/>
    <w:rsid w:val="00846EA8"/>
    <w:rsid w:val="00846F23"/>
    <w:rsid w:val="008470D6"/>
    <w:rsid w:val="00847818"/>
    <w:rsid w:val="00847FE1"/>
    <w:rsid w:val="0085155D"/>
    <w:rsid w:val="008524F9"/>
    <w:rsid w:val="0085307C"/>
    <w:rsid w:val="008532B9"/>
    <w:rsid w:val="0085393B"/>
    <w:rsid w:val="00853DBB"/>
    <w:rsid w:val="00854041"/>
    <w:rsid w:val="00854BDC"/>
    <w:rsid w:val="0085536E"/>
    <w:rsid w:val="0085585A"/>
    <w:rsid w:val="00855A01"/>
    <w:rsid w:val="008563A8"/>
    <w:rsid w:val="00857890"/>
    <w:rsid w:val="008606F0"/>
    <w:rsid w:val="00860AF5"/>
    <w:rsid w:val="00861356"/>
    <w:rsid w:val="008620E3"/>
    <w:rsid w:val="008622E8"/>
    <w:rsid w:val="008628B1"/>
    <w:rsid w:val="00862E2C"/>
    <w:rsid w:val="008632E1"/>
    <w:rsid w:val="00863813"/>
    <w:rsid w:val="00863839"/>
    <w:rsid w:val="00864287"/>
    <w:rsid w:val="008645E9"/>
    <w:rsid w:val="008647D2"/>
    <w:rsid w:val="00864A73"/>
    <w:rsid w:val="00864F59"/>
    <w:rsid w:val="00865AEC"/>
    <w:rsid w:val="00865E67"/>
    <w:rsid w:val="00865F5C"/>
    <w:rsid w:val="0086614F"/>
    <w:rsid w:val="00866225"/>
    <w:rsid w:val="0086720D"/>
    <w:rsid w:val="00867848"/>
    <w:rsid w:val="00867CB9"/>
    <w:rsid w:val="00870112"/>
    <w:rsid w:val="00870184"/>
    <w:rsid w:val="0087064D"/>
    <w:rsid w:val="00870702"/>
    <w:rsid w:val="008707C1"/>
    <w:rsid w:val="008709FD"/>
    <w:rsid w:val="00870B9C"/>
    <w:rsid w:val="008711A4"/>
    <w:rsid w:val="008714EC"/>
    <w:rsid w:val="00871666"/>
    <w:rsid w:val="0087191D"/>
    <w:rsid w:val="00871ACE"/>
    <w:rsid w:val="00871B8E"/>
    <w:rsid w:val="008720CA"/>
    <w:rsid w:val="008728A1"/>
    <w:rsid w:val="00872949"/>
    <w:rsid w:val="0087294C"/>
    <w:rsid w:val="00873C4C"/>
    <w:rsid w:val="00874335"/>
    <w:rsid w:val="00874C87"/>
    <w:rsid w:val="00875A8C"/>
    <w:rsid w:val="00875CCD"/>
    <w:rsid w:val="008764CC"/>
    <w:rsid w:val="00876811"/>
    <w:rsid w:val="00876D50"/>
    <w:rsid w:val="0087709C"/>
    <w:rsid w:val="0087722F"/>
    <w:rsid w:val="008775D1"/>
    <w:rsid w:val="008778A4"/>
    <w:rsid w:val="008778C0"/>
    <w:rsid w:val="008778DA"/>
    <w:rsid w:val="00880982"/>
    <w:rsid w:val="0088128B"/>
    <w:rsid w:val="0088147D"/>
    <w:rsid w:val="00881689"/>
    <w:rsid w:val="008818E8"/>
    <w:rsid w:val="008826AD"/>
    <w:rsid w:val="00883958"/>
    <w:rsid w:val="00884524"/>
    <w:rsid w:val="008849B5"/>
    <w:rsid w:val="00884AC9"/>
    <w:rsid w:val="00885B0B"/>
    <w:rsid w:val="00886188"/>
    <w:rsid w:val="008865E5"/>
    <w:rsid w:val="00886B3A"/>
    <w:rsid w:val="00886F0F"/>
    <w:rsid w:val="00887E03"/>
    <w:rsid w:val="00887FF2"/>
    <w:rsid w:val="0089055B"/>
    <w:rsid w:val="00890D4C"/>
    <w:rsid w:val="00891250"/>
    <w:rsid w:val="00891480"/>
    <w:rsid w:val="008918BE"/>
    <w:rsid w:val="008920E0"/>
    <w:rsid w:val="00892308"/>
    <w:rsid w:val="00892FEF"/>
    <w:rsid w:val="00893007"/>
    <w:rsid w:val="00893984"/>
    <w:rsid w:val="008947B6"/>
    <w:rsid w:val="00895054"/>
    <w:rsid w:val="00895CBD"/>
    <w:rsid w:val="00895CDA"/>
    <w:rsid w:val="00896440"/>
    <w:rsid w:val="00896839"/>
    <w:rsid w:val="00896A56"/>
    <w:rsid w:val="00896DD6"/>
    <w:rsid w:val="00897BAD"/>
    <w:rsid w:val="008A041D"/>
    <w:rsid w:val="008A0C02"/>
    <w:rsid w:val="008A0F59"/>
    <w:rsid w:val="008A14A3"/>
    <w:rsid w:val="008A1692"/>
    <w:rsid w:val="008A18DE"/>
    <w:rsid w:val="008A190F"/>
    <w:rsid w:val="008A1CC7"/>
    <w:rsid w:val="008A20E7"/>
    <w:rsid w:val="008A2CE9"/>
    <w:rsid w:val="008A31BD"/>
    <w:rsid w:val="008A4181"/>
    <w:rsid w:val="008A4AF7"/>
    <w:rsid w:val="008A5FC6"/>
    <w:rsid w:val="008A6455"/>
    <w:rsid w:val="008A70A1"/>
    <w:rsid w:val="008A79D0"/>
    <w:rsid w:val="008A7D3F"/>
    <w:rsid w:val="008B026C"/>
    <w:rsid w:val="008B0327"/>
    <w:rsid w:val="008B0D38"/>
    <w:rsid w:val="008B2DBC"/>
    <w:rsid w:val="008B3250"/>
    <w:rsid w:val="008B4B77"/>
    <w:rsid w:val="008B539C"/>
    <w:rsid w:val="008B5AA4"/>
    <w:rsid w:val="008B6285"/>
    <w:rsid w:val="008B63D1"/>
    <w:rsid w:val="008B6729"/>
    <w:rsid w:val="008B6E87"/>
    <w:rsid w:val="008B71B4"/>
    <w:rsid w:val="008B7B4E"/>
    <w:rsid w:val="008B7BEE"/>
    <w:rsid w:val="008B7C4E"/>
    <w:rsid w:val="008B7CCC"/>
    <w:rsid w:val="008C0A1F"/>
    <w:rsid w:val="008C1861"/>
    <w:rsid w:val="008C1BA2"/>
    <w:rsid w:val="008C2237"/>
    <w:rsid w:val="008C2DA6"/>
    <w:rsid w:val="008C3299"/>
    <w:rsid w:val="008C3470"/>
    <w:rsid w:val="008C3495"/>
    <w:rsid w:val="008C3A59"/>
    <w:rsid w:val="008C3E3F"/>
    <w:rsid w:val="008C4091"/>
    <w:rsid w:val="008C465E"/>
    <w:rsid w:val="008C4755"/>
    <w:rsid w:val="008C4929"/>
    <w:rsid w:val="008C5FB8"/>
    <w:rsid w:val="008C60A4"/>
    <w:rsid w:val="008C620D"/>
    <w:rsid w:val="008C643C"/>
    <w:rsid w:val="008C69BC"/>
    <w:rsid w:val="008C6E75"/>
    <w:rsid w:val="008C7C77"/>
    <w:rsid w:val="008C7DE1"/>
    <w:rsid w:val="008D0397"/>
    <w:rsid w:val="008D0460"/>
    <w:rsid w:val="008D05F3"/>
    <w:rsid w:val="008D0ED3"/>
    <w:rsid w:val="008D14E6"/>
    <w:rsid w:val="008D1762"/>
    <w:rsid w:val="008D199E"/>
    <w:rsid w:val="008D205F"/>
    <w:rsid w:val="008D2535"/>
    <w:rsid w:val="008D2718"/>
    <w:rsid w:val="008D281D"/>
    <w:rsid w:val="008D2EB6"/>
    <w:rsid w:val="008D2ED0"/>
    <w:rsid w:val="008D324A"/>
    <w:rsid w:val="008D3743"/>
    <w:rsid w:val="008D3D07"/>
    <w:rsid w:val="008D4BC8"/>
    <w:rsid w:val="008D512B"/>
    <w:rsid w:val="008D5622"/>
    <w:rsid w:val="008D5C49"/>
    <w:rsid w:val="008D5DC0"/>
    <w:rsid w:val="008D605C"/>
    <w:rsid w:val="008D6567"/>
    <w:rsid w:val="008D69D8"/>
    <w:rsid w:val="008D6AFA"/>
    <w:rsid w:val="008D6BF9"/>
    <w:rsid w:val="008D70E3"/>
    <w:rsid w:val="008D710E"/>
    <w:rsid w:val="008D7732"/>
    <w:rsid w:val="008D7EE4"/>
    <w:rsid w:val="008E1381"/>
    <w:rsid w:val="008E1690"/>
    <w:rsid w:val="008E170B"/>
    <w:rsid w:val="008E2995"/>
    <w:rsid w:val="008E2FD1"/>
    <w:rsid w:val="008E3FFD"/>
    <w:rsid w:val="008E4779"/>
    <w:rsid w:val="008E4DE8"/>
    <w:rsid w:val="008E5DD2"/>
    <w:rsid w:val="008E5F55"/>
    <w:rsid w:val="008E63A0"/>
    <w:rsid w:val="008E6401"/>
    <w:rsid w:val="008E655B"/>
    <w:rsid w:val="008E66C4"/>
    <w:rsid w:val="008E7E6D"/>
    <w:rsid w:val="008F025D"/>
    <w:rsid w:val="008F0B85"/>
    <w:rsid w:val="008F0F04"/>
    <w:rsid w:val="008F1203"/>
    <w:rsid w:val="008F1D52"/>
    <w:rsid w:val="008F1E43"/>
    <w:rsid w:val="008F2002"/>
    <w:rsid w:val="008F30C3"/>
    <w:rsid w:val="008F3EE4"/>
    <w:rsid w:val="008F4389"/>
    <w:rsid w:val="008F464C"/>
    <w:rsid w:val="008F4D26"/>
    <w:rsid w:val="008F4EEE"/>
    <w:rsid w:val="008F59AF"/>
    <w:rsid w:val="008F5F09"/>
    <w:rsid w:val="008F60DF"/>
    <w:rsid w:val="008F6A91"/>
    <w:rsid w:val="008F742C"/>
    <w:rsid w:val="008F7680"/>
    <w:rsid w:val="008F7845"/>
    <w:rsid w:val="008F7B7B"/>
    <w:rsid w:val="008F7CDD"/>
    <w:rsid w:val="008F7DE0"/>
    <w:rsid w:val="0090012D"/>
    <w:rsid w:val="009002D7"/>
    <w:rsid w:val="009007D5"/>
    <w:rsid w:val="00900C69"/>
    <w:rsid w:val="0090153E"/>
    <w:rsid w:val="00901FA9"/>
    <w:rsid w:val="009021D3"/>
    <w:rsid w:val="009025B2"/>
    <w:rsid w:val="00902874"/>
    <w:rsid w:val="00902984"/>
    <w:rsid w:val="00902B4D"/>
    <w:rsid w:val="00903105"/>
    <w:rsid w:val="00903423"/>
    <w:rsid w:val="00903691"/>
    <w:rsid w:val="00903D5B"/>
    <w:rsid w:val="00904149"/>
    <w:rsid w:val="0090472B"/>
    <w:rsid w:val="00904932"/>
    <w:rsid w:val="00904BF8"/>
    <w:rsid w:val="00904F2A"/>
    <w:rsid w:val="00905AEA"/>
    <w:rsid w:val="00905D60"/>
    <w:rsid w:val="00906B61"/>
    <w:rsid w:val="00906E36"/>
    <w:rsid w:val="00906FEE"/>
    <w:rsid w:val="0090723F"/>
    <w:rsid w:val="00907F8D"/>
    <w:rsid w:val="00910C8A"/>
    <w:rsid w:val="00910CBD"/>
    <w:rsid w:val="00910D4F"/>
    <w:rsid w:val="00910FF1"/>
    <w:rsid w:val="009116F9"/>
    <w:rsid w:val="00911ACE"/>
    <w:rsid w:val="0091246D"/>
    <w:rsid w:val="009129B4"/>
    <w:rsid w:val="00912B24"/>
    <w:rsid w:val="00912E7A"/>
    <w:rsid w:val="009136C6"/>
    <w:rsid w:val="00913A8E"/>
    <w:rsid w:val="00913AAE"/>
    <w:rsid w:val="00913D45"/>
    <w:rsid w:val="009140F5"/>
    <w:rsid w:val="00914333"/>
    <w:rsid w:val="0091458D"/>
    <w:rsid w:val="00914A71"/>
    <w:rsid w:val="00915251"/>
    <w:rsid w:val="0091538A"/>
    <w:rsid w:val="00915607"/>
    <w:rsid w:val="00915C39"/>
    <w:rsid w:val="00915E85"/>
    <w:rsid w:val="0091628E"/>
    <w:rsid w:val="009167FA"/>
    <w:rsid w:val="00916A55"/>
    <w:rsid w:val="00916E46"/>
    <w:rsid w:val="00917962"/>
    <w:rsid w:val="00920BF8"/>
    <w:rsid w:val="009210C1"/>
    <w:rsid w:val="00921550"/>
    <w:rsid w:val="00921A7E"/>
    <w:rsid w:val="00922891"/>
    <w:rsid w:val="00922B29"/>
    <w:rsid w:val="00922D5C"/>
    <w:rsid w:val="0092318B"/>
    <w:rsid w:val="00923A92"/>
    <w:rsid w:val="00923C34"/>
    <w:rsid w:val="00924D55"/>
    <w:rsid w:val="0092518E"/>
    <w:rsid w:val="009255D4"/>
    <w:rsid w:val="00925AD5"/>
    <w:rsid w:val="00925BC7"/>
    <w:rsid w:val="009261F0"/>
    <w:rsid w:val="00926B37"/>
    <w:rsid w:val="00926C6C"/>
    <w:rsid w:val="0092767F"/>
    <w:rsid w:val="00931B7A"/>
    <w:rsid w:val="009321F6"/>
    <w:rsid w:val="009327A5"/>
    <w:rsid w:val="00932960"/>
    <w:rsid w:val="009336CC"/>
    <w:rsid w:val="00933871"/>
    <w:rsid w:val="00933D22"/>
    <w:rsid w:val="00934F9C"/>
    <w:rsid w:val="00935810"/>
    <w:rsid w:val="00935A67"/>
    <w:rsid w:val="00935DC4"/>
    <w:rsid w:val="00935F6A"/>
    <w:rsid w:val="0093666F"/>
    <w:rsid w:val="009367C8"/>
    <w:rsid w:val="009367F6"/>
    <w:rsid w:val="00936A7F"/>
    <w:rsid w:val="00936DB6"/>
    <w:rsid w:val="00937944"/>
    <w:rsid w:val="009379A9"/>
    <w:rsid w:val="0094088C"/>
    <w:rsid w:val="00940B73"/>
    <w:rsid w:val="00941459"/>
    <w:rsid w:val="00942C00"/>
    <w:rsid w:val="00942C5E"/>
    <w:rsid w:val="00942F76"/>
    <w:rsid w:val="00943125"/>
    <w:rsid w:val="009435C8"/>
    <w:rsid w:val="009438C4"/>
    <w:rsid w:val="00943AE5"/>
    <w:rsid w:val="00943C76"/>
    <w:rsid w:val="009440D5"/>
    <w:rsid w:val="00944114"/>
    <w:rsid w:val="00944214"/>
    <w:rsid w:val="00944896"/>
    <w:rsid w:val="00945395"/>
    <w:rsid w:val="00945DC8"/>
    <w:rsid w:val="0094605E"/>
    <w:rsid w:val="009468EC"/>
    <w:rsid w:val="009473E3"/>
    <w:rsid w:val="00947770"/>
    <w:rsid w:val="009501D3"/>
    <w:rsid w:val="00950319"/>
    <w:rsid w:val="00950743"/>
    <w:rsid w:val="00950C71"/>
    <w:rsid w:val="00951BF5"/>
    <w:rsid w:val="00951CA2"/>
    <w:rsid w:val="009521B4"/>
    <w:rsid w:val="0095291D"/>
    <w:rsid w:val="0095336E"/>
    <w:rsid w:val="009552FE"/>
    <w:rsid w:val="00955BA6"/>
    <w:rsid w:val="00960945"/>
    <w:rsid w:val="00960A22"/>
    <w:rsid w:val="00960AF7"/>
    <w:rsid w:val="00961594"/>
    <w:rsid w:val="00961688"/>
    <w:rsid w:val="00962016"/>
    <w:rsid w:val="009628AB"/>
    <w:rsid w:val="009628C5"/>
    <w:rsid w:val="00962AB0"/>
    <w:rsid w:val="00963826"/>
    <w:rsid w:val="009639CA"/>
    <w:rsid w:val="00963CED"/>
    <w:rsid w:val="009647FE"/>
    <w:rsid w:val="009654BE"/>
    <w:rsid w:val="009657C9"/>
    <w:rsid w:val="00967190"/>
    <w:rsid w:val="009671A3"/>
    <w:rsid w:val="009673F8"/>
    <w:rsid w:val="00970430"/>
    <w:rsid w:val="0097107C"/>
    <w:rsid w:val="009710E6"/>
    <w:rsid w:val="00971D23"/>
    <w:rsid w:val="00972B69"/>
    <w:rsid w:val="00972C11"/>
    <w:rsid w:val="00972FC7"/>
    <w:rsid w:val="009732DF"/>
    <w:rsid w:val="009733B1"/>
    <w:rsid w:val="00973440"/>
    <w:rsid w:val="00973E28"/>
    <w:rsid w:val="009740E1"/>
    <w:rsid w:val="0097420B"/>
    <w:rsid w:val="0097426D"/>
    <w:rsid w:val="009759F6"/>
    <w:rsid w:val="00975C01"/>
    <w:rsid w:val="009765D9"/>
    <w:rsid w:val="009766EC"/>
    <w:rsid w:val="00976E64"/>
    <w:rsid w:val="00976EED"/>
    <w:rsid w:val="00977733"/>
    <w:rsid w:val="00977D80"/>
    <w:rsid w:val="00980809"/>
    <w:rsid w:val="00980A7D"/>
    <w:rsid w:val="00980CE6"/>
    <w:rsid w:val="00980FBB"/>
    <w:rsid w:val="009816FB"/>
    <w:rsid w:val="0098200D"/>
    <w:rsid w:val="00982A07"/>
    <w:rsid w:val="00983009"/>
    <w:rsid w:val="0098415F"/>
    <w:rsid w:val="00984CC6"/>
    <w:rsid w:val="00984F15"/>
    <w:rsid w:val="0098541B"/>
    <w:rsid w:val="009854CE"/>
    <w:rsid w:val="00986045"/>
    <w:rsid w:val="0098607A"/>
    <w:rsid w:val="00986AE5"/>
    <w:rsid w:val="00990126"/>
    <w:rsid w:val="009901D2"/>
    <w:rsid w:val="0099063B"/>
    <w:rsid w:val="00990FE7"/>
    <w:rsid w:val="00991109"/>
    <w:rsid w:val="00991326"/>
    <w:rsid w:val="00991474"/>
    <w:rsid w:val="00991E84"/>
    <w:rsid w:val="00991EDC"/>
    <w:rsid w:val="00992380"/>
    <w:rsid w:val="009923C2"/>
    <w:rsid w:val="00992C2B"/>
    <w:rsid w:val="009939F6"/>
    <w:rsid w:val="00994013"/>
    <w:rsid w:val="00994056"/>
    <w:rsid w:val="009948E8"/>
    <w:rsid w:val="00994AC1"/>
    <w:rsid w:val="00996122"/>
    <w:rsid w:val="009976CE"/>
    <w:rsid w:val="00997768"/>
    <w:rsid w:val="009A03E7"/>
    <w:rsid w:val="009A05D7"/>
    <w:rsid w:val="009A085C"/>
    <w:rsid w:val="009A0935"/>
    <w:rsid w:val="009A10F4"/>
    <w:rsid w:val="009A1127"/>
    <w:rsid w:val="009A1477"/>
    <w:rsid w:val="009A173F"/>
    <w:rsid w:val="009A1795"/>
    <w:rsid w:val="009A2658"/>
    <w:rsid w:val="009A2662"/>
    <w:rsid w:val="009A26DC"/>
    <w:rsid w:val="009A27B7"/>
    <w:rsid w:val="009A2ABC"/>
    <w:rsid w:val="009A3292"/>
    <w:rsid w:val="009A3C0A"/>
    <w:rsid w:val="009A3CF2"/>
    <w:rsid w:val="009A3E5D"/>
    <w:rsid w:val="009A4088"/>
    <w:rsid w:val="009A4918"/>
    <w:rsid w:val="009A5A63"/>
    <w:rsid w:val="009A5E19"/>
    <w:rsid w:val="009A628D"/>
    <w:rsid w:val="009A6DB1"/>
    <w:rsid w:val="009A738E"/>
    <w:rsid w:val="009A7474"/>
    <w:rsid w:val="009A7912"/>
    <w:rsid w:val="009B037B"/>
    <w:rsid w:val="009B04D4"/>
    <w:rsid w:val="009B0673"/>
    <w:rsid w:val="009B1A72"/>
    <w:rsid w:val="009B33E6"/>
    <w:rsid w:val="009B3468"/>
    <w:rsid w:val="009B3CA7"/>
    <w:rsid w:val="009B40A2"/>
    <w:rsid w:val="009B474C"/>
    <w:rsid w:val="009B4D65"/>
    <w:rsid w:val="009B54E2"/>
    <w:rsid w:val="009B55A9"/>
    <w:rsid w:val="009B5637"/>
    <w:rsid w:val="009B575F"/>
    <w:rsid w:val="009B57AB"/>
    <w:rsid w:val="009B62CA"/>
    <w:rsid w:val="009B6782"/>
    <w:rsid w:val="009B6917"/>
    <w:rsid w:val="009B6A81"/>
    <w:rsid w:val="009B6C9D"/>
    <w:rsid w:val="009B6F3A"/>
    <w:rsid w:val="009B77E0"/>
    <w:rsid w:val="009B7850"/>
    <w:rsid w:val="009B791C"/>
    <w:rsid w:val="009C03DA"/>
    <w:rsid w:val="009C05F9"/>
    <w:rsid w:val="009C087C"/>
    <w:rsid w:val="009C1237"/>
    <w:rsid w:val="009C13C8"/>
    <w:rsid w:val="009C13C9"/>
    <w:rsid w:val="009C1C2E"/>
    <w:rsid w:val="009C1DE0"/>
    <w:rsid w:val="009C21D9"/>
    <w:rsid w:val="009C21E4"/>
    <w:rsid w:val="009C2886"/>
    <w:rsid w:val="009C38D6"/>
    <w:rsid w:val="009C3DC9"/>
    <w:rsid w:val="009C447E"/>
    <w:rsid w:val="009C5537"/>
    <w:rsid w:val="009C5A40"/>
    <w:rsid w:val="009C5CE1"/>
    <w:rsid w:val="009C62AD"/>
    <w:rsid w:val="009C7B48"/>
    <w:rsid w:val="009D0278"/>
    <w:rsid w:val="009D10F7"/>
    <w:rsid w:val="009D1345"/>
    <w:rsid w:val="009D1C3A"/>
    <w:rsid w:val="009D267F"/>
    <w:rsid w:val="009D27C4"/>
    <w:rsid w:val="009D2C66"/>
    <w:rsid w:val="009D35AA"/>
    <w:rsid w:val="009D4214"/>
    <w:rsid w:val="009D48FF"/>
    <w:rsid w:val="009D4D7E"/>
    <w:rsid w:val="009D51F8"/>
    <w:rsid w:val="009D538A"/>
    <w:rsid w:val="009D5F50"/>
    <w:rsid w:val="009D63BF"/>
    <w:rsid w:val="009D6D72"/>
    <w:rsid w:val="009D78AD"/>
    <w:rsid w:val="009D7DF1"/>
    <w:rsid w:val="009D7DFF"/>
    <w:rsid w:val="009D7E40"/>
    <w:rsid w:val="009E022B"/>
    <w:rsid w:val="009E0470"/>
    <w:rsid w:val="009E079D"/>
    <w:rsid w:val="009E0B4E"/>
    <w:rsid w:val="009E1EFB"/>
    <w:rsid w:val="009E2CE7"/>
    <w:rsid w:val="009E2FB3"/>
    <w:rsid w:val="009E30D2"/>
    <w:rsid w:val="009E364A"/>
    <w:rsid w:val="009E405E"/>
    <w:rsid w:val="009E4876"/>
    <w:rsid w:val="009E53B7"/>
    <w:rsid w:val="009E54DF"/>
    <w:rsid w:val="009E569F"/>
    <w:rsid w:val="009E6057"/>
    <w:rsid w:val="009E61AE"/>
    <w:rsid w:val="009E6CDA"/>
    <w:rsid w:val="009E73CB"/>
    <w:rsid w:val="009F0089"/>
    <w:rsid w:val="009F03D3"/>
    <w:rsid w:val="009F03E4"/>
    <w:rsid w:val="009F073C"/>
    <w:rsid w:val="009F08D9"/>
    <w:rsid w:val="009F15F0"/>
    <w:rsid w:val="009F17A1"/>
    <w:rsid w:val="009F205B"/>
    <w:rsid w:val="009F21ED"/>
    <w:rsid w:val="009F2565"/>
    <w:rsid w:val="009F2E36"/>
    <w:rsid w:val="009F3228"/>
    <w:rsid w:val="009F34E8"/>
    <w:rsid w:val="009F3725"/>
    <w:rsid w:val="009F3842"/>
    <w:rsid w:val="009F4DD9"/>
    <w:rsid w:val="009F509A"/>
    <w:rsid w:val="009F54C9"/>
    <w:rsid w:val="009F589F"/>
    <w:rsid w:val="009F5C9A"/>
    <w:rsid w:val="009F5E3F"/>
    <w:rsid w:val="009F5FCF"/>
    <w:rsid w:val="009F6156"/>
    <w:rsid w:val="009F6515"/>
    <w:rsid w:val="009F6721"/>
    <w:rsid w:val="009F6CF1"/>
    <w:rsid w:val="009F6DC9"/>
    <w:rsid w:val="009F78E0"/>
    <w:rsid w:val="00A01007"/>
    <w:rsid w:val="00A01647"/>
    <w:rsid w:val="00A0189B"/>
    <w:rsid w:val="00A01DD6"/>
    <w:rsid w:val="00A01E56"/>
    <w:rsid w:val="00A03826"/>
    <w:rsid w:val="00A0386A"/>
    <w:rsid w:val="00A041D7"/>
    <w:rsid w:val="00A04A4E"/>
    <w:rsid w:val="00A06815"/>
    <w:rsid w:val="00A06BDB"/>
    <w:rsid w:val="00A0771C"/>
    <w:rsid w:val="00A07AAF"/>
    <w:rsid w:val="00A10034"/>
    <w:rsid w:val="00A10287"/>
    <w:rsid w:val="00A1043B"/>
    <w:rsid w:val="00A1071A"/>
    <w:rsid w:val="00A10773"/>
    <w:rsid w:val="00A1084B"/>
    <w:rsid w:val="00A109A0"/>
    <w:rsid w:val="00A10C82"/>
    <w:rsid w:val="00A112C8"/>
    <w:rsid w:val="00A113F5"/>
    <w:rsid w:val="00A1165D"/>
    <w:rsid w:val="00A117EB"/>
    <w:rsid w:val="00A11957"/>
    <w:rsid w:val="00A11C48"/>
    <w:rsid w:val="00A11C8C"/>
    <w:rsid w:val="00A1288B"/>
    <w:rsid w:val="00A1296E"/>
    <w:rsid w:val="00A12A1A"/>
    <w:rsid w:val="00A1345C"/>
    <w:rsid w:val="00A13715"/>
    <w:rsid w:val="00A139A5"/>
    <w:rsid w:val="00A13C3E"/>
    <w:rsid w:val="00A13CD1"/>
    <w:rsid w:val="00A13F25"/>
    <w:rsid w:val="00A149C7"/>
    <w:rsid w:val="00A150DC"/>
    <w:rsid w:val="00A1546A"/>
    <w:rsid w:val="00A1583D"/>
    <w:rsid w:val="00A15CD3"/>
    <w:rsid w:val="00A16944"/>
    <w:rsid w:val="00A16A18"/>
    <w:rsid w:val="00A16C11"/>
    <w:rsid w:val="00A1710F"/>
    <w:rsid w:val="00A176F3"/>
    <w:rsid w:val="00A17A38"/>
    <w:rsid w:val="00A17A5B"/>
    <w:rsid w:val="00A17D61"/>
    <w:rsid w:val="00A17F61"/>
    <w:rsid w:val="00A20BA3"/>
    <w:rsid w:val="00A20D2C"/>
    <w:rsid w:val="00A20EAB"/>
    <w:rsid w:val="00A21A04"/>
    <w:rsid w:val="00A21A1D"/>
    <w:rsid w:val="00A21C26"/>
    <w:rsid w:val="00A2229F"/>
    <w:rsid w:val="00A22526"/>
    <w:rsid w:val="00A2293D"/>
    <w:rsid w:val="00A22E60"/>
    <w:rsid w:val="00A2324B"/>
    <w:rsid w:val="00A23429"/>
    <w:rsid w:val="00A234AD"/>
    <w:rsid w:val="00A24BBF"/>
    <w:rsid w:val="00A260F6"/>
    <w:rsid w:val="00A26F41"/>
    <w:rsid w:val="00A27544"/>
    <w:rsid w:val="00A304BC"/>
    <w:rsid w:val="00A311C9"/>
    <w:rsid w:val="00A3197D"/>
    <w:rsid w:val="00A319A0"/>
    <w:rsid w:val="00A31B6F"/>
    <w:rsid w:val="00A31B9B"/>
    <w:rsid w:val="00A31D5A"/>
    <w:rsid w:val="00A32403"/>
    <w:rsid w:val="00A33410"/>
    <w:rsid w:val="00A33FD1"/>
    <w:rsid w:val="00A340A4"/>
    <w:rsid w:val="00A340D0"/>
    <w:rsid w:val="00A342E6"/>
    <w:rsid w:val="00A349E0"/>
    <w:rsid w:val="00A34AE8"/>
    <w:rsid w:val="00A35969"/>
    <w:rsid w:val="00A35BC7"/>
    <w:rsid w:val="00A35E4A"/>
    <w:rsid w:val="00A36348"/>
    <w:rsid w:val="00A364D2"/>
    <w:rsid w:val="00A367EC"/>
    <w:rsid w:val="00A370A9"/>
    <w:rsid w:val="00A373B2"/>
    <w:rsid w:val="00A37430"/>
    <w:rsid w:val="00A376B5"/>
    <w:rsid w:val="00A3778A"/>
    <w:rsid w:val="00A4098A"/>
    <w:rsid w:val="00A40C52"/>
    <w:rsid w:val="00A40CF5"/>
    <w:rsid w:val="00A40E38"/>
    <w:rsid w:val="00A410FD"/>
    <w:rsid w:val="00A41316"/>
    <w:rsid w:val="00A414BB"/>
    <w:rsid w:val="00A41AEF"/>
    <w:rsid w:val="00A41D95"/>
    <w:rsid w:val="00A41F0E"/>
    <w:rsid w:val="00A4201D"/>
    <w:rsid w:val="00A42135"/>
    <w:rsid w:val="00A42A87"/>
    <w:rsid w:val="00A437B4"/>
    <w:rsid w:val="00A438AC"/>
    <w:rsid w:val="00A439DE"/>
    <w:rsid w:val="00A43A69"/>
    <w:rsid w:val="00A43A8A"/>
    <w:rsid w:val="00A446B4"/>
    <w:rsid w:val="00A44B87"/>
    <w:rsid w:val="00A4554F"/>
    <w:rsid w:val="00A4558F"/>
    <w:rsid w:val="00A46784"/>
    <w:rsid w:val="00A469E6"/>
    <w:rsid w:val="00A46D57"/>
    <w:rsid w:val="00A47603"/>
    <w:rsid w:val="00A5025E"/>
    <w:rsid w:val="00A507CB"/>
    <w:rsid w:val="00A50B60"/>
    <w:rsid w:val="00A5102E"/>
    <w:rsid w:val="00A51B47"/>
    <w:rsid w:val="00A51DC5"/>
    <w:rsid w:val="00A52024"/>
    <w:rsid w:val="00A5227B"/>
    <w:rsid w:val="00A52708"/>
    <w:rsid w:val="00A53055"/>
    <w:rsid w:val="00A5381F"/>
    <w:rsid w:val="00A5384B"/>
    <w:rsid w:val="00A53DEE"/>
    <w:rsid w:val="00A54098"/>
    <w:rsid w:val="00A54DBE"/>
    <w:rsid w:val="00A552FF"/>
    <w:rsid w:val="00A557B4"/>
    <w:rsid w:val="00A561C1"/>
    <w:rsid w:val="00A57876"/>
    <w:rsid w:val="00A57B84"/>
    <w:rsid w:val="00A57BB7"/>
    <w:rsid w:val="00A57DB2"/>
    <w:rsid w:val="00A60ABC"/>
    <w:rsid w:val="00A60F0C"/>
    <w:rsid w:val="00A6187C"/>
    <w:rsid w:val="00A61E87"/>
    <w:rsid w:val="00A62AB5"/>
    <w:rsid w:val="00A62FA6"/>
    <w:rsid w:val="00A6320D"/>
    <w:rsid w:val="00A6322E"/>
    <w:rsid w:val="00A63417"/>
    <w:rsid w:val="00A641B8"/>
    <w:rsid w:val="00A65913"/>
    <w:rsid w:val="00A66184"/>
    <w:rsid w:val="00A66674"/>
    <w:rsid w:val="00A66847"/>
    <w:rsid w:val="00A672EA"/>
    <w:rsid w:val="00A6752E"/>
    <w:rsid w:val="00A705A1"/>
    <w:rsid w:val="00A71421"/>
    <w:rsid w:val="00A71573"/>
    <w:rsid w:val="00A71829"/>
    <w:rsid w:val="00A71AB8"/>
    <w:rsid w:val="00A72097"/>
    <w:rsid w:val="00A7254E"/>
    <w:rsid w:val="00A725C1"/>
    <w:rsid w:val="00A72FA2"/>
    <w:rsid w:val="00A735B7"/>
    <w:rsid w:val="00A7378F"/>
    <w:rsid w:val="00A74378"/>
    <w:rsid w:val="00A74A2C"/>
    <w:rsid w:val="00A76867"/>
    <w:rsid w:val="00A76927"/>
    <w:rsid w:val="00A76F3C"/>
    <w:rsid w:val="00A77805"/>
    <w:rsid w:val="00A80A73"/>
    <w:rsid w:val="00A80FA3"/>
    <w:rsid w:val="00A81081"/>
    <w:rsid w:val="00A8167C"/>
    <w:rsid w:val="00A82F08"/>
    <w:rsid w:val="00A8305D"/>
    <w:rsid w:val="00A830B5"/>
    <w:rsid w:val="00A8429B"/>
    <w:rsid w:val="00A848FE"/>
    <w:rsid w:val="00A85495"/>
    <w:rsid w:val="00A85E83"/>
    <w:rsid w:val="00A86007"/>
    <w:rsid w:val="00A8603A"/>
    <w:rsid w:val="00A86299"/>
    <w:rsid w:val="00A86DAD"/>
    <w:rsid w:val="00A86FCE"/>
    <w:rsid w:val="00A87029"/>
    <w:rsid w:val="00A87099"/>
    <w:rsid w:val="00A870F7"/>
    <w:rsid w:val="00A871E0"/>
    <w:rsid w:val="00A87ADF"/>
    <w:rsid w:val="00A87CD0"/>
    <w:rsid w:val="00A90506"/>
    <w:rsid w:val="00A90652"/>
    <w:rsid w:val="00A90710"/>
    <w:rsid w:val="00A90E02"/>
    <w:rsid w:val="00A913C5"/>
    <w:rsid w:val="00A9185B"/>
    <w:rsid w:val="00A918D8"/>
    <w:rsid w:val="00A91C9F"/>
    <w:rsid w:val="00A91DD4"/>
    <w:rsid w:val="00A92C41"/>
    <w:rsid w:val="00A931C7"/>
    <w:rsid w:val="00A937F8"/>
    <w:rsid w:val="00A93A06"/>
    <w:rsid w:val="00A942F4"/>
    <w:rsid w:val="00A9452F"/>
    <w:rsid w:val="00A94558"/>
    <w:rsid w:val="00A94AD6"/>
    <w:rsid w:val="00A94B48"/>
    <w:rsid w:val="00A953C4"/>
    <w:rsid w:val="00A96273"/>
    <w:rsid w:val="00A96931"/>
    <w:rsid w:val="00A96E18"/>
    <w:rsid w:val="00A975A6"/>
    <w:rsid w:val="00A97A15"/>
    <w:rsid w:val="00AA03EC"/>
    <w:rsid w:val="00AA06A1"/>
    <w:rsid w:val="00AA0852"/>
    <w:rsid w:val="00AA0BFE"/>
    <w:rsid w:val="00AA0D58"/>
    <w:rsid w:val="00AA0EED"/>
    <w:rsid w:val="00AA13AA"/>
    <w:rsid w:val="00AA1B04"/>
    <w:rsid w:val="00AA2191"/>
    <w:rsid w:val="00AA292E"/>
    <w:rsid w:val="00AA2A9B"/>
    <w:rsid w:val="00AA3221"/>
    <w:rsid w:val="00AA346E"/>
    <w:rsid w:val="00AA3D89"/>
    <w:rsid w:val="00AA3DA7"/>
    <w:rsid w:val="00AA433C"/>
    <w:rsid w:val="00AA443A"/>
    <w:rsid w:val="00AA45A1"/>
    <w:rsid w:val="00AA4729"/>
    <w:rsid w:val="00AA4762"/>
    <w:rsid w:val="00AA4A61"/>
    <w:rsid w:val="00AA4C22"/>
    <w:rsid w:val="00AA4CDD"/>
    <w:rsid w:val="00AA502D"/>
    <w:rsid w:val="00AA52A1"/>
    <w:rsid w:val="00AA53B6"/>
    <w:rsid w:val="00AA59C3"/>
    <w:rsid w:val="00AA5DB8"/>
    <w:rsid w:val="00AA5E02"/>
    <w:rsid w:val="00AA69D1"/>
    <w:rsid w:val="00AA6E06"/>
    <w:rsid w:val="00AA761E"/>
    <w:rsid w:val="00AA7BA9"/>
    <w:rsid w:val="00AA7C3C"/>
    <w:rsid w:val="00AA7FE2"/>
    <w:rsid w:val="00AB037B"/>
    <w:rsid w:val="00AB0546"/>
    <w:rsid w:val="00AB183B"/>
    <w:rsid w:val="00AB262F"/>
    <w:rsid w:val="00AB2D29"/>
    <w:rsid w:val="00AB2D39"/>
    <w:rsid w:val="00AB45D4"/>
    <w:rsid w:val="00AB48A2"/>
    <w:rsid w:val="00AB494C"/>
    <w:rsid w:val="00AB4C38"/>
    <w:rsid w:val="00AB4E85"/>
    <w:rsid w:val="00AB61A4"/>
    <w:rsid w:val="00AB651C"/>
    <w:rsid w:val="00AB684A"/>
    <w:rsid w:val="00AB6C94"/>
    <w:rsid w:val="00AB7A09"/>
    <w:rsid w:val="00AB7A4B"/>
    <w:rsid w:val="00AC04C5"/>
    <w:rsid w:val="00AC124E"/>
    <w:rsid w:val="00AC146E"/>
    <w:rsid w:val="00AC175B"/>
    <w:rsid w:val="00AC2111"/>
    <w:rsid w:val="00AC230E"/>
    <w:rsid w:val="00AC25B3"/>
    <w:rsid w:val="00AC2C4E"/>
    <w:rsid w:val="00AC2F24"/>
    <w:rsid w:val="00AC3B17"/>
    <w:rsid w:val="00AC3B5E"/>
    <w:rsid w:val="00AC449A"/>
    <w:rsid w:val="00AC4FC5"/>
    <w:rsid w:val="00AC5543"/>
    <w:rsid w:val="00AC5F15"/>
    <w:rsid w:val="00AC60FD"/>
    <w:rsid w:val="00AC664A"/>
    <w:rsid w:val="00AC69AC"/>
    <w:rsid w:val="00AC719B"/>
    <w:rsid w:val="00AC77F9"/>
    <w:rsid w:val="00AC7824"/>
    <w:rsid w:val="00AD134B"/>
    <w:rsid w:val="00AD1656"/>
    <w:rsid w:val="00AD1CCE"/>
    <w:rsid w:val="00AD1F15"/>
    <w:rsid w:val="00AD298C"/>
    <w:rsid w:val="00AD29C4"/>
    <w:rsid w:val="00AD2B6B"/>
    <w:rsid w:val="00AD3709"/>
    <w:rsid w:val="00AD3DD5"/>
    <w:rsid w:val="00AD46B4"/>
    <w:rsid w:val="00AD4775"/>
    <w:rsid w:val="00AD61E6"/>
    <w:rsid w:val="00AD6C23"/>
    <w:rsid w:val="00AD6EFF"/>
    <w:rsid w:val="00AD7468"/>
    <w:rsid w:val="00AD77F4"/>
    <w:rsid w:val="00AD7D47"/>
    <w:rsid w:val="00AD7F3B"/>
    <w:rsid w:val="00AE004F"/>
    <w:rsid w:val="00AE0508"/>
    <w:rsid w:val="00AE0935"/>
    <w:rsid w:val="00AE0E21"/>
    <w:rsid w:val="00AE13CB"/>
    <w:rsid w:val="00AE2328"/>
    <w:rsid w:val="00AE265F"/>
    <w:rsid w:val="00AE282A"/>
    <w:rsid w:val="00AE36B9"/>
    <w:rsid w:val="00AE3F20"/>
    <w:rsid w:val="00AE4630"/>
    <w:rsid w:val="00AE50DA"/>
    <w:rsid w:val="00AE50E1"/>
    <w:rsid w:val="00AE5780"/>
    <w:rsid w:val="00AE630A"/>
    <w:rsid w:val="00AE6768"/>
    <w:rsid w:val="00AE6F7C"/>
    <w:rsid w:val="00AE725F"/>
    <w:rsid w:val="00AE7CEE"/>
    <w:rsid w:val="00AE7EF1"/>
    <w:rsid w:val="00AE7FA3"/>
    <w:rsid w:val="00AF0365"/>
    <w:rsid w:val="00AF04FB"/>
    <w:rsid w:val="00AF05B1"/>
    <w:rsid w:val="00AF0B7F"/>
    <w:rsid w:val="00AF1039"/>
    <w:rsid w:val="00AF1773"/>
    <w:rsid w:val="00AF1C37"/>
    <w:rsid w:val="00AF1DE6"/>
    <w:rsid w:val="00AF2CAB"/>
    <w:rsid w:val="00AF309C"/>
    <w:rsid w:val="00AF349E"/>
    <w:rsid w:val="00AF4437"/>
    <w:rsid w:val="00AF4987"/>
    <w:rsid w:val="00AF617D"/>
    <w:rsid w:val="00AF6358"/>
    <w:rsid w:val="00AF67EC"/>
    <w:rsid w:val="00AF6913"/>
    <w:rsid w:val="00AF737D"/>
    <w:rsid w:val="00AF7480"/>
    <w:rsid w:val="00AF79F7"/>
    <w:rsid w:val="00AF7AD7"/>
    <w:rsid w:val="00B0012C"/>
    <w:rsid w:val="00B003E8"/>
    <w:rsid w:val="00B00606"/>
    <w:rsid w:val="00B00892"/>
    <w:rsid w:val="00B00C13"/>
    <w:rsid w:val="00B00CB8"/>
    <w:rsid w:val="00B00D03"/>
    <w:rsid w:val="00B01B00"/>
    <w:rsid w:val="00B01F3D"/>
    <w:rsid w:val="00B02017"/>
    <w:rsid w:val="00B020A7"/>
    <w:rsid w:val="00B025BB"/>
    <w:rsid w:val="00B025E9"/>
    <w:rsid w:val="00B03A1D"/>
    <w:rsid w:val="00B03A40"/>
    <w:rsid w:val="00B03D62"/>
    <w:rsid w:val="00B03F14"/>
    <w:rsid w:val="00B04427"/>
    <w:rsid w:val="00B0467C"/>
    <w:rsid w:val="00B050B8"/>
    <w:rsid w:val="00B05803"/>
    <w:rsid w:val="00B05997"/>
    <w:rsid w:val="00B0608A"/>
    <w:rsid w:val="00B06939"/>
    <w:rsid w:val="00B10E2F"/>
    <w:rsid w:val="00B10FDC"/>
    <w:rsid w:val="00B1103D"/>
    <w:rsid w:val="00B11759"/>
    <w:rsid w:val="00B12CD1"/>
    <w:rsid w:val="00B13314"/>
    <w:rsid w:val="00B13EA4"/>
    <w:rsid w:val="00B14254"/>
    <w:rsid w:val="00B144D1"/>
    <w:rsid w:val="00B14D82"/>
    <w:rsid w:val="00B15A61"/>
    <w:rsid w:val="00B15B53"/>
    <w:rsid w:val="00B16907"/>
    <w:rsid w:val="00B1695A"/>
    <w:rsid w:val="00B16D44"/>
    <w:rsid w:val="00B17F28"/>
    <w:rsid w:val="00B2026D"/>
    <w:rsid w:val="00B20292"/>
    <w:rsid w:val="00B20771"/>
    <w:rsid w:val="00B212CA"/>
    <w:rsid w:val="00B21333"/>
    <w:rsid w:val="00B21B60"/>
    <w:rsid w:val="00B2277B"/>
    <w:rsid w:val="00B23139"/>
    <w:rsid w:val="00B23297"/>
    <w:rsid w:val="00B2383C"/>
    <w:rsid w:val="00B23950"/>
    <w:rsid w:val="00B23997"/>
    <w:rsid w:val="00B23D1B"/>
    <w:rsid w:val="00B24AEA"/>
    <w:rsid w:val="00B24ED2"/>
    <w:rsid w:val="00B256CD"/>
    <w:rsid w:val="00B257D7"/>
    <w:rsid w:val="00B260E0"/>
    <w:rsid w:val="00B26186"/>
    <w:rsid w:val="00B26925"/>
    <w:rsid w:val="00B269C0"/>
    <w:rsid w:val="00B27497"/>
    <w:rsid w:val="00B3027C"/>
    <w:rsid w:val="00B309D2"/>
    <w:rsid w:val="00B30CB0"/>
    <w:rsid w:val="00B31210"/>
    <w:rsid w:val="00B313D9"/>
    <w:rsid w:val="00B31CA0"/>
    <w:rsid w:val="00B32D0F"/>
    <w:rsid w:val="00B33CBD"/>
    <w:rsid w:val="00B346AE"/>
    <w:rsid w:val="00B34A68"/>
    <w:rsid w:val="00B350C9"/>
    <w:rsid w:val="00B3586C"/>
    <w:rsid w:val="00B362C8"/>
    <w:rsid w:val="00B370A9"/>
    <w:rsid w:val="00B37882"/>
    <w:rsid w:val="00B379F6"/>
    <w:rsid w:val="00B37B27"/>
    <w:rsid w:val="00B40345"/>
    <w:rsid w:val="00B408E5"/>
    <w:rsid w:val="00B415B7"/>
    <w:rsid w:val="00B41854"/>
    <w:rsid w:val="00B41DD7"/>
    <w:rsid w:val="00B42446"/>
    <w:rsid w:val="00B42758"/>
    <w:rsid w:val="00B42BB4"/>
    <w:rsid w:val="00B42E9D"/>
    <w:rsid w:val="00B435DD"/>
    <w:rsid w:val="00B435E7"/>
    <w:rsid w:val="00B43A8B"/>
    <w:rsid w:val="00B447D7"/>
    <w:rsid w:val="00B44B50"/>
    <w:rsid w:val="00B44DE5"/>
    <w:rsid w:val="00B4505A"/>
    <w:rsid w:val="00B45DF8"/>
    <w:rsid w:val="00B4644A"/>
    <w:rsid w:val="00B46DED"/>
    <w:rsid w:val="00B471E0"/>
    <w:rsid w:val="00B47505"/>
    <w:rsid w:val="00B47746"/>
    <w:rsid w:val="00B5045C"/>
    <w:rsid w:val="00B50954"/>
    <w:rsid w:val="00B512BC"/>
    <w:rsid w:val="00B512CA"/>
    <w:rsid w:val="00B519AA"/>
    <w:rsid w:val="00B51BA2"/>
    <w:rsid w:val="00B51CCB"/>
    <w:rsid w:val="00B51E6C"/>
    <w:rsid w:val="00B51E99"/>
    <w:rsid w:val="00B51EA9"/>
    <w:rsid w:val="00B5309A"/>
    <w:rsid w:val="00B53BAD"/>
    <w:rsid w:val="00B53C19"/>
    <w:rsid w:val="00B53FD0"/>
    <w:rsid w:val="00B5466C"/>
    <w:rsid w:val="00B549F2"/>
    <w:rsid w:val="00B54F2B"/>
    <w:rsid w:val="00B54FA6"/>
    <w:rsid w:val="00B5523C"/>
    <w:rsid w:val="00B5534B"/>
    <w:rsid w:val="00B55CC4"/>
    <w:rsid w:val="00B55ED5"/>
    <w:rsid w:val="00B55F26"/>
    <w:rsid w:val="00B56511"/>
    <w:rsid w:val="00B5763F"/>
    <w:rsid w:val="00B576B6"/>
    <w:rsid w:val="00B57E3E"/>
    <w:rsid w:val="00B602FC"/>
    <w:rsid w:val="00B605E5"/>
    <w:rsid w:val="00B60751"/>
    <w:rsid w:val="00B60993"/>
    <w:rsid w:val="00B60B9A"/>
    <w:rsid w:val="00B616C3"/>
    <w:rsid w:val="00B61F7F"/>
    <w:rsid w:val="00B62C5A"/>
    <w:rsid w:val="00B6370D"/>
    <w:rsid w:val="00B638C4"/>
    <w:rsid w:val="00B64167"/>
    <w:rsid w:val="00B64189"/>
    <w:rsid w:val="00B64A1F"/>
    <w:rsid w:val="00B64CD8"/>
    <w:rsid w:val="00B64F9E"/>
    <w:rsid w:val="00B65D49"/>
    <w:rsid w:val="00B66C0A"/>
    <w:rsid w:val="00B66D35"/>
    <w:rsid w:val="00B670A0"/>
    <w:rsid w:val="00B672AA"/>
    <w:rsid w:val="00B67AF0"/>
    <w:rsid w:val="00B67BF8"/>
    <w:rsid w:val="00B700D4"/>
    <w:rsid w:val="00B70134"/>
    <w:rsid w:val="00B70936"/>
    <w:rsid w:val="00B709B7"/>
    <w:rsid w:val="00B70D8C"/>
    <w:rsid w:val="00B7121C"/>
    <w:rsid w:val="00B715EE"/>
    <w:rsid w:val="00B71A9A"/>
    <w:rsid w:val="00B72BCC"/>
    <w:rsid w:val="00B72CF2"/>
    <w:rsid w:val="00B737BC"/>
    <w:rsid w:val="00B740E2"/>
    <w:rsid w:val="00B741FF"/>
    <w:rsid w:val="00B7455A"/>
    <w:rsid w:val="00B7472B"/>
    <w:rsid w:val="00B74AB5"/>
    <w:rsid w:val="00B75428"/>
    <w:rsid w:val="00B7561C"/>
    <w:rsid w:val="00B756E5"/>
    <w:rsid w:val="00B762DC"/>
    <w:rsid w:val="00B763C6"/>
    <w:rsid w:val="00B7781C"/>
    <w:rsid w:val="00B77C57"/>
    <w:rsid w:val="00B8045A"/>
    <w:rsid w:val="00B80655"/>
    <w:rsid w:val="00B81BE2"/>
    <w:rsid w:val="00B82991"/>
    <w:rsid w:val="00B82AE5"/>
    <w:rsid w:val="00B8323D"/>
    <w:rsid w:val="00B83A7F"/>
    <w:rsid w:val="00B83B69"/>
    <w:rsid w:val="00B83C04"/>
    <w:rsid w:val="00B84888"/>
    <w:rsid w:val="00B84AAB"/>
    <w:rsid w:val="00B8533A"/>
    <w:rsid w:val="00B858FC"/>
    <w:rsid w:val="00B85F88"/>
    <w:rsid w:val="00B8697F"/>
    <w:rsid w:val="00B8706D"/>
    <w:rsid w:val="00B87486"/>
    <w:rsid w:val="00B909A2"/>
    <w:rsid w:val="00B91226"/>
    <w:rsid w:val="00B91607"/>
    <w:rsid w:val="00B917F2"/>
    <w:rsid w:val="00B919F2"/>
    <w:rsid w:val="00B92729"/>
    <w:rsid w:val="00B92AFD"/>
    <w:rsid w:val="00B934E7"/>
    <w:rsid w:val="00B937B5"/>
    <w:rsid w:val="00B93816"/>
    <w:rsid w:val="00B93970"/>
    <w:rsid w:val="00B93FB4"/>
    <w:rsid w:val="00B94E7F"/>
    <w:rsid w:val="00B951DD"/>
    <w:rsid w:val="00B95427"/>
    <w:rsid w:val="00B956B6"/>
    <w:rsid w:val="00B956C5"/>
    <w:rsid w:val="00B95BFF"/>
    <w:rsid w:val="00B962C4"/>
    <w:rsid w:val="00B9650D"/>
    <w:rsid w:val="00B965C4"/>
    <w:rsid w:val="00B967AB"/>
    <w:rsid w:val="00B96E7E"/>
    <w:rsid w:val="00B977F1"/>
    <w:rsid w:val="00B9781D"/>
    <w:rsid w:val="00B978C4"/>
    <w:rsid w:val="00B978F5"/>
    <w:rsid w:val="00B97A67"/>
    <w:rsid w:val="00B97D15"/>
    <w:rsid w:val="00B97E53"/>
    <w:rsid w:val="00BA0539"/>
    <w:rsid w:val="00BA05ED"/>
    <w:rsid w:val="00BA100B"/>
    <w:rsid w:val="00BA1A5A"/>
    <w:rsid w:val="00BA372B"/>
    <w:rsid w:val="00BA38EB"/>
    <w:rsid w:val="00BA539A"/>
    <w:rsid w:val="00BA548C"/>
    <w:rsid w:val="00BA5D86"/>
    <w:rsid w:val="00BA60D9"/>
    <w:rsid w:val="00BA632B"/>
    <w:rsid w:val="00BA639D"/>
    <w:rsid w:val="00BA6DAB"/>
    <w:rsid w:val="00BA6E78"/>
    <w:rsid w:val="00BA7B22"/>
    <w:rsid w:val="00BB00AB"/>
    <w:rsid w:val="00BB04A4"/>
    <w:rsid w:val="00BB0558"/>
    <w:rsid w:val="00BB0F92"/>
    <w:rsid w:val="00BB18FB"/>
    <w:rsid w:val="00BB23A9"/>
    <w:rsid w:val="00BB2A8F"/>
    <w:rsid w:val="00BB3216"/>
    <w:rsid w:val="00BB3E88"/>
    <w:rsid w:val="00BB4DE3"/>
    <w:rsid w:val="00BB54A5"/>
    <w:rsid w:val="00BB55A2"/>
    <w:rsid w:val="00BB566C"/>
    <w:rsid w:val="00BB576C"/>
    <w:rsid w:val="00BB594D"/>
    <w:rsid w:val="00BB59A9"/>
    <w:rsid w:val="00BB5E4A"/>
    <w:rsid w:val="00BB6084"/>
    <w:rsid w:val="00BB6A86"/>
    <w:rsid w:val="00BB6EB3"/>
    <w:rsid w:val="00BB7011"/>
    <w:rsid w:val="00BB7050"/>
    <w:rsid w:val="00BB7A65"/>
    <w:rsid w:val="00BC0583"/>
    <w:rsid w:val="00BC0FB3"/>
    <w:rsid w:val="00BC1545"/>
    <w:rsid w:val="00BC15E3"/>
    <w:rsid w:val="00BC1E55"/>
    <w:rsid w:val="00BC3737"/>
    <w:rsid w:val="00BC3EA8"/>
    <w:rsid w:val="00BC567F"/>
    <w:rsid w:val="00BC5A56"/>
    <w:rsid w:val="00BC5DA5"/>
    <w:rsid w:val="00BC5EE1"/>
    <w:rsid w:val="00BC60E9"/>
    <w:rsid w:val="00BC63DA"/>
    <w:rsid w:val="00BC6677"/>
    <w:rsid w:val="00BC6991"/>
    <w:rsid w:val="00BC7C97"/>
    <w:rsid w:val="00BC7F65"/>
    <w:rsid w:val="00BD049F"/>
    <w:rsid w:val="00BD0C86"/>
    <w:rsid w:val="00BD0D4A"/>
    <w:rsid w:val="00BD146A"/>
    <w:rsid w:val="00BD1984"/>
    <w:rsid w:val="00BD20C9"/>
    <w:rsid w:val="00BD2AA1"/>
    <w:rsid w:val="00BD2E1E"/>
    <w:rsid w:val="00BD3A99"/>
    <w:rsid w:val="00BD3BF5"/>
    <w:rsid w:val="00BD3CB8"/>
    <w:rsid w:val="00BD4021"/>
    <w:rsid w:val="00BD4127"/>
    <w:rsid w:val="00BD44F6"/>
    <w:rsid w:val="00BD4932"/>
    <w:rsid w:val="00BD4CBC"/>
    <w:rsid w:val="00BD4DE0"/>
    <w:rsid w:val="00BD606D"/>
    <w:rsid w:val="00BD64CF"/>
    <w:rsid w:val="00BD6577"/>
    <w:rsid w:val="00BD6759"/>
    <w:rsid w:val="00BD67F4"/>
    <w:rsid w:val="00BD6922"/>
    <w:rsid w:val="00BD696D"/>
    <w:rsid w:val="00BD6C75"/>
    <w:rsid w:val="00BE05E1"/>
    <w:rsid w:val="00BE0832"/>
    <w:rsid w:val="00BE0907"/>
    <w:rsid w:val="00BE0EB4"/>
    <w:rsid w:val="00BE1266"/>
    <w:rsid w:val="00BE12AB"/>
    <w:rsid w:val="00BE1767"/>
    <w:rsid w:val="00BE1C46"/>
    <w:rsid w:val="00BE1F61"/>
    <w:rsid w:val="00BE21E7"/>
    <w:rsid w:val="00BE2510"/>
    <w:rsid w:val="00BE291B"/>
    <w:rsid w:val="00BE2F28"/>
    <w:rsid w:val="00BE3160"/>
    <w:rsid w:val="00BE35CA"/>
    <w:rsid w:val="00BE3935"/>
    <w:rsid w:val="00BE3BC7"/>
    <w:rsid w:val="00BE3C30"/>
    <w:rsid w:val="00BE3EE7"/>
    <w:rsid w:val="00BE4291"/>
    <w:rsid w:val="00BE4B21"/>
    <w:rsid w:val="00BE4B64"/>
    <w:rsid w:val="00BE52BF"/>
    <w:rsid w:val="00BE56C4"/>
    <w:rsid w:val="00BE5A41"/>
    <w:rsid w:val="00BE64C1"/>
    <w:rsid w:val="00BE670C"/>
    <w:rsid w:val="00BE696F"/>
    <w:rsid w:val="00BE6A83"/>
    <w:rsid w:val="00BE734F"/>
    <w:rsid w:val="00BE73D5"/>
    <w:rsid w:val="00BE77C5"/>
    <w:rsid w:val="00BF0C00"/>
    <w:rsid w:val="00BF0F00"/>
    <w:rsid w:val="00BF1277"/>
    <w:rsid w:val="00BF1BDD"/>
    <w:rsid w:val="00BF1F7B"/>
    <w:rsid w:val="00BF296F"/>
    <w:rsid w:val="00BF2D17"/>
    <w:rsid w:val="00BF2F5C"/>
    <w:rsid w:val="00BF393A"/>
    <w:rsid w:val="00BF49F8"/>
    <w:rsid w:val="00BF4D94"/>
    <w:rsid w:val="00BF504C"/>
    <w:rsid w:val="00BF505F"/>
    <w:rsid w:val="00BF5CA6"/>
    <w:rsid w:val="00BF6394"/>
    <w:rsid w:val="00BF68EE"/>
    <w:rsid w:val="00BF70F4"/>
    <w:rsid w:val="00BF75CB"/>
    <w:rsid w:val="00BF7BC0"/>
    <w:rsid w:val="00C00404"/>
    <w:rsid w:val="00C004F2"/>
    <w:rsid w:val="00C00A7B"/>
    <w:rsid w:val="00C00D22"/>
    <w:rsid w:val="00C015F5"/>
    <w:rsid w:val="00C0214A"/>
    <w:rsid w:val="00C02528"/>
    <w:rsid w:val="00C0293D"/>
    <w:rsid w:val="00C02B90"/>
    <w:rsid w:val="00C02C8D"/>
    <w:rsid w:val="00C02F8D"/>
    <w:rsid w:val="00C02FC4"/>
    <w:rsid w:val="00C0301F"/>
    <w:rsid w:val="00C030A0"/>
    <w:rsid w:val="00C03235"/>
    <w:rsid w:val="00C03A04"/>
    <w:rsid w:val="00C04654"/>
    <w:rsid w:val="00C046C1"/>
    <w:rsid w:val="00C05330"/>
    <w:rsid w:val="00C058BC"/>
    <w:rsid w:val="00C0633A"/>
    <w:rsid w:val="00C065EE"/>
    <w:rsid w:val="00C06B94"/>
    <w:rsid w:val="00C07EBC"/>
    <w:rsid w:val="00C10470"/>
    <w:rsid w:val="00C10FFD"/>
    <w:rsid w:val="00C112A4"/>
    <w:rsid w:val="00C118F3"/>
    <w:rsid w:val="00C124A7"/>
    <w:rsid w:val="00C12833"/>
    <w:rsid w:val="00C13166"/>
    <w:rsid w:val="00C13F09"/>
    <w:rsid w:val="00C143AC"/>
    <w:rsid w:val="00C15690"/>
    <w:rsid w:val="00C15840"/>
    <w:rsid w:val="00C15A82"/>
    <w:rsid w:val="00C15C7F"/>
    <w:rsid w:val="00C15F82"/>
    <w:rsid w:val="00C16E4E"/>
    <w:rsid w:val="00C171FB"/>
    <w:rsid w:val="00C17465"/>
    <w:rsid w:val="00C17951"/>
    <w:rsid w:val="00C17CCF"/>
    <w:rsid w:val="00C20167"/>
    <w:rsid w:val="00C208ED"/>
    <w:rsid w:val="00C20934"/>
    <w:rsid w:val="00C21686"/>
    <w:rsid w:val="00C21B45"/>
    <w:rsid w:val="00C223DC"/>
    <w:rsid w:val="00C22EA6"/>
    <w:rsid w:val="00C237DA"/>
    <w:rsid w:val="00C2462E"/>
    <w:rsid w:val="00C24D86"/>
    <w:rsid w:val="00C269FB"/>
    <w:rsid w:val="00C27CF5"/>
    <w:rsid w:val="00C3036C"/>
    <w:rsid w:val="00C306EB"/>
    <w:rsid w:val="00C308C7"/>
    <w:rsid w:val="00C3098D"/>
    <w:rsid w:val="00C310B6"/>
    <w:rsid w:val="00C323CD"/>
    <w:rsid w:val="00C32626"/>
    <w:rsid w:val="00C328A8"/>
    <w:rsid w:val="00C330D9"/>
    <w:rsid w:val="00C331F8"/>
    <w:rsid w:val="00C3360C"/>
    <w:rsid w:val="00C33968"/>
    <w:rsid w:val="00C33C27"/>
    <w:rsid w:val="00C33ED6"/>
    <w:rsid w:val="00C344B4"/>
    <w:rsid w:val="00C3502E"/>
    <w:rsid w:val="00C35033"/>
    <w:rsid w:val="00C35821"/>
    <w:rsid w:val="00C3587D"/>
    <w:rsid w:val="00C37129"/>
    <w:rsid w:val="00C3764D"/>
    <w:rsid w:val="00C376A1"/>
    <w:rsid w:val="00C3794D"/>
    <w:rsid w:val="00C403CB"/>
    <w:rsid w:val="00C414B5"/>
    <w:rsid w:val="00C414F4"/>
    <w:rsid w:val="00C417DD"/>
    <w:rsid w:val="00C4260A"/>
    <w:rsid w:val="00C4289A"/>
    <w:rsid w:val="00C42B44"/>
    <w:rsid w:val="00C44747"/>
    <w:rsid w:val="00C44B5E"/>
    <w:rsid w:val="00C451FA"/>
    <w:rsid w:val="00C4572C"/>
    <w:rsid w:val="00C45835"/>
    <w:rsid w:val="00C45844"/>
    <w:rsid w:val="00C46B39"/>
    <w:rsid w:val="00C46BFE"/>
    <w:rsid w:val="00C46DB7"/>
    <w:rsid w:val="00C4732D"/>
    <w:rsid w:val="00C476FB"/>
    <w:rsid w:val="00C47D3B"/>
    <w:rsid w:val="00C50046"/>
    <w:rsid w:val="00C50084"/>
    <w:rsid w:val="00C503AA"/>
    <w:rsid w:val="00C5067A"/>
    <w:rsid w:val="00C51C63"/>
    <w:rsid w:val="00C5243D"/>
    <w:rsid w:val="00C528B0"/>
    <w:rsid w:val="00C5297D"/>
    <w:rsid w:val="00C52FA2"/>
    <w:rsid w:val="00C5371F"/>
    <w:rsid w:val="00C5382B"/>
    <w:rsid w:val="00C53992"/>
    <w:rsid w:val="00C542F5"/>
    <w:rsid w:val="00C54E21"/>
    <w:rsid w:val="00C54EBC"/>
    <w:rsid w:val="00C55266"/>
    <w:rsid w:val="00C55970"/>
    <w:rsid w:val="00C55A4B"/>
    <w:rsid w:val="00C55AE2"/>
    <w:rsid w:val="00C55B31"/>
    <w:rsid w:val="00C5610F"/>
    <w:rsid w:val="00C564E2"/>
    <w:rsid w:val="00C56794"/>
    <w:rsid w:val="00C569DB"/>
    <w:rsid w:val="00C576F9"/>
    <w:rsid w:val="00C60556"/>
    <w:rsid w:val="00C60ACA"/>
    <w:rsid w:val="00C60D2B"/>
    <w:rsid w:val="00C613D1"/>
    <w:rsid w:val="00C61C94"/>
    <w:rsid w:val="00C626E3"/>
    <w:rsid w:val="00C63D3F"/>
    <w:rsid w:val="00C63FD8"/>
    <w:rsid w:val="00C6401E"/>
    <w:rsid w:val="00C6449D"/>
    <w:rsid w:val="00C64ED3"/>
    <w:rsid w:val="00C64FB6"/>
    <w:rsid w:val="00C6524E"/>
    <w:rsid w:val="00C672AF"/>
    <w:rsid w:val="00C67379"/>
    <w:rsid w:val="00C676F8"/>
    <w:rsid w:val="00C67AF8"/>
    <w:rsid w:val="00C67BA7"/>
    <w:rsid w:val="00C67FE4"/>
    <w:rsid w:val="00C7011D"/>
    <w:rsid w:val="00C7051C"/>
    <w:rsid w:val="00C70965"/>
    <w:rsid w:val="00C70D49"/>
    <w:rsid w:val="00C72CEA"/>
    <w:rsid w:val="00C7322D"/>
    <w:rsid w:val="00C73F84"/>
    <w:rsid w:val="00C7418F"/>
    <w:rsid w:val="00C74C00"/>
    <w:rsid w:val="00C74F98"/>
    <w:rsid w:val="00C74FDD"/>
    <w:rsid w:val="00C75473"/>
    <w:rsid w:val="00C761B8"/>
    <w:rsid w:val="00C76EE8"/>
    <w:rsid w:val="00C77505"/>
    <w:rsid w:val="00C8004B"/>
    <w:rsid w:val="00C810A1"/>
    <w:rsid w:val="00C81155"/>
    <w:rsid w:val="00C81263"/>
    <w:rsid w:val="00C81678"/>
    <w:rsid w:val="00C81AAC"/>
    <w:rsid w:val="00C81FDE"/>
    <w:rsid w:val="00C8200B"/>
    <w:rsid w:val="00C820C0"/>
    <w:rsid w:val="00C8366E"/>
    <w:rsid w:val="00C84DD7"/>
    <w:rsid w:val="00C84E05"/>
    <w:rsid w:val="00C8614D"/>
    <w:rsid w:val="00C86E6D"/>
    <w:rsid w:val="00C903FC"/>
    <w:rsid w:val="00C9044E"/>
    <w:rsid w:val="00C907D4"/>
    <w:rsid w:val="00C90A89"/>
    <w:rsid w:val="00C91185"/>
    <w:rsid w:val="00C91491"/>
    <w:rsid w:val="00C917C0"/>
    <w:rsid w:val="00C91A87"/>
    <w:rsid w:val="00C91FC6"/>
    <w:rsid w:val="00C922CA"/>
    <w:rsid w:val="00C9266F"/>
    <w:rsid w:val="00C9361A"/>
    <w:rsid w:val="00C943B5"/>
    <w:rsid w:val="00C9476E"/>
    <w:rsid w:val="00C953CD"/>
    <w:rsid w:val="00C955D4"/>
    <w:rsid w:val="00C9621F"/>
    <w:rsid w:val="00C9637C"/>
    <w:rsid w:val="00C97267"/>
    <w:rsid w:val="00C978BB"/>
    <w:rsid w:val="00CA01D7"/>
    <w:rsid w:val="00CA0250"/>
    <w:rsid w:val="00CA0481"/>
    <w:rsid w:val="00CA1C9E"/>
    <w:rsid w:val="00CA237C"/>
    <w:rsid w:val="00CA2E5F"/>
    <w:rsid w:val="00CA3299"/>
    <w:rsid w:val="00CA335B"/>
    <w:rsid w:val="00CA3C43"/>
    <w:rsid w:val="00CA3E9D"/>
    <w:rsid w:val="00CA3FF1"/>
    <w:rsid w:val="00CA4669"/>
    <w:rsid w:val="00CA47B3"/>
    <w:rsid w:val="00CA4DCD"/>
    <w:rsid w:val="00CA5D56"/>
    <w:rsid w:val="00CA6733"/>
    <w:rsid w:val="00CA68E0"/>
    <w:rsid w:val="00CA6DE6"/>
    <w:rsid w:val="00CA719C"/>
    <w:rsid w:val="00CA7786"/>
    <w:rsid w:val="00CA7A05"/>
    <w:rsid w:val="00CA7B42"/>
    <w:rsid w:val="00CB02F7"/>
    <w:rsid w:val="00CB0510"/>
    <w:rsid w:val="00CB061B"/>
    <w:rsid w:val="00CB0D60"/>
    <w:rsid w:val="00CB0E9D"/>
    <w:rsid w:val="00CB0F1B"/>
    <w:rsid w:val="00CB1A69"/>
    <w:rsid w:val="00CB1F2A"/>
    <w:rsid w:val="00CB243F"/>
    <w:rsid w:val="00CB2CC1"/>
    <w:rsid w:val="00CB30A7"/>
    <w:rsid w:val="00CB325D"/>
    <w:rsid w:val="00CB3348"/>
    <w:rsid w:val="00CB4FF5"/>
    <w:rsid w:val="00CB5276"/>
    <w:rsid w:val="00CB57CA"/>
    <w:rsid w:val="00CB6912"/>
    <w:rsid w:val="00CB6CF4"/>
    <w:rsid w:val="00CB797D"/>
    <w:rsid w:val="00CC06ED"/>
    <w:rsid w:val="00CC0DFE"/>
    <w:rsid w:val="00CC0E67"/>
    <w:rsid w:val="00CC1735"/>
    <w:rsid w:val="00CC18CE"/>
    <w:rsid w:val="00CC1E33"/>
    <w:rsid w:val="00CC1FC6"/>
    <w:rsid w:val="00CC37BA"/>
    <w:rsid w:val="00CC4327"/>
    <w:rsid w:val="00CC4664"/>
    <w:rsid w:val="00CC5206"/>
    <w:rsid w:val="00CC5AC7"/>
    <w:rsid w:val="00CC6BE9"/>
    <w:rsid w:val="00CC7DEC"/>
    <w:rsid w:val="00CC7E49"/>
    <w:rsid w:val="00CD01CF"/>
    <w:rsid w:val="00CD0B6E"/>
    <w:rsid w:val="00CD0DB1"/>
    <w:rsid w:val="00CD13BF"/>
    <w:rsid w:val="00CD1A04"/>
    <w:rsid w:val="00CD1B95"/>
    <w:rsid w:val="00CD1D0C"/>
    <w:rsid w:val="00CD21AF"/>
    <w:rsid w:val="00CD29CD"/>
    <w:rsid w:val="00CD3372"/>
    <w:rsid w:val="00CD33CB"/>
    <w:rsid w:val="00CD3E80"/>
    <w:rsid w:val="00CD43C5"/>
    <w:rsid w:val="00CD45F0"/>
    <w:rsid w:val="00CD4644"/>
    <w:rsid w:val="00CD4C48"/>
    <w:rsid w:val="00CD4D1C"/>
    <w:rsid w:val="00CD501F"/>
    <w:rsid w:val="00CD7558"/>
    <w:rsid w:val="00CD781D"/>
    <w:rsid w:val="00CD7D09"/>
    <w:rsid w:val="00CE0042"/>
    <w:rsid w:val="00CE01A5"/>
    <w:rsid w:val="00CE02A7"/>
    <w:rsid w:val="00CE03F3"/>
    <w:rsid w:val="00CE0A5A"/>
    <w:rsid w:val="00CE0C08"/>
    <w:rsid w:val="00CE0FB5"/>
    <w:rsid w:val="00CE1423"/>
    <w:rsid w:val="00CE25EC"/>
    <w:rsid w:val="00CE2C9E"/>
    <w:rsid w:val="00CE3264"/>
    <w:rsid w:val="00CE3D85"/>
    <w:rsid w:val="00CE4454"/>
    <w:rsid w:val="00CE45B2"/>
    <w:rsid w:val="00CE49DE"/>
    <w:rsid w:val="00CE5509"/>
    <w:rsid w:val="00CE56DF"/>
    <w:rsid w:val="00CE5D8E"/>
    <w:rsid w:val="00CE5E87"/>
    <w:rsid w:val="00CE713D"/>
    <w:rsid w:val="00CE7E40"/>
    <w:rsid w:val="00CF00C9"/>
    <w:rsid w:val="00CF0313"/>
    <w:rsid w:val="00CF0324"/>
    <w:rsid w:val="00CF03DC"/>
    <w:rsid w:val="00CF043A"/>
    <w:rsid w:val="00CF0A05"/>
    <w:rsid w:val="00CF0BC5"/>
    <w:rsid w:val="00CF0E0A"/>
    <w:rsid w:val="00CF1204"/>
    <w:rsid w:val="00CF1775"/>
    <w:rsid w:val="00CF188F"/>
    <w:rsid w:val="00CF1F5D"/>
    <w:rsid w:val="00CF211C"/>
    <w:rsid w:val="00CF264B"/>
    <w:rsid w:val="00CF2D71"/>
    <w:rsid w:val="00CF2F19"/>
    <w:rsid w:val="00CF3182"/>
    <w:rsid w:val="00CF4151"/>
    <w:rsid w:val="00CF4F09"/>
    <w:rsid w:val="00CF4F1F"/>
    <w:rsid w:val="00CF4FE2"/>
    <w:rsid w:val="00CF50C7"/>
    <w:rsid w:val="00CF5A13"/>
    <w:rsid w:val="00CF636D"/>
    <w:rsid w:val="00CF67A1"/>
    <w:rsid w:val="00CF687B"/>
    <w:rsid w:val="00CF6A34"/>
    <w:rsid w:val="00CF6B92"/>
    <w:rsid w:val="00CF760A"/>
    <w:rsid w:val="00CF7D3D"/>
    <w:rsid w:val="00D00425"/>
    <w:rsid w:val="00D00987"/>
    <w:rsid w:val="00D00DA7"/>
    <w:rsid w:val="00D01665"/>
    <w:rsid w:val="00D01E44"/>
    <w:rsid w:val="00D02401"/>
    <w:rsid w:val="00D0242D"/>
    <w:rsid w:val="00D02977"/>
    <w:rsid w:val="00D03159"/>
    <w:rsid w:val="00D03216"/>
    <w:rsid w:val="00D033B1"/>
    <w:rsid w:val="00D03724"/>
    <w:rsid w:val="00D03AFD"/>
    <w:rsid w:val="00D04347"/>
    <w:rsid w:val="00D04764"/>
    <w:rsid w:val="00D04F97"/>
    <w:rsid w:val="00D052A0"/>
    <w:rsid w:val="00D07806"/>
    <w:rsid w:val="00D07EC0"/>
    <w:rsid w:val="00D104E6"/>
    <w:rsid w:val="00D114C5"/>
    <w:rsid w:val="00D11EB2"/>
    <w:rsid w:val="00D12202"/>
    <w:rsid w:val="00D1251B"/>
    <w:rsid w:val="00D12872"/>
    <w:rsid w:val="00D13EF8"/>
    <w:rsid w:val="00D1443A"/>
    <w:rsid w:val="00D14E14"/>
    <w:rsid w:val="00D15405"/>
    <w:rsid w:val="00D16220"/>
    <w:rsid w:val="00D16923"/>
    <w:rsid w:val="00D17599"/>
    <w:rsid w:val="00D17D0A"/>
    <w:rsid w:val="00D2093B"/>
    <w:rsid w:val="00D20B19"/>
    <w:rsid w:val="00D21C06"/>
    <w:rsid w:val="00D223CE"/>
    <w:rsid w:val="00D2267F"/>
    <w:rsid w:val="00D2366B"/>
    <w:rsid w:val="00D24283"/>
    <w:rsid w:val="00D244B5"/>
    <w:rsid w:val="00D245D7"/>
    <w:rsid w:val="00D245F1"/>
    <w:rsid w:val="00D25730"/>
    <w:rsid w:val="00D25B79"/>
    <w:rsid w:val="00D26345"/>
    <w:rsid w:val="00D268A6"/>
    <w:rsid w:val="00D26FA7"/>
    <w:rsid w:val="00D27382"/>
    <w:rsid w:val="00D27914"/>
    <w:rsid w:val="00D27B76"/>
    <w:rsid w:val="00D27F6C"/>
    <w:rsid w:val="00D308B1"/>
    <w:rsid w:val="00D308C0"/>
    <w:rsid w:val="00D30DB8"/>
    <w:rsid w:val="00D313E7"/>
    <w:rsid w:val="00D31731"/>
    <w:rsid w:val="00D31778"/>
    <w:rsid w:val="00D31A96"/>
    <w:rsid w:val="00D31D4E"/>
    <w:rsid w:val="00D31EC3"/>
    <w:rsid w:val="00D32078"/>
    <w:rsid w:val="00D32D56"/>
    <w:rsid w:val="00D333D4"/>
    <w:rsid w:val="00D343CF"/>
    <w:rsid w:val="00D34473"/>
    <w:rsid w:val="00D34A37"/>
    <w:rsid w:val="00D34FFC"/>
    <w:rsid w:val="00D3524A"/>
    <w:rsid w:val="00D35487"/>
    <w:rsid w:val="00D359FC"/>
    <w:rsid w:val="00D3771C"/>
    <w:rsid w:val="00D40A50"/>
    <w:rsid w:val="00D4138D"/>
    <w:rsid w:val="00D415B7"/>
    <w:rsid w:val="00D41706"/>
    <w:rsid w:val="00D41982"/>
    <w:rsid w:val="00D424C7"/>
    <w:rsid w:val="00D42B5A"/>
    <w:rsid w:val="00D43FB3"/>
    <w:rsid w:val="00D44319"/>
    <w:rsid w:val="00D4435B"/>
    <w:rsid w:val="00D44BEF"/>
    <w:rsid w:val="00D45247"/>
    <w:rsid w:val="00D454B7"/>
    <w:rsid w:val="00D4597A"/>
    <w:rsid w:val="00D47A7C"/>
    <w:rsid w:val="00D50C34"/>
    <w:rsid w:val="00D50C69"/>
    <w:rsid w:val="00D512D0"/>
    <w:rsid w:val="00D515C6"/>
    <w:rsid w:val="00D5165B"/>
    <w:rsid w:val="00D527BB"/>
    <w:rsid w:val="00D53805"/>
    <w:rsid w:val="00D539E4"/>
    <w:rsid w:val="00D53F8E"/>
    <w:rsid w:val="00D542C4"/>
    <w:rsid w:val="00D54CE5"/>
    <w:rsid w:val="00D54CEF"/>
    <w:rsid w:val="00D553C8"/>
    <w:rsid w:val="00D55598"/>
    <w:rsid w:val="00D55759"/>
    <w:rsid w:val="00D55EE0"/>
    <w:rsid w:val="00D56754"/>
    <w:rsid w:val="00D60075"/>
    <w:rsid w:val="00D60659"/>
    <w:rsid w:val="00D60C22"/>
    <w:rsid w:val="00D60D04"/>
    <w:rsid w:val="00D61152"/>
    <w:rsid w:val="00D613A2"/>
    <w:rsid w:val="00D61E49"/>
    <w:rsid w:val="00D6260F"/>
    <w:rsid w:val="00D62DFF"/>
    <w:rsid w:val="00D637C3"/>
    <w:rsid w:val="00D63A09"/>
    <w:rsid w:val="00D63C31"/>
    <w:rsid w:val="00D64C75"/>
    <w:rsid w:val="00D65587"/>
    <w:rsid w:val="00D666E8"/>
    <w:rsid w:val="00D67241"/>
    <w:rsid w:val="00D67FEC"/>
    <w:rsid w:val="00D7064B"/>
    <w:rsid w:val="00D70864"/>
    <w:rsid w:val="00D708C8"/>
    <w:rsid w:val="00D70A80"/>
    <w:rsid w:val="00D724D5"/>
    <w:rsid w:val="00D72779"/>
    <w:rsid w:val="00D72EFD"/>
    <w:rsid w:val="00D72F9B"/>
    <w:rsid w:val="00D73847"/>
    <w:rsid w:val="00D73A39"/>
    <w:rsid w:val="00D750EE"/>
    <w:rsid w:val="00D7524B"/>
    <w:rsid w:val="00D766C2"/>
    <w:rsid w:val="00D76A65"/>
    <w:rsid w:val="00D77B8C"/>
    <w:rsid w:val="00D800E4"/>
    <w:rsid w:val="00D80999"/>
    <w:rsid w:val="00D80B41"/>
    <w:rsid w:val="00D8133D"/>
    <w:rsid w:val="00D81421"/>
    <w:rsid w:val="00D81572"/>
    <w:rsid w:val="00D827B5"/>
    <w:rsid w:val="00D83370"/>
    <w:rsid w:val="00D833A6"/>
    <w:rsid w:val="00D84A3A"/>
    <w:rsid w:val="00D8543D"/>
    <w:rsid w:val="00D8594C"/>
    <w:rsid w:val="00D85ABA"/>
    <w:rsid w:val="00D86155"/>
    <w:rsid w:val="00D869BC"/>
    <w:rsid w:val="00D871CB"/>
    <w:rsid w:val="00D87326"/>
    <w:rsid w:val="00D876E8"/>
    <w:rsid w:val="00D908DD"/>
    <w:rsid w:val="00D910F0"/>
    <w:rsid w:val="00D91477"/>
    <w:rsid w:val="00D92314"/>
    <w:rsid w:val="00D94162"/>
    <w:rsid w:val="00D94685"/>
    <w:rsid w:val="00D95903"/>
    <w:rsid w:val="00D96122"/>
    <w:rsid w:val="00D96E96"/>
    <w:rsid w:val="00D96EF8"/>
    <w:rsid w:val="00D96F9B"/>
    <w:rsid w:val="00D9730D"/>
    <w:rsid w:val="00D9768B"/>
    <w:rsid w:val="00DA0289"/>
    <w:rsid w:val="00DA0812"/>
    <w:rsid w:val="00DA15F9"/>
    <w:rsid w:val="00DA19F8"/>
    <w:rsid w:val="00DA1C71"/>
    <w:rsid w:val="00DA1CAC"/>
    <w:rsid w:val="00DA2413"/>
    <w:rsid w:val="00DA24B0"/>
    <w:rsid w:val="00DA2F5B"/>
    <w:rsid w:val="00DA3840"/>
    <w:rsid w:val="00DA3E20"/>
    <w:rsid w:val="00DA4811"/>
    <w:rsid w:val="00DA4C71"/>
    <w:rsid w:val="00DA5256"/>
    <w:rsid w:val="00DA5BD9"/>
    <w:rsid w:val="00DA5F0B"/>
    <w:rsid w:val="00DA5F5C"/>
    <w:rsid w:val="00DA6CA6"/>
    <w:rsid w:val="00DA6D6E"/>
    <w:rsid w:val="00DA6E9A"/>
    <w:rsid w:val="00DA7006"/>
    <w:rsid w:val="00DA71F5"/>
    <w:rsid w:val="00DA778F"/>
    <w:rsid w:val="00DB1BF9"/>
    <w:rsid w:val="00DB201E"/>
    <w:rsid w:val="00DB2430"/>
    <w:rsid w:val="00DB26B8"/>
    <w:rsid w:val="00DB2A93"/>
    <w:rsid w:val="00DB2E18"/>
    <w:rsid w:val="00DB41FE"/>
    <w:rsid w:val="00DB5106"/>
    <w:rsid w:val="00DB5A6F"/>
    <w:rsid w:val="00DB6252"/>
    <w:rsid w:val="00DB6363"/>
    <w:rsid w:val="00DB64D5"/>
    <w:rsid w:val="00DB7CB9"/>
    <w:rsid w:val="00DB7FA8"/>
    <w:rsid w:val="00DC083E"/>
    <w:rsid w:val="00DC1202"/>
    <w:rsid w:val="00DC1950"/>
    <w:rsid w:val="00DC19FB"/>
    <w:rsid w:val="00DC2371"/>
    <w:rsid w:val="00DC2695"/>
    <w:rsid w:val="00DC3330"/>
    <w:rsid w:val="00DC3ADB"/>
    <w:rsid w:val="00DC41DB"/>
    <w:rsid w:val="00DC4464"/>
    <w:rsid w:val="00DC50F0"/>
    <w:rsid w:val="00DC6822"/>
    <w:rsid w:val="00DC6FE7"/>
    <w:rsid w:val="00DC733E"/>
    <w:rsid w:val="00DC79F2"/>
    <w:rsid w:val="00DC7BAE"/>
    <w:rsid w:val="00DC7C32"/>
    <w:rsid w:val="00DD042A"/>
    <w:rsid w:val="00DD0482"/>
    <w:rsid w:val="00DD07A7"/>
    <w:rsid w:val="00DD0FB8"/>
    <w:rsid w:val="00DD2605"/>
    <w:rsid w:val="00DD263C"/>
    <w:rsid w:val="00DD286B"/>
    <w:rsid w:val="00DD2D60"/>
    <w:rsid w:val="00DD40A9"/>
    <w:rsid w:val="00DD4157"/>
    <w:rsid w:val="00DD47C0"/>
    <w:rsid w:val="00DD4AD7"/>
    <w:rsid w:val="00DD4DDD"/>
    <w:rsid w:val="00DD51B0"/>
    <w:rsid w:val="00DD5203"/>
    <w:rsid w:val="00DD560D"/>
    <w:rsid w:val="00DD5860"/>
    <w:rsid w:val="00DD604D"/>
    <w:rsid w:val="00DD6352"/>
    <w:rsid w:val="00DD7347"/>
    <w:rsid w:val="00DD7428"/>
    <w:rsid w:val="00DD79FD"/>
    <w:rsid w:val="00DD7A3E"/>
    <w:rsid w:val="00DD7D25"/>
    <w:rsid w:val="00DE09AF"/>
    <w:rsid w:val="00DE0CCF"/>
    <w:rsid w:val="00DE0EE3"/>
    <w:rsid w:val="00DE1CB8"/>
    <w:rsid w:val="00DE1CFA"/>
    <w:rsid w:val="00DE217E"/>
    <w:rsid w:val="00DE247B"/>
    <w:rsid w:val="00DE2DFA"/>
    <w:rsid w:val="00DE32A0"/>
    <w:rsid w:val="00DE33FB"/>
    <w:rsid w:val="00DE3440"/>
    <w:rsid w:val="00DE375F"/>
    <w:rsid w:val="00DE3B31"/>
    <w:rsid w:val="00DE3BC1"/>
    <w:rsid w:val="00DE4398"/>
    <w:rsid w:val="00DE458F"/>
    <w:rsid w:val="00DE4AE5"/>
    <w:rsid w:val="00DE4FFA"/>
    <w:rsid w:val="00DE5E61"/>
    <w:rsid w:val="00DE6472"/>
    <w:rsid w:val="00DE7A07"/>
    <w:rsid w:val="00DE7A3C"/>
    <w:rsid w:val="00DE7B0E"/>
    <w:rsid w:val="00DE7EB9"/>
    <w:rsid w:val="00DF04BD"/>
    <w:rsid w:val="00DF089D"/>
    <w:rsid w:val="00DF09B5"/>
    <w:rsid w:val="00DF18F4"/>
    <w:rsid w:val="00DF1962"/>
    <w:rsid w:val="00DF2EB4"/>
    <w:rsid w:val="00DF322A"/>
    <w:rsid w:val="00DF363E"/>
    <w:rsid w:val="00DF37A8"/>
    <w:rsid w:val="00DF42C2"/>
    <w:rsid w:val="00DF43FF"/>
    <w:rsid w:val="00DF5250"/>
    <w:rsid w:val="00DF55BD"/>
    <w:rsid w:val="00DF6318"/>
    <w:rsid w:val="00DF66B6"/>
    <w:rsid w:val="00DF6BCA"/>
    <w:rsid w:val="00DF6F8F"/>
    <w:rsid w:val="00DF7154"/>
    <w:rsid w:val="00DF72E3"/>
    <w:rsid w:val="00DF7828"/>
    <w:rsid w:val="00E00863"/>
    <w:rsid w:val="00E00C99"/>
    <w:rsid w:val="00E00CC0"/>
    <w:rsid w:val="00E00E48"/>
    <w:rsid w:val="00E01072"/>
    <w:rsid w:val="00E011D1"/>
    <w:rsid w:val="00E0136A"/>
    <w:rsid w:val="00E01D32"/>
    <w:rsid w:val="00E01DB1"/>
    <w:rsid w:val="00E02023"/>
    <w:rsid w:val="00E0204B"/>
    <w:rsid w:val="00E028E7"/>
    <w:rsid w:val="00E031C9"/>
    <w:rsid w:val="00E0332A"/>
    <w:rsid w:val="00E03901"/>
    <w:rsid w:val="00E03944"/>
    <w:rsid w:val="00E041A1"/>
    <w:rsid w:val="00E049F7"/>
    <w:rsid w:val="00E053DF"/>
    <w:rsid w:val="00E05624"/>
    <w:rsid w:val="00E057CC"/>
    <w:rsid w:val="00E0598C"/>
    <w:rsid w:val="00E07075"/>
    <w:rsid w:val="00E07EE9"/>
    <w:rsid w:val="00E101B7"/>
    <w:rsid w:val="00E102BE"/>
    <w:rsid w:val="00E103E7"/>
    <w:rsid w:val="00E114A0"/>
    <w:rsid w:val="00E126F7"/>
    <w:rsid w:val="00E12AA1"/>
    <w:rsid w:val="00E133BC"/>
    <w:rsid w:val="00E13702"/>
    <w:rsid w:val="00E137AF"/>
    <w:rsid w:val="00E13B56"/>
    <w:rsid w:val="00E13E73"/>
    <w:rsid w:val="00E142FF"/>
    <w:rsid w:val="00E14456"/>
    <w:rsid w:val="00E145E6"/>
    <w:rsid w:val="00E15A66"/>
    <w:rsid w:val="00E15DF1"/>
    <w:rsid w:val="00E15F21"/>
    <w:rsid w:val="00E16E4C"/>
    <w:rsid w:val="00E16EE6"/>
    <w:rsid w:val="00E17FA7"/>
    <w:rsid w:val="00E207CC"/>
    <w:rsid w:val="00E21280"/>
    <w:rsid w:val="00E212A1"/>
    <w:rsid w:val="00E21D2E"/>
    <w:rsid w:val="00E223C7"/>
    <w:rsid w:val="00E2277E"/>
    <w:rsid w:val="00E22AFE"/>
    <w:rsid w:val="00E22C8D"/>
    <w:rsid w:val="00E231DB"/>
    <w:rsid w:val="00E2377B"/>
    <w:rsid w:val="00E239CE"/>
    <w:rsid w:val="00E24F13"/>
    <w:rsid w:val="00E250EB"/>
    <w:rsid w:val="00E251D3"/>
    <w:rsid w:val="00E25543"/>
    <w:rsid w:val="00E25963"/>
    <w:rsid w:val="00E25EBF"/>
    <w:rsid w:val="00E25F35"/>
    <w:rsid w:val="00E25FA9"/>
    <w:rsid w:val="00E260B6"/>
    <w:rsid w:val="00E26187"/>
    <w:rsid w:val="00E269D6"/>
    <w:rsid w:val="00E26CB7"/>
    <w:rsid w:val="00E27051"/>
    <w:rsid w:val="00E274B0"/>
    <w:rsid w:val="00E27563"/>
    <w:rsid w:val="00E30E62"/>
    <w:rsid w:val="00E314FB"/>
    <w:rsid w:val="00E31FBD"/>
    <w:rsid w:val="00E339E7"/>
    <w:rsid w:val="00E33E49"/>
    <w:rsid w:val="00E34865"/>
    <w:rsid w:val="00E34977"/>
    <w:rsid w:val="00E3498F"/>
    <w:rsid w:val="00E34A29"/>
    <w:rsid w:val="00E34ABC"/>
    <w:rsid w:val="00E3524B"/>
    <w:rsid w:val="00E36A28"/>
    <w:rsid w:val="00E3725A"/>
    <w:rsid w:val="00E3732C"/>
    <w:rsid w:val="00E37417"/>
    <w:rsid w:val="00E40210"/>
    <w:rsid w:val="00E40444"/>
    <w:rsid w:val="00E407B3"/>
    <w:rsid w:val="00E40F2F"/>
    <w:rsid w:val="00E40FE7"/>
    <w:rsid w:val="00E417F6"/>
    <w:rsid w:val="00E41858"/>
    <w:rsid w:val="00E41A49"/>
    <w:rsid w:val="00E42960"/>
    <w:rsid w:val="00E43065"/>
    <w:rsid w:val="00E43074"/>
    <w:rsid w:val="00E434B7"/>
    <w:rsid w:val="00E43A03"/>
    <w:rsid w:val="00E43F2F"/>
    <w:rsid w:val="00E44BE1"/>
    <w:rsid w:val="00E44D0F"/>
    <w:rsid w:val="00E4548A"/>
    <w:rsid w:val="00E4633C"/>
    <w:rsid w:val="00E46377"/>
    <w:rsid w:val="00E464AB"/>
    <w:rsid w:val="00E46A2B"/>
    <w:rsid w:val="00E47108"/>
    <w:rsid w:val="00E47456"/>
    <w:rsid w:val="00E47AAE"/>
    <w:rsid w:val="00E50AFE"/>
    <w:rsid w:val="00E50D24"/>
    <w:rsid w:val="00E512A6"/>
    <w:rsid w:val="00E512DF"/>
    <w:rsid w:val="00E5161B"/>
    <w:rsid w:val="00E51709"/>
    <w:rsid w:val="00E51A8D"/>
    <w:rsid w:val="00E51EB1"/>
    <w:rsid w:val="00E52C35"/>
    <w:rsid w:val="00E52F43"/>
    <w:rsid w:val="00E534F8"/>
    <w:rsid w:val="00E53702"/>
    <w:rsid w:val="00E53AE2"/>
    <w:rsid w:val="00E544AF"/>
    <w:rsid w:val="00E54F13"/>
    <w:rsid w:val="00E553B0"/>
    <w:rsid w:val="00E555E4"/>
    <w:rsid w:val="00E558A6"/>
    <w:rsid w:val="00E55D50"/>
    <w:rsid w:val="00E5619A"/>
    <w:rsid w:val="00E5644B"/>
    <w:rsid w:val="00E57803"/>
    <w:rsid w:val="00E5785D"/>
    <w:rsid w:val="00E60483"/>
    <w:rsid w:val="00E61BA5"/>
    <w:rsid w:val="00E61DF6"/>
    <w:rsid w:val="00E61E25"/>
    <w:rsid w:val="00E624E1"/>
    <w:rsid w:val="00E62DA8"/>
    <w:rsid w:val="00E62DAB"/>
    <w:rsid w:val="00E63300"/>
    <w:rsid w:val="00E6361A"/>
    <w:rsid w:val="00E639E1"/>
    <w:rsid w:val="00E63A0E"/>
    <w:rsid w:val="00E64336"/>
    <w:rsid w:val="00E65BE3"/>
    <w:rsid w:val="00E65D10"/>
    <w:rsid w:val="00E66805"/>
    <w:rsid w:val="00E673B0"/>
    <w:rsid w:val="00E67690"/>
    <w:rsid w:val="00E67FF2"/>
    <w:rsid w:val="00E70014"/>
    <w:rsid w:val="00E70047"/>
    <w:rsid w:val="00E70981"/>
    <w:rsid w:val="00E713BF"/>
    <w:rsid w:val="00E714AE"/>
    <w:rsid w:val="00E71578"/>
    <w:rsid w:val="00E7181F"/>
    <w:rsid w:val="00E720A4"/>
    <w:rsid w:val="00E7243C"/>
    <w:rsid w:val="00E72455"/>
    <w:rsid w:val="00E730E1"/>
    <w:rsid w:val="00E737E7"/>
    <w:rsid w:val="00E738DD"/>
    <w:rsid w:val="00E74CE9"/>
    <w:rsid w:val="00E751A8"/>
    <w:rsid w:val="00E75A15"/>
    <w:rsid w:val="00E76A6F"/>
    <w:rsid w:val="00E76D12"/>
    <w:rsid w:val="00E77587"/>
    <w:rsid w:val="00E77EB3"/>
    <w:rsid w:val="00E77F6D"/>
    <w:rsid w:val="00E80774"/>
    <w:rsid w:val="00E8127E"/>
    <w:rsid w:val="00E812F7"/>
    <w:rsid w:val="00E81B4A"/>
    <w:rsid w:val="00E8208C"/>
    <w:rsid w:val="00E82815"/>
    <w:rsid w:val="00E83438"/>
    <w:rsid w:val="00E846E7"/>
    <w:rsid w:val="00E847F2"/>
    <w:rsid w:val="00E85229"/>
    <w:rsid w:val="00E85329"/>
    <w:rsid w:val="00E854ED"/>
    <w:rsid w:val="00E85674"/>
    <w:rsid w:val="00E8615C"/>
    <w:rsid w:val="00E86AE5"/>
    <w:rsid w:val="00E86BCB"/>
    <w:rsid w:val="00E86FF7"/>
    <w:rsid w:val="00E877E5"/>
    <w:rsid w:val="00E87A11"/>
    <w:rsid w:val="00E900EB"/>
    <w:rsid w:val="00E902AD"/>
    <w:rsid w:val="00E903AC"/>
    <w:rsid w:val="00E9065E"/>
    <w:rsid w:val="00E90B16"/>
    <w:rsid w:val="00E90F40"/>
    <w:rsid w:val="00E913E5"/>
    <w:rsid w:val="00E9168B"/>
    <w:rsid w:val="00E91EF6"/>
    <w:rsid w:val="00E92B3C"/>
    <w:rsid w:val="00E93AE9"/>
    <w:rsid w:val="00E93B6E"/>
    <w:rsid w:val="00E93C9B"/>
    <w:rsid w:val="00E93EF8"/>
    <w:rsid w:val="00E9418C"/>
    <w:rsid w:val="00E9512D"/>
    <w:rsid w:val="00E9536D"/>
    <w:rsid w:val="00E95E77"/>
    <w:rsid w:val="00E9621E"/>
    <w:rsid w:val="00E965FF"/>
    <w:rsid w:val="00E96705"/>
    <w:rsid w:val="00E96A39"/>
    <w:rsid w:val="00E97E25"/>
    <w:rsid w:val="00EA0BBF"/>
    <w:rsid w:val="00EA0C18"/>
    <w:rsid w:val="00EA1986"/>
    <w:rsid w:val="00EA23AC"/>
    <w:rsid w:val="00EA26F1"/>
    <w:rsid w:val="00EA28C1"/>
    <w:rsid w:val="00EA2FBF"/>
    <w:rsid w:val="00EA31A5"/>
    <w:rsid w:val="00EA3495"/>
    <w:rsid w:val="00EA3D81"/>
    <w:rsid w:val="00EA3F9D"/>
    <w:rsid w:val="00EA43C1"/>
    <w:rsid w:val="00EA48BA"/>
    <w:rsid w:val="00EA4B8E"/>
    <w:rsid w:val="00EA4DB7"/>
    <w:rsid w:val="00EA5151"/>
    <w:rsid w:val="00EA670F"/>
    <w:rsid w:val="00EA6925"/>
    <w:rsid w:val="00EA7437"/>
    <w:rsid w:val="00EA78FE"/>
    <w:rsid w:val="00EA7E66"/>
    <w:rsid w:val="00EB002A"/>
    <w:rsid w:val="00EB1BBB"/>
    <w:rsid w:val="00EB25AE"/>
    <w:rsid w:val="00EB2B06"/>
    <w:rsid w:val="00EB32A8"/>
    <w:rsid w:val="00EB3A4D"/>
    <w:rsid w:val="00EB3AD9"/>
    <w:rsid w:val="00EB3AF1"/>
    <w:rsid w:val="00EB4F6B"/>
    <w:rsid w:val="00EB50C0"/>
    <w:rsid w:val="00EB510B"/>
    <w:rsid w:val="00EB57F5"/>
    <w:rsid w:val="00EB5809"/>
    <w:rsid w:val="00EB5F63"/>
    <w:rsid w:val="00EB72A1"/>
    <w:rsid w:val="00EB73E0"/>
    <w:rsid w:val="00EB7618"/>
    <w:rsid w:val="00EB7BCF"/>
    <w:rsid w:val="00EC16C5"/>
    <w:rsid w:val="00EC1FA7"/>
    <w:rsid w:val="00EC37EF"/>
    <w:rsid w:val="00EC394A"/>
    <w:rsid w:val="00EC3EAA"/>
    <w:rsid w:val="00EC3F67"/>
    <w:rsid w:val="00EC4F79"/>
    <w:rsid w:val="00EC544B"/>
    <w:rsid w:val="00EC6133"/>
    <w:rsid w:val="00EC6197"/>
    <w:rsid w:val="00EC6362"/>
    <w:rsid w:val="00EC6416"/>
    <w:rsid w:val="00EC7CED"/>
    <w:rsid w:val="00ED0247"/>
    <w:rsid w:val="00ED0357"/>
    <w:rsid w:val="00ED0D08"/>
    <w:rsid w:val="00ED0F63"/>
    <w:rsid w:val="00ED1027"/>
    <w:rsid w:val="00ED1C37"/>
    <w:rsid w:val="00ED1C4A"/>
    <w:rsid w:val="00ED531B"/>
    <w:rsid w:val="00ED534E"/>
    <w:rsid w:val="00ED5352"/>
    <w:rsid w:val="00ED54B3"/>
    <w:rsid w:val="00ED550D"/>
    <w:rsid w:val="00ED6034"/>
    <w:rsid w:val="00ED6245"/>
    <w:rsid w:val="00ED71D4"/>
    <w:rsid w:val="00EE0BFE"/>
    <w:rsid w:val="00EE17C5"/>
    <w:rsid w:val="00EE195F"/>
    <w:rsid w:val="00EE199F"/>
    <w:rsid w:val="00EE1BF7"/>
    <w:rsid w:val="00EE201C"/>
    <w:rsid w:val="00EE2B4C"/>
    <w:rsid w:val="00EE2C9F"/>
    <w:rsid w:val="00EE2F41"/>
    <w:rsid w:val="00EE338F"/>
    <w:rsid w:val="00EE3551"/>
    <w:rsid w:val="00EE41A9"/>
    <w:rsid w:val="00EE4845"/>
    <w:rsid w:val="00EE527B"/>
    <w:rsid w:val="00EE5561"/>
    <w:rsid w:val="00EE5F3E"/>
    <w:rsid w:val="00EE6021"/>
    <w:rsid w:val="00EE6868"/>
    <w:rsid w:val="00EE7546"/>
    <w:rsid w:val="00EE7957"/>
    <w:rsid w:val="00EF013A"/>
    <w:rsid w:val="00EF06D7"/>
    <w:rsid w:val="00EF167F"/>
    <w:rsid w:val="00EF1DB3"/>
    <w:rsid w:val="00EF217F"/>
    <w:rsid w:val="00EF2580"/>
    <w:rsid w:val="00EF2581"/>
    <w:rsid w:val="00EF2B16"/>
    <w:rsid w:val="00EF2B80"/>
    <w:rsid w:val="00EF3146"/>
    <w:rsid w:val="00EF3186"/>
    <w:rsid w:val="00EF3220"/>
    <w:rsid w:val="00EF36AE"/>
    <w:rsid w:val="00EF3D98"/>
    <w:rsid w:val="00EF3F93"/>
    <w:rsid w:val="00EF49C4"/>
    <w:rsid w:val="00EF4B90"/>
    <w:rsid w:val="00EF539A"/>
    <w:rsid w:val="00EF607F"/>
    <w:rsid w:val="00EF6109"/>
    <w:rsid w:val="00EF67FF"/>
    <w:rsid w:val="00EF6B38"/>
    <w:rsid w:val="00EF6C9E"/>
    <w:rsid w:val="00EF6DA3"/>
    <w:rsid w:val="00EF73B7"/>
    <w:rsid w:val="00EF73CB"/>
    <w:rsid w:val="00EF7778"/>
    <w:rsid w:val="00EF7BD2"/>
    <w:rsid w:val="00F00BC4"/>
    <w:rsid w:val="00F0156D"/>
    <w:rsid w:val="00F015CB"/>
    <w:rsid w:val="00F03BFB"/>
    <w:rsid w:val="00F03E37"/>
    <w:rsid w:val="00F03E74"/>
    <w:rsid w:val="00F044EF"/>
    <w:rsid w:val="00F0462D"/>
    <w:rsid w:val="00F04D04"/>
    <w:rsid w:val="00F05E5E"/>
    <w:rsid w:val="00F063F1"/>
    <w:rsid w:val="00F066DE"/>
    <w:rsid w:val="00F067F2"/>
    <w:rsid w:val="00F06BC9"/>
    <w:rsid w:val="00F07203"/>
    <w:rsid w:val="00F076F5"/>
    <w:rsid w:val="00F07938"/>
    <w:rsid w:val="00F07DE7"/>
    <w:rsid w:val="00F07E20"/>
    <w:rsid w:val="00F10146"/>
    <w:rsid w:val="00F115AF"/>
    <w:rsid w:val="00F11710"/>
    <w:rsid w:val="00F117FD"/>
    <w:rsid w:val="00F120A7"/>
    <w:rsid w:val="00F1308E"/>
    <w:rsid w:val="00F1379D"/>
    <w:rsid w:val="00F139C4"/>
    <w:rsid w:val="00F142D4"/>
    <w:rsid w:val="00F14556"/>
    <w:rsid w:val="00F14DFA"/>
    <w:rsid w:val="00F14E56"/>
    <w:rsid w:val="00F14F07"/>
    <w:rsid w:val="00F150D0"/>
    <w:rsid w:val="00F15B22"/>
    <w:rsid w:val="00F16111"/>
    <w:rsid w:val="00F169C4"/>
    <w:rsid w:val="00F16E34"/>
    <w:rsid w:val="00F172A4"/>
    <w:rsid w:val="00F206F7"/>
    <w:rsid w:val="00F20FCC"/>
    <w:rsid w:val="00F2133C"/>
    <w:rsid w:val="00F2143F"/>
    <w:rsid w:val="00F21D6A"/>
    <w:rsid w:val="00F23744"/>
    <w:rsid w:val="00F23E39"/>
    <w:rsid w:val="00F24050"/>
    <w:rsid w:val="00F24056"/>
    <w:rsid w:val="00F249F0"/>
    <w:rsid w:val="00F26BAD"/>
    <w:rsid w:val="00F2760E"/>
    <w:rsid w:val="00F304D2"/>
    <w:rsid w:val="00F3257E"/>
    <w:rsid w:val="00F32A84"/>
    <w:rsid w:val="00F33020"/>
    <w:rsid w:val="00F33131"/>
    <w:rsid w:val="00F33420"/>
    <w:rsid w:val="00F33F19"/>
    <w:rsid w:val="00F34640"/>
    <w:rsid w:val="00F347E9"/>
    <w:rsid w:val="00F35016"/>
    <w:rsid w:val="00F350F1"/>
    <w:rsid w:val="00F3552A"/>
    <w:rsid w:val="00F355A4"/>
    <w:rsid w:val="00F35E03"/>
    <w:rsid w:val="00F361A3"/>
    <w:rsid w:val="00F364A2"/>
    <w:rsid w:val="00F3660E"/>
    <w:rsid w:val="00F37A5F"/>
    <w:rsid w:val="00F37C7A"/>
    <w:rsid w:val="00F4047A"/>
    <w:rsid w:val="00F408E5"/>
    <w:rsid w:val="00F40B07"/>
    <w:rsid w:val="00F415AE"/>
    <w:rsid w:val="00F415CF"/>
    <w:rsid w:val="00F415DF"/>
    <w:rsid w:val="00F41E8D"/>
    <w:rsid w:val="00F4203D"/>
    <w:rsid w:val="00F42202"/>
    <w:rsid w:val="00F4296E"/>
    <w:rsid w:val="00F429F2"/>
    <w:rsid w:val="00F42D87"/>
    <w:rsid w:val="00F42DB9"/>
    <w:rsid w:val="00F431C5"/>
    <w:rsid w:val="00F437F8"/>
    <w:rsid w:val="00F4396B"/>
    <w:rsid w:val="00F4453D"/>
    <w:rsid w:val="00F45987"/>
    <w:rsid w:val="00F465B6"/>
    <w:rsid w:val="00F46C7E"/>
    <w:rsid w:val="00F47332"/>
    <w:rsid w:val="00F4744D"/>
    <w:rsid w:val="00F4751A"/>
    <w:rsid w:val="00F475DE"/>
    <w:rsid w:val="00F47D55"/>
    <w:rsid w:val="00F504AF"/>
    <w:rsid w:val="00F50920"/>
    <w:rsid w:val="00F50C05"/>
    <w:rsid w:val="00F50CB8"/>
    <w:rsid w:val="00F514E3"/>
    <w:rsid w:val="00F51AB0"/>
    <w:rsid w:val="00F52364"/>
    <w:rsid w:val="00F53122"/>
    <w:rsid w:val="00F547C8"/>
    <w:rsid w:val="00F54D6B"/>
    <w:rsid w:val="00F55355"/>
    <w:rsid w:val="00F55ADD"/>
    <w:rsid w:val="00F57746"/>
    <w:rsid w:val="00F57C6C"/>
    <w:rsid w:val="00F603FD"/>
    <w:rsid w:val="00F60CDD"/>
    <w:rsid w:val="00F60E1C"/>
    <w:rsid w:val="00F60F0D"/>
    <w:rsid w:val="00F61185"/>
    <w:rsid w:val="00F6136E"/>
    <w:rsid w:val="00F614AE"/>
    <w:rsid w:val="00F61C2C"/>
    <w:rsid w:val="00F61E33"/>
    <w:rsid w:val="00F62727"/>
    <w:rsid w:val="00F628F4"/>
    <w:rsid w:val="00F62AB7"/>
    <w:rsid w:val="00F63DD7"/>
    <w:rsid w:val="00F63F45"/>
    <w:rsid w:val="00F64389"/>
    <w:rsid w:val="00F644DD"/>
    <w:rsid w:val="00F64E83"/>
    <w:rsid w:val="00F659FC"/>
    <w:rsid w:val="00F65A1E"/>
    <w:rsid w:val="00F65BDE"/>
    <w:rsid w:val="00F6645A"/>
    <w:rsid w:val="00F6678A"/>
    <w:rsid w:val="00F674F8"/>
    <w:rsid w:val="00F6759F"/>
    <w:rsid w:val="00F678B3"/>
    <w:rsid w:val="00F6793A"/>
    <w:rsid w:val="00F67B0D"/>
    <w:rsid w:val="00F67ED5"/>
    <w:rsid w:val="00F71090"/>
    <w:rsid w:val="00F711ED"/>
    <w:rsid w:val="00F7165E"/>
    <w:rsid w:val="00F71B96"/>
    <w:rsid w:val="00F71FFB"/>
    <w:rsid w:val="00F720C0"/>
    <w:rsid w:val="00F72437"/>
    <w:rsid w:val="00F732C5"/>
    <w:rsid w:val="00F734C7"/>
    <w:rsid w:val="00F735E2"/>
    <w:rsid w:val="00F7378E"/>
    <w:rsid w:val="00F73822"/>
    <w:rsid w:val="00F742E6"/>
    <w:rsid w:val="00F7469A"/>
    <w:rsid w:val="00F746C2"/>
    <w:rsid w:val="00F746C4"/>
    <w:rsid w:val="00F749C0"/>
    <w:rsid w:val="00F74C7E"/>
    <w:rsid w:val="00F74E74"/>
    <w:rsid w:val="00F753A7"/>
    <w:rsid w:val="00F75B3C"/>
    <w:rsid w:val="00F762FE"/>
    <w:rsid w:val="00F7667D"/>
    <w:rsid w:val="00F768F5"/>
    <w:rsid w:val="00F768F9"/>
    <w:rsid w:val="00F7696D"/>
    <w:rsid w:val="00F7721A"/>
    <w:rsid w:val="00F77F2B"/>
    <w:rsid w:val="00F807B6"/>
    <w:rsid w:val="00F808ED"/>
    <w:rsid w:val="00F80C90"/>
    <w:rsid w:val="00F80E68"/>
    <w:rsid w:val="00F811BD"/>
    <w:rsid w:val="00F81F5D"/>
    <w:rsid w:val="00F820A9"/>
    <w:rsid w:val="00F82256"/>
    <w:rsid w:val="00F822D7"/>
    <w:rsid w:val="00F82749"/>
    <w:rsid w:val="00F82F44"/>
    <w:rsid w:val="00F831D4"/>
    <w:rsid w:val="00F83462"/>
    <w:rsid w:val="00F83767"/>
    <w:rsid w:val="00F83FA1"/>
    <w:rsid w:val="00F848F7"/>
    <w:rsid w:val="00F84C21"/>
    <w:rsid w:val="00F84D46"/>
    <w:rsid w:val="00F84D5A"/>
    <w:rsid w:val="00F8524A"/>
    <w:rsid w:val="00F85FC0"/>
    <w:rsid w:val="00F86136"/>
    <w:rsid w:val="00F8651B"/>
    <w:rsid w:val="00F865A5"/>
    <w:rsid w:val="00F87906"/>
    <w:rsid w:val="00F879BA"/>
    <w:rsid w:val="00F90541"/>
    <w:rsid w:val="00F90DE7"/>
    <w:rsid w:val="00F92152"/>
    <w:rsid w:val="00F926E5"/>
    <w:rsid w:val="00F92E30"/>
    <w:rsid w:val="00F930D2"/>
    <w:rsid w:val="00F93F68"/>
    <w:rsid w:val="00F941AF"/>
    <w:rsid w:val="00F9431F"/>
    <w:rsid w:val="00F94AB7"/>
    <w:rsid w:val="00F94DE7"/>
    <w:rsid w:val="00F94E53"/>
    <w:rsid w:val="00F953DF"/>
    <w:rsid w:val="00F95939"/>
    <w:rsid w:val="00F95A2D"/>
    <w:rsid w:val="00F966E9"/>
    <w:rsid w:val="00F968F6"/>
    <w:rsid w:val="00F96B57"/>
    <w:rsid w:val="00F96E7D"/>
    <w:rsid w:val="00F96E8A"/>
    <w:rsid w:val="00F9707C"/>
    <w:rsid w:val="00F97709"/>
    <w:rsid w:val="00F97B32"/>
    <w:rsid w:val="00FA063B"/>
    <w:rsid w:val="00FA0CE2"/>
    <w:rsid w:val="00FA17FF"/>
    <w:rsid w:val="00FA19B6"/>
    <w:rsid w:val="00FA1ED5"/>
    <w:rsid w:val="00FA2685"/>
    <w:rsid w:val="00FA28AD"/>
    <w:rsid w:val="00FA2A2D"/>
    <w:rsid w:val="00FA2DCA"/>
    <w:rsid w:val="00FA304B"/>
    <w:rsid w:val="00FA3C98"/>
    <w:rsid w:val="00FA4571"/>
    <w:rsid w:val="00FA4708"/>
    <w:rsid w:val="00FA48F6"/>
    <w:rsid w:val="00FA512D"/>
    <w:rsid w:val="00FA526A"/>
    <w:rsid w:val="00FA5292"/>
    <w:rsid w:val="00FA5998"/>
    <w:rsid w:val="00FA5DD8"/>
    <w:rsid w:val="00FA62A1"/>
    <w:rsid w:val="00FA63D4"/>
    <w:rsid w:val="00FA6ACA"/>
    <w:rsid w:val="00FA6D8E"/>
    <w:rsid w:val="00FA6F6D"/>
    <w:rsid w:val="00FA7F4B"/>
    <w:rsid w:val="00FB00EB"/>
    <w:rsid w:val="00FB0154"/>
    <w:rsid w:val="00FB07D9"/>
    <w:rsid w:val="00FB0A75"/>
    <w:rsid w:val="00FB210F"/>
    <w:rsid w:val="00FB2852"/>
    <w:rsid w:val="00FB2AB8"/>
    <w:rsid w:val="00FB2B60"/>
    <w:rsid w:val="00FB2BDA"/>
    <w:rsid w:val="00FB2C4B"/>
    <w:rsid w:val="00FB30DA"/>
    <w:rsid w:val="00FB312B"/>
    <w:rsid w:val="00FB3A44"/>
    <w:rsid w:val="00FB3B2A"/>
    <w:rsid w:val="00FB3BAB"/>
    <w:rsid w:val="00FB3FC7"/>
    <w:rsid w:val="00FB43E6"/>
    <w:rsid w:val="00FB44B7"/>
    <w:rsid w:val="00FB47C4"/>
    <w:rsid w:val="00FB48A8"/>
    <w:rsid w:val="00FB4B3B"/>
    <w:rsid w:val="00FB4D1A"/>
    <w:rsid w:val="00FB5932"/>
    <w:rsid w:val="00FB5F58"/>
    <w:rsid w:val="00FB6627"/>
    <w:rsid w:val="00FB6723"/>
    <w:rsid w:val="00FB68DB"/>
    <w:rsid w:val="00FB6BA2"/>
    <w:rsid w:val="00FB7393"/>
    <w:rsid w:val="00FC09D7"/>
    <w:rsid w:val="00FC0BAC"/>
    <w:rsid w:val="00FC0BE6"/>
    <w:rsid w:val="00FC0ECC"/>
    <w:rsid w:val="00FC0FE8"/>
    <w:rsid w:val="00FC1EA5"/>
    <w:rsid w:val="00FC21E8"/>
    <w:rsid w:val="00FC22EB"/>
    <w:rsid w:val="00FC2B65"/>
    <w:rsid w:val="00FC2E1D"/>
    <w:rsid w:val="00FC30A1"/>
    <w:rsid w:val="00FC3831"/>
    <w:rsid w:val="00FC3A39"/>
    <w:rsid w:val="00FC3EFE"/>
    <w:rsid w:val="00FC41C5"/>
    <w:rsid w:val="00FC43C1"/>
    <w:rsid w:val="00FC463E"/>
    <w:rsid w:val="00FC625D"/>
    <w:rsid w:val="00FC628E"/>
    <w:rsid w:val="00FC7127"/>
    <w:rsid w:val="00FC7E83"/>
    <w:rsid w:val="00FD0511"/>
    <w:rsid w:val="00FD0DD6"/>
    <w:rsid w:val="00FD17A1"/>
    <w:rsid w:val="00FD1FA4"/>
    <w:rsid w:val="00FD2022"/>
    <w:rsid w:val="00FD229D"/>
    <w:rsid w:val="00FD2BA7"/>
    <w:rsid w:val="00FD3C7F"/>
    <w:rsid w:val="00FD3CBC"/>
    <w:rsid w:val="00FD40C2"/>
    <w:rsid w:val="00FD4118"/>
    <w:rsid w:val="00FD490B"/>
    <w:rsid w:val="00FD49B6"/>
    <w:rsid w:val="00FD5EEA"/>
    <w:rsid w:val="00FD6F13"/>
    <w:rsid w:val="00FE0AA7"/>
    <w:rsid w:val="00FE0AB7"/>
    <w:rsid w:val="00FE0EBC"/>
    <w:rsid w:val="00FE2069"/>
    <w:rsid w:val="00FE22A2"/>
    <w:rsid w:val="00FE2361"/>
    <w:rsid w:val="00FE2BBC"/>
    <w:rsid w:val="00FE38C6"/>
    <w:rsid w:val="00FE3904"/>
    <w:rsid w:val="00FE4C54"/>
    <w:rsid w:val="00FE58E7"/>
    <w:rsid w:val="00FE5D48"/>
    <w:rsid w:val="00FE5E19"/>
    <w:rsid w:val="00FE713C"/>
    <w:rsid w:val="00FE7D27"/>
    <w:rsid w:val="00FE7E8A"/>
    <w:rsid w:val="00FF025F"/>
    <w:rsid w:val="00FF03AD"/>
    <w:rsid w:val="00FF03CC"/>
    <w:rsid w:val="00FF0575"/>
    <w:rsid w:val="00FF0A1A"/>
    <w:rsid w:val="00FF0D73"/>
    <w:rsid w:val="00FF1321"/>
    <w:rsid w:val="00FF1429"/>
    <w:rsid w:val="00FF1C0B"/>
    <w:rsid w:val="00FF267F"/>
    <w:rsid w:val="00FF32EC"/>
    <w:rsid w:val="00FF34B1"/>
    <w:rsid w:val="00FF4171"/>
    <w:rsid w:val="00FF4374"/>
    <w:rsid w:val="00FF4A8E"/>
    <w:rsid w:val="00FF4EC9"/>
    <w:rsid w:val="00FF5117"/>
    <w:rsid w:val="00FF5386"/>
    <w:rsid w:val="00FF5712"/>
    <w:rsid w:val="00FF58C4"/>
    <w:rsid w:val="00FF5E20"/>
    <w:rsid w:val="00FF5EBA"/>
    <w:rsid w:val="00FF6AFF"/>
    <w:rsid w:val="00FF6B81"/>
    <w:rsid w:val="00FF6EB0"/>
    <w:rsid w:val="00FF7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6289"/>
    <o:shapelayout v:ext="edit">
      <o:idmap v:ext="edit" data="1"/>
    </o:shapelayout>
  </w:shapeDefaults>
  <w:decimalSymbol w:val="."/>
  <w:listSeparator w:val=","/>
  <w14:docId w14:val="485A429D"/>
  <w15:chartTrackingRefBased/>
  <w15:docId w15:val="{D5242047-7973-4D9C-9828-343D413E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3D1B"/>
    <w:rPr>
      <w:rFonts w:ascii="Arial" w:hAnsi="Arial"/>
      <w:sz w:val="23"/>
      <w:szCs w:val="23"/>
      <w:lang w:eastAsia="en-US"/>
    </w:rPr>
  </w:style>
  <w:style w:type="paragraph" w:styleId="Heading1">
    <w:name w:val="heading 1"/>
    <w:basedOn w:val="Normal"/>
    <w:next w:val="Normal"/>
    <w:link w:val="Heading1Char"/>
    <w:qFormat/>
    <w:pPr>
      <w:keepNext/>
      <w:jc w:val="center"/>
      <w:outlineLvl w:val="0"/>
    </w:pPr>
    <w:rPr>
      <w:b/>
      <w:bCs/>
      <w:sz w:val="32"/>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link w:val="Heading3Char"/>
    <w:qFormat/>
    <w:pPr>
      <w:keepNext/>
      <w:outlineLvl w:val="2"/>
    </w:pPr>
    <w:rPr>
      <w:rFonts w:cs="Arial"/>
      <w:b/>
      <w:bCs/>
      <w:sz w:val="24"/>
      <w:szCs w:val="26"/>
    </w:rPr>
  </w:style>
  <w:style w:type="paragraph" w:styleId="Heading4">
    <w:name w:val="heading 4"/>
    <w:basedOn w:val="Normal"/>
    <w:next w:val="Normal"/>
    <w:qFormat/>
    <w:pPr>
      <w:keepNext/>
      <w:outlineLvl w:val="3"/>
    </w:pPr>
    <w:rPr>
      <w:b/>
      <w:bCs/>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link w:val="Heading6Char"/>
    <w:qFormat/>
    <w:pPr>
      <w:keepNext/>
      <w:outlineLvl w:val="5"/>
    </w:pPr>
    <w:rPr>
      <w:b/>
      <w:bCs/>
      <w:u w:val="single"/>
    </w:rPr>
  </w:style>
  <w:style w:type="paragraph" w:styleId="Heading7">
    <w:name w:val="heading 7"/>
    <w:basedOn w:val="Normal"/>
    <w:next w:val="Normal"/>
    <w:qFormat/>
    <w:pPr>
      <w:keepNext/>
      <w:tabs>
        <w:tab w:val="left" w:pos="252"/>
      </w:tabs>
      <w:ind w:left="-288" w:firstLine="288"/>
      <w:outlineLvl w:val="6"/>
    </w:pPr>
    <w:rPr>
      <w:rFonts w:eastAsia="Arial Unicode MS" w:cs="Arial"/>
      <w:b/>
      <w:bCs/>
    </w:rPr>
  </w:style>
  <w:style w:type="paragraph" w:styleId="Heading8">
    <w:name w:val="heading 8"/>
    <w:basedOn w:val="Normal"/>
    <w:next w:val="Normal"/>
    <w:qFormat/>
    <w:pPr>
      <w:keepNext/>
      <w:ind w:right="-374"/>
      <w:jc w:val="center"/>
      <w:outlineLvl w:val="7"/>
    </w:pPr>
    <w:rPr>
      <w:rFonts w:cs="Arial"/>
      <w:b/>
      <w:bCs/>
    </w:rPr>
  </w:style>
  <w:style w:type="paragraph" w:styleId="Heading9">
    <w:name w:val="heading 9"/>
    <w:basedOn w:val="Normal"/>
    <w:next w:val="Normal"/>
    <w:qFormat/>
    <w:pPr>
      <w:keepNext/>
      <w:ind w:left="206" w:hanging="206"/>
      <w:jc w:val="center"/>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9431F"/>
    <w:rPr>
      <w:rFonts w:ascii="Arial" w:hAnsi="Arial"/>
      <w:b/>
      <w:bCs/>
      <w:sz w:val="32"/>
      <w:szCs w:val="23"/>
      <w:lang w:val="en-GB" w:eastAsia="en-US" w:bidi="ar-SA"/>
    </w:rPr>
  </w:style>
  <w:style w:type="character" w:customStyle="1" w:styleId="Heading2Char">
    <w:name w:val="Heading 2 Char"/>
    <w:link w:val="Heading2"/>
    <w:locked/>
    <w:rsid w:val="00F9431F"/>
    <w:rPr>
      <w:rFonts w:ascii="Arial" w:hAnsi="Arial"/>
      <w:sz w:val="23"/>
      <w:szCs w:val="23"/>
      <w:u w:val="single"/>
      <w:lang w:val="en-GB" w:eastAsia="en-US" w:bidi="ar-SA"/>
    </w:rPr>
  </w:style>
  <w:style w:type="character" w:customStyle="1" w:styleId="Heading3Char">
    <w:name w:val="Heading 3 Char"/>
    <w:link w:val="Heading3"/>
    <w:semiHidden/>
    <w:locked/>
    <w:rsid w:val="00F9431F"/>
    <w:rPr>
      <w:rFonts w:ascii="Arial" w:hAnsi="Arial" w:cs="Arial"/>
      <w:b/>
      <w:bCs/>
      <w:sz w:val="24"/>
      <w:szCs w:val="26"/>
      <w:lang w:val="en-GB" w:eastAsia="en-US" w:bidi="ar-SA"/>
    </w:rPr>
  </w:style>
  <w:style w:type="character" w:customStyle="1" w:styleId="Heading5Char">
    <w:name w:val="Heading 5 Char"/>
    <w:link w:val="Heading5"/>
    <w:semiHidden/>
    <w:locked/>
    <w:rsid w:val="00F9431F"/>
    <w:rPr>
      <w:rFonts w:ascii="Arial" w:hAnsi="Arial"/>
      <w:b/>
      <w:bCs/>
      <w:sz w:val="23"/>
      <w:szCs w:val="23"/>
      <w:lang w:val="en-GB" w:eastAsia="en-US" w:bidi="ar-SA"/>
    </w:rPr>
  </w:style>
  <w:style w:type="character" w:customStyle="1" w:styleId="Heading6Char">
    <w:name w:val="Heading 6 Char"/>
    <w:link w:val="Heading6"/>
    <w:semiHidden/>
    <w:locked/>
    <w:rsid w:val="00F9431F"/>
    <w:rPr>
      <w:rFonts w:ascii="Arial" w:hAnsi="Arial"/>
      <w:b/>
      <w:bCs/>
      <w:sz w:val="23"/>
      <w:szCs w:val="23"/>
      <w:u w:val="single"/>
      <w:lang w:val="en-GB" w:eastAsia="en-US" w:bidi="ar-SA"/>
    </w:rPr>
  </w:style>
  <w:style w:type="paragraph" w:styleId="TOC2">
    <w:name w:val="toc 2"/>
    <w:basedOn w:val="Normal"/>
    <w:next w:val="Normal"/>
    <w:autoRedefine/>
    <w:semiHidden/>
    <w:pPr>
      <w:ind w:left="230"/>
    </w:pPr>
  </w:style>
  <w:style w:type="paragraph" w:styleId="TOC1">
    <w:name w:val="toc 1"/>
    <w:basedOn w:val="Normal"/>
    <w:next w:val="Normal"/>
    <w:autoRedefine/>
    <w:semiHidden/>
    <w:rsid w:val="00641F1E"/>
    <w:pPr>
      <w:spacing w:line="480" w:lineRule="auto"/>
    </w:pPr>
    <w:rPr>
      <w:b/>
    </w:rPr>
  </w:style>
  <w:style w:type="paragraph" w:customStyle="1" w:styleId="HEADING">
    <w:name w:val="HEADING"/>
    <w:basedOn w:val="Normal"/>
    <w:rPr>
      <w:b/>
      <w:sz w:val="24"/>
    </w:rPr>
  </w:style>
  <w:style w:type="paragraph" w:styleId="TOC3">
    <w:name w:val="toc 3"/>
    <w:basedOn w:val="Normal"/>
    <w:next w:val="Normal"/>
    <w:autoRedefine/>
    <w:semiHidden/>
    <w:pPr>
      <w:ind w:left="460"/>
    </w:pPr>
  </w:style>
  <w:style w:type="paragraph" w:styleId="TOC4">
    <w:name w:val="toc 4"/>
    <w:basedOn w:val="Normal"/>
    <w:next w:val="Normal"/>
    <w:autoRedefine/>
    <w:semiHidden/>
    <w:pPr>
      <w:ind w:left="690"/>
    </w:p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semiHidden/>
    <w:locked/>
    <w:rsid w:val="00754A17"/>
    <w:rPr>
      <w:rFonts w:ascii="Arial" w:hAnsi="Arial"/>
      <w:sz w:val="23"/>
      <w:szCs w:val="23"/>
      <w:lang w:val="en-GB" w:eastAsia="en-US"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sid w:val="00F9431F"/>
    <w:rPr>
      <w:rFonts w:ascii="Arial" w:hAnsi="Arial"/>
      <w:sz w:val="23"/>
      <w:szCs w:val="23"/>
      <w:lang w:val="en-GB" w:eastAsia="en-US" w:bidi="ar-SA"/>
    </w:rPr>
  </w:style>
  <w:style w:type="character" w:styleId="PageNumber">
    <w:name w:val="page number"/>
    <w:basedOn w:val="DefaultParagraphFont"/>
  </w:style>
  <w:style w:type="paragraph" w:styleId="BodyTextIndent">
    <w:name w:val="Body Text Indent"/>
    <w:basedOn w:val="Normal"/>
    <w:link w:val="BodyTextIndentChar"/>
    <w:pPr>
      <w:ind w:left="340"/>
    </w:pPr>
  </w:style>
  <w:style w:type="character" w:customStyle="1" w:styleId="BodyTextIndentChar">
    <w:name w:val="Body Text Indent Char"/>
    <w:link w:val="BodyTextIndent"/>
    <w:semiHidden/>
    <w:locked/>
    <w:rsid w:val="00F9431F"/>
    <w:rPr>
      <w:rFonts w:ascii="Arial" w:hAnsi="Arial"/>
      <w:sz w:val="23"/>
      <w:szCs w:val="23"/>
      <w:lang w:val="en-GB" w:eastAsia="en-US" w:bidi="ar-SA"/>
    </w:rPr>
  </w:style>
  <w:style w:type="paragraph" w:customStyle="1" w:styleId="xl29">
    <w:name w:val="xl29"/>
    <w:basedOn w:val="Normal"/>
    <w:pPr>
      <w:pBdr>
        <w:top w:val="single" w:sz="8" w:space="0" w:color="auto"/>
        <w:left w:val="single" w:sz="8" w:space="0" w:color="auto"/>
      </w:pBdr>
      <w:spacing w:before="100" w:beforeAutospacing="1" w:after="100" w:afterAutospacing="1"/>
    </w:pPr>
    <w:rPr>
      <w:rFonts w:ascii="Times New Roman" w:hAnsi="Times New Roman"/>
      <w:sz w:val="24"/>
      <w:szCs w:val="24"/>
    </w:rPr>
  </w:style>
  <w:style w:type="paragraph" w:customStyle="1" w:styleId="xl30">
    <w:name w:val="xl30"/>
    <w:basedOn w:val="Normal"/>
    <w:pPr>
      <w:pBdr>
        <w:top w:val="single" w:sz="8" w:space="0" w:color="auto"/>
      </w:pBdr>
      <w:spacing w:before="100" w:beforeAutospacing="1" w:after="100" w:afterAutospacing="1"/>
    </w:pPr>
    <w:rPr>
      <w:rFonts w:cs="Arial"/>
      <w:b/>
      <w:bCs/>
      <w:sz w:val="24"/>
      <w:szCs w:val="24"/>
    </w:rPr>
  </w:style>
  <w:style w:type="paragraph" w:customStyle="1" w:styleId="xl31">
    <w:name w:val="xl31"/>
    <w:basedOn w:val="Normal"/>
    <w:pPr>
      <w:pBdr>
        <w:top w:val="single" w:sz="8" w:space="0" w:color="auto"/>
      </w:pBdr>
      <w:spacing w:before="100" w:beforeAutospacing="1" w:after="100" w:afterAutospacing="1"/>
    </w:pPr>
    <w:rPr>
      <w:rFonts w:ascii="Times New Roman" w:hAnsi="Times New Roman"/>
      <w:sz w:val="24"/>
      <w:szCs w:val="24"/>
    </w:rPr>
  </w:style>
  <w:style w:type="paragraph" w:customStyle="1" w:styleId="xl32">
    <w:name w:val="xl32"/>
    <w:basedOn w:val="Normal"/>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3">
    <w:name w:val="xl33"/>
    <w:basedOn w:val="Normal"/>
    <w:pPr>
      <w:pBdr>
        <w:left w:val="single" w:sz="8" w:space="0" w:color="auto"/>
      </w:pBdr>
      <w:spacing w:before="100" w:beforeAutospacing="1" w:after="100" w:afterAutospacing="1"/>
    </w:pPr>
    <w:rPr>
      <w:rFonts w:ascii="Times New Roman" w:hAnsi="Times New Roman"/>
      <w:sz w:val="24"/>
      <w:szCs w:val="24"/>
    </w:rPr>
  </w:style>
  <w:style w:type="paragraph" w:customStyle="1" w:styleId="xl34">
    <w:name w:val="xl34"/>
    <w:basedOn w:val="Normal"/>
    <w:pPr>
      <w:spacing w:before="100" w:beforeAutospacing="1" w:after="100" w:afterAutospacing="1"/>
    </w:pPr>
    <w:rPr>
      <w:rFonts w:cs="Arial"/>
      <w:b/>
      <w:bCs/>
      <w:sz w:val="24"/>
      <w:szCs w:val="24"/>
    </w:rPr>
  </w:style>
  <w:style w:type="paragraph" w:customStyle="1" w:styleId="xl35">
    <w:name w:val="xl35"/>
    <w:basedOn w:val="Normal"/>
    <w:pPr>
      <w:spacing w:before="100" w:beforeAutospacing="1" w:after="100" w:afterAutospacing="1"/>
      <w:jc w:val="center"/>
    </w:pPr>
    <w:rPr>
      <w:rFonts w:cs="Arial"/>
      <w:b/>
      <w:bCs/>
      <w:sz w:val="24"/>
      <w:szCs w:val="24"/>
    </w:rPr>
  </w:style>
  <w:style w:type="paragraph" w:customStyle="1" w:styleId="xl36">
    <w:name w:val="xl36"/>
    <w:basedOn w:val="Normal"/>
    <w:pPr>
      <w:pBdr>
        <w:right w:val="single" w:sz="8" w:space="0" w:color="auto"/>
      </w:pBdr>
      <w:spacing w:before="100" w:beforeAutospacing="1" w:after="100" w:afterAutospacing="1"/>
    </w:pPr>
    <w:rPr>
      <w:rFonts w:ascii="Times New Roman" w:hAnsi="Times New Roman"/>
      <w:sz w:val="24"/>
      <w:szCs w:val="24"/>
    </w:rPr>
  </w:style>
  <w:style w:type="paragraph" w:customStyle="1" w:styleId="xl38">
    <w:name w:val="xl38"/>
    <w:basedOn w:val="Normal"/>
    <w:pPr>
      <w:pBdr>
        <w:left w:val="single" w:sz="8"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39">
    <w:name w:val="xl39"/>
    <w:basedOn w:val="Normal"/>
    <w:pPr>
      <w:pBdr>
        <w:bottom w:val="single" w:sz="8" w:space="0" w:color="auto"/>
      </w:pBdr>
      <w:spacing w:before="100" w:beforeAutospacing="1" w:after="100" w:afterAutospacing="1"/>
    </w:pPr>
    <w:rPr>
      <w:rFonts w:cs="Arial"/>
      <w:b/>
      <w:bCs/>
      <w:sz w:val="24"/>
      <w:szCs w:val="24"/>
    </w:rPr>
  </w:style>
  <w:style w:type="paragraph" w:customStyle="1" w:styleId="xl40">
    <w:name w:val="xl40"/>
    <w:basedOn w:val="Normal"/>
    <w:pPr>
      <w:pBdr>
        <w:bottom w:val="single" w:sz="8" w:space="0" w:color="auto"/>
      </w:pBdr>
      <w:spacing w:before="100" w:beforeAutospacing="1" w:after="100" w:afterAutospacing="1"/>
    </w:pPr>
    <w:rPr>
      <w:rFonts w:ascii="Times New Roman" w:hAnsi="Times New Roman"/>
      <w:sz w:val="24"/>
      <w:szCs w:val="24"/>
    </w:rPr>
  </w:style>
  <w:style w:type="paragraph" w:customStyle="1" w:styleId="xl41">
    <w:name w:val="xl41"/>
    <w:basedOn w:val="Normal"/>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7">
    <w:name w:val="xl37"/>
    <w:basedOn w:val="Normal"/>
    <w:pPr>
      <w:pBdr>
        <w:top w:val="single" w:sz="8" w:space="0" w:color="auto"/>
      </w:pBdr>
      <w:spacing w:before="100" w:beforeAutospacing="1" w:after="100" w:afterAutospacing="1"/>
    </w:pPr>
    <w:rPr>
      <w:rFonts w:cs="Arial"/>
    </w:rPr>
  </w:style>
  <w:style w:type="paragraph" w:customStyle="1" w:styleId="xl42">
    <w:name w:val="xl42"/>
    <w:basedOn w:val="Normal"/>
    <w:pPr>
      <w:spacing w:before="100" w:beforeAutospacing="1" w:after="100" w:afterAutospacing="1"/>
      <w:jc w:val="center"/>
    </w:pPr>
    <w:rPr>
      <w:rFonts w:cs="Arial"/>
      <w:b/>
      <w:bCs/>
    </w:rPr>
  </w:style>
  <w:style w:type="paragraph" w:customStyle="1" w:styleId="xl43">
    <w:name w:val="xl43"/>
    <w:basedOn w:val="Normal"/>
    <w:pPr>
      <w:spacing w:before="100" w:beforeAutospacing="1" w:after="100" w:afterAutospacing="1"/>
      <w:jc w:val="center"/>
    </w:pPr>
    <w:rPr>
      <w:rFonts w:cs="Arial"/>
    </w:rPr>
  </w:style>
  <w:style w:type="paragraph" w:customStyle="1" w:styleId="xl44">
    <w:name w:val="xl44"/>
    <w:basedOn w:val="Normal"/>
    <w:pPr>
      <w:spacing w:before="100" w:beforeAutospacing="1" w:after="100" w:afterAutospacing="1"/>
      <w:jc w:val="center"/>
    </w:pPr>
    <w:rPr>
      <w:rFonts w:cs="Arial"/>
      <w:b/>
      <w:bCs/>
    </w:rPr>
  </w:style>
  <w:style w:type="paragraph" w:customStyle="1" w:styleId="xl45">
    <w:name w:val="xl45"/>
    <w:basedOn w:val="Normal"/>
    <w:pPr>
      <w:spacing w:before="100" w:beforeAutospacing="1" w:after="100" w:afterAutospacing="1"/>
      <w:jc w:val="center"/>
    </w:pPr>
    <w:rPr>
      <w:rFonts w:cs="Arial"/>
      <w:b/>
      <w:bCs/>
    </w:rPr>
  </w:style>
  <w:style w:type="paragraph" w:customStyle="1" w:styleId="xl46">
    <w:name w:val="xl46"/>
    <w:basedOn w:val="Normal"/>
    <w:pPr>
      <w:pBdr>
        <w:right w:val="single" w:sz="8" w:space="0" w:color="auto"/>
      </w:pBdr>
      <w:spacing w:before="100" w:beforeAutospacing="1" w:after="100" w:afterAutospacing="1"/>
      <w:jc w:val="center"/>
    </w:pPr>
    <w:rPr>
      <w:rFonts w:cs="Arial"/>
    </w:rPr>
  </w:style>
  <w:style w:type="paragraph" w:customStyle="1" w:styleId="font5">
    <w:name w:val="font5"/>
    <w:basedOn w:val="Normal"/>
    <w:pPr>
      <w:spacing w:before="100" w:beforeAutospacing="1" w:after="100" w:afterAutospacing="1"/>
    </w:pPr>
    <w:rPr>
      <w:rFonts w:ascii="Tahoma" w:hAnsi="Tahoma" w:cs="Tahoma"/>
      <w:color w:val="000000"/>
      <w:sz w:val="16"/>
      <w:szCs w:val="16"/>
    </w:rPr>
  </w:style>
  <w:style w:type="paragraph" w:customStyle="1" w:styleId="font6">
    <w:name w:val="font6"/>
    <w:basedOn w:val="Normal"/>
    <w:pPr>
      <w:spacing w:before="100" w:beforeAutospacing="1" w:after="100" w:afterAutospacing="1"/>
    </w:pPr>
    <w:rPr>
      <w:rFonts w:ascii="Tahoma" w:hAnsi="Tahoma" w:cs="Tahoma"/>
      <w:b/>
      <w:bCs/>
      <w:color w:val="000000"/>
      <w:sz w:val="16"/>
      <w:szCs w:val="16"/>
    </w:rPr>
  </w:style>
  <w:style w:type="paragraph" w:customStyle="1" w:styleId="xl27">
    <w:name w:val="xl27"/>
    <w:basedOn w:val="Normal"/>
    <w:pPr>
      <w:pBdr>
        <w:bottom w:val="single" w:sz="4" w:space="0" w:color="auto"/>
      </w:pBdr>
      <w:spacing w:before="100" w:beforeAutospacing="1" w:after="100" w:afterAutospacing="1"/>
      <w:jc w:val="right"/>
    </w:pPr>
    <w:rPr>
      <w:rFonts w:cs="Arial"/>
    </w:rPr>
  </w:style>
  <w:style w:type="paragraph" w:customStyle="1" w:styleId="xl28">
    <w:name w:val="xl28"/>
    <w:basedOn w:val="Normal"/>
    <w:pPr>
      <w:spacing w:before="100" w:beforeAutospacing="1" w:after="100" w:afterAutospacing="1"/>
      <w:jc w:val="right"/>
    </w:pPr>
    <w:rPr>
      <w:rFonts w:cs="Arial"/>
    </w:rPr>
  </w:style>
  <w:style w:type="paragraph" w:customStyle="1" w:styleId="xl47">
    <w:name w:val="xl47"/>
    <w:basedOn w:val="Normal"/>
    <w:pPr>
      <w:spacing w:before="100" w:beforeAutospacing="1" w:after="100" w:afterAutospacing="1"/>
      <w:jc w:val="right"/>
    </w:pPr>
    <w:rPr>
      <w:rFonts w:cs="Arial"/>
    </w:rPr>
  </w:style>
  <w:style w:type="paragraph" w:customStyle="1" w:styleId="xl48">
    <w:name w:val="xl48"/>
    <w:basedOn w:val="Normal"/>
    <w:pPr>
      <w:pBdr>
        <w:right w:val="single" w:sz="8" w:space="0" w:color="auto"/>
      </w:pBdr>
      <w:spacing w:before="100" w:beforeAutospacing="1" w:after="100" w:afterAutospacing="1"/>
    </w:pPr>
    <w:rPr>
      <w:rFonts w:cs="Arial"/>
    </w:rPr>
  </w:style>
  <w:style w:type="paragraph" w:customStyle="1" w:styleId="xl49">
    <w:name w:val="xl49"/>
    <w:basedOn w:val="Normal"/>
    <w:pPr>
      <w:pBdr>
        <w:left w:val="single" w:sz="8" w:space="0" w:color="auto"/>
      </w:pBdr>
      <w:spacing w:before="100" w:beforeAutospacing="1" w:after="100" w:afterAutospacing="1"/>
    </w:pPr>
    <w:rPr>
      <w:rFonts w:cs="Arial"/>
      <w:b/>
      <w:bCs/>
    </w:rPr>
  </w:style>
  <w:style w:type="paragraph" w:customStyle="1" w:styleId="xl50">
    <w:name w:val="xl50"/>
    <w:basedOn w:val="Normal"/>
    <w:pPr>
      <w:spacing w:before="100" w:beforeAutospacing="1" w:after="100" w:afterAutospacing="1"/>
    </w:pPr>
    <w:rPr>
      <w:rFonts w:cs="Arial"/>
      <w:b/>
      <w:bCs/>
    </w:rPr>
  </w:style>
  <w:style w:type="paragraph" w:customStyle="1" w:styleId="xl51">
    <w:name w:val="xl51"/>
    <w:basedOn w:val="Normal"/>
    <w:pPr>
      <w:pBdr>
        <w:right w:val="single" w:sz="8" w:space="0" w:color="auto"/>
      </w:pBdr>
      <w:spacing w:before="100" w:beforeAutospacing="1" w:after="100" w:afterAutospacing="1"/>
    </w:pPr>
    <w:rPr>
      <w:rFonts w:cs="Arial"/>
      <w:b/>
      <w:bCs/>
    </w:rPr>
  </w:style>
  <w:style w:type="paragraph" w:customStyle="1" w:styleId="xl52">
    <w:name w:val="xl52"/>
    <w:basedOn w:val="Normal"/>
    <w:pPr>
      <w:pBdr>
        <w:left w:val="single" w:sz="8" w:space="0" w:color="auto"/>
        <w:bottom w:val="single" w:sz="8" w:space="0" w:color="auto"/>
      </w:pBdr>
      <w:spacing w:before="100" w:beforeAutospacing="1" w:after="100" w:afterAutospacing="1"/>
    </w:pPr>
    <w:rPr>
      <w:rFonts w:cs="Arial"/>
    </w:rPr>
  </w:style>
  <w:style w:type="paragraph" w:customStyle="1" w:styleId="xl53">
    <w:name w:val="xl53"/>
    <w:basedOn w:val="Normal"/>
    <w:pPr>
      <w:pBdr>
        <w:bottom w:val="single" w:sz="8" w:space="0" w:color="auto"/>
      </w:pBdr>
      <w:spacing w:before="100" w:beforeAutospacing="1" w:after="100" w:afterAutospacing="1"/>
      <w:jc w:val="right"/>
    </w:pPr>
    <w:rPr>
      <w:rFonts w:cs="Arial"/>
    </w:rPr>
  </w:style>
  <w:style w:type="paragraph" w:customStyle="1" w:styleId="xl54">
    <w:name w:val="xl54"/>
    <w:basedOn w:val="Normal"/>
    <w:pPr>
      <w:pBdr>
        <w:bottom w:val="single" w:sz="8" w:space="0" w:color="auto"/>
      </w:pBdr>
      <w:spacing w:before="100" w:beforeAutospacing="1" w:after="100" w:afterAutospacing="1"/>
    </w:pPr>
    <w:rPr>
      <w:rFonts w:cs="Arial"/>
    </w:rPr>
  </w:style>
  <w:style w:type="paragraph" w:customStyle="1" w:styleId="xl55">
    <w:name w:val="xl55"/>
    <w:basedOn w:val="Normal"/>
    <w:pPr>
      <w:pBdr>
        <w:bottom w:val="single" w:sz="8" w:space="0" w:color="auto"/>
      </w:pBdr>
      <w:spacing w:before="100" w:beforeAutospacing="1" w:after="100" w:afterAutospacing="1"/>
      <w:jc w:val="right"/>
    </w:pPr>
    <w:rPr>
      <w:rFonts w:cs="Arial"/>
    </w:rPr>
  </w:style>
  <w:style w:type="paragraph" w:customStyle="1" w:styleId="xl56">
    <w:name w:val="xl56"/>
    <w:basedOn w:val="Normal"/>
    <w:pPr>
      <w:pBdr>
        <w:bottom w:val="single" w:sz="8" w:space="0" w:color="auto"/>
        <w:right w:val="single" w:sz="8" w:space="0" w:color="auto"/>
      </w:pBdr>
      <w:spacing w:before="100" w:beforeAutospacing="1" w:after="100" w:afterAutospacing="1"/>
    </w:pPr>
    <w:rPr>
      <w:rFonts w:cs="Arial"/>
    </w:rPr>
  </w:style>
  <w:style w:type="paragraph" w:customStyle="1" w:styleId="xl57">
    <w:name w:val="xl57"/>
    <w:basedOn w:val="Normal"/>
    <w:pPr>
      <w:pBdr>
        <w:top w:val="single" w:sz="4" w:space="0" w:color="auto"/>
        <w:bottom w:val="single" w:sz="4" w:space="0" w:color="auto"/>
      </w:pBdr>
      <w:spacing w:before="100" w:beforeAutospacing="1" w:after="100" w:afterAutospacing="1"/>
      <w:jc w:val="right"/>
    </w:pPr>
    <w:rPr>
      <w:rFonts w:cs="Arial"/>
      <w:b/>
      <w:bCs/>
    </w:rPr>
  </w:style>
  <w:style w:type="paragraph" w:customStyle="1" w:styleId="xl24">
    <w:name w:val="xl24"/>
    <w:basedOn w:val="Normal"/>
    <w:pPr>
      <w:pBdr>
        <w:bottom w:val="single" w:sz="4" w:space="0" w:color="auto"/>
      </w:pBdr>
      <w:spacing w:before="100" w:beforeAutospacing="1" w:after="100" w:afterAutospacing="1"/>
    </w:pPr>
    <w:rPr>
      <w:rFonts w:cs="Arial"/>
    </w:rPr>
  </w:style>
  <w:style w:type="paragraph" w:customStyle="1" w:styleId="xl25">
    <w:name w:val="xl25"/>
    <w:basedOn w:val="Normal"/>
    <w:pPr>
      <w:pBdr>
        <w:top w:val="single" w:sz="8" w:space="0" w:color="auto"/>
        <w:left w:val="single" w:sz="8" w:space="0" w:color="auto"/>
      </w:pBdr>
      <w:spacing w:before="100" w:beforeAutospacing="1" w:after="100" w:afterAutospacing="1"/>
    </w:pPr>
    <w:rPr>
      <w:rFonts w:cs="Arial"/>
    </w:rPr>
  </w:style>
  <w:style w:type="paragraph" w:customStyle="1" w:styleId="xl26">
    <w:name w:val="xl26"/>
    <w:basedOn w:val="Normal"/>
    <w:pPr>
      <w:pBdr>
        <w:left w:val="single" w:sz="8" w:space="0" w:color="auto"/>
      </w:pBdr>
      <w:spacing w:before="100" w:beforeAutospacing="1" w:after="100" w:afterAutospacing="1"/>
    </w:pPr>
    <w:rPr>
      <w:rFonts w:cs="Arial"/>
    </w:rPr>
  </w:style>
  <w:style w:type="paragraph" w:customStyle="1" w:styleId="xl58">
    <w:name w:val="xl58"/>
    <w:basedOn w:val="Normal"/>
    <w:pPr>
      <w:pBdr>
        <w:bottom w:val="single" w:sz="8" w:space="0" w:color="auto"/>
      </w:pBdr>
      <w:spacing w:before="100" w:beforeAutospacing="1" w:after="100" w:afterAutospacing="1"/>
    </w:pPr>
    <w:rPr>
      <w:rFonts w:cs="Arial"/>
    </w:rPr>
  </w:style>
  <w:style w:type="paragraph" w:customStyle="1" w:styleId="xl59">
    <w:name w:val="xl59"/>
    <w:basedOn w:val="Normal"/>
    <w:pPr>
      <w:pBdr>
        <w:bottom w:val="single" w:sz="8" w:space="0" w:color="auto"/>
        <w:right w:val="single" w:sz="8" w:space="0" w:color="auto"/>
      </w:pBdr>
      <w:spacing w:before="100" w:beforeAutospacing="1" w:after="100" w:afterAutospacing="1"/>
    </w:pPr>
    <w:rPr>
      <w:rFonts w:cs="Arial"/>
    </w:rPr>
  </w:style>
  <w:style w:type="paragraph" w:customStyle="1" w:styleId="xl60">
    <w:name w:val="xl60"/>
    <w:basedOn w:val="Normal"/>
    <w:pPr>
      <w:spacing w:before="100" w:beforeAutospacing="1" w:after="100" w:afterAutospacing="1"/>
    </w:pPr>
    <w:rPr>
      <w:rFonts w:cs="Arial"/>
      <w:color w:val="FF0000"/>
    </w:rPr>
  </w:style>
  <w:style w:type="paragraph" w:customStyle="1" w:styleId="xl61">
    <w:name w:val="xl61"/>
    <w:basedOn w:val="Normal"/>
    <w:pPr>
      <w:spacing w:before="100" w:beforeAutospacing="1" w:after="100" w:afterAutospacing="1"/>
    </w:pPr>
    <w:rPr>
      <w:rFonts w:cs="Arial"/>
      <w:color w:val="FF0000"/>
    </w:rPr>
  </w:style>
  <w:style w:type="paragraph" w:customStyle="1" w:styleId="xl62">
    <w:name w:val="xl62"/>
    <w:basedOn w:val="Normal"/>
    <w:pPr>
      <w:spacing w:before="100" w:beforeAutospacing="1" w:after="100" w:afterAutospacing="1"/>
    </w:pPr>
    <w:rPr>
      <w:rFonts w:cs="Arial"/>
      <w:b/>
      <w:bCs/>
    </w:rPr>
  </w:style>
  <w:style w:type="paragraph" w:customStyle="1" w:styleId="xl63">
    <w:name w:val="xl63"/>
    <w:basedOn w:val="Normal"/>
    <w:pPr>
      <w:pBdr>
        <w:bottom w:val="single" w:sz="4" w:space="0" w:color="auto"/>
      </w:pBdr>
      <w:spacing w:before="100" w:beforeAutospacing="1" w:after="100" w:afterAutospacing="1"/>
    </w:pPr>
    <w:rPr>
      <w:rFonts w:cs="Arial"/>
    </w:rPr>
  </w:style>
  <w:style w:type="paragraph" w:customStyle="1" w:styleId="xl64">
    <w:name w:val="xl64"/>
    <w:basedOn w:val="Normal"/>
    <w:pPr>
      <w:pBdr>
        <w:left w:val="single" w:sz="8" w:space="0" w:color="auto"/>
      </w:pBdr>
      <w:spacing w:before="100" w:beforeAutospacing="1" w:after="100" w:afterAutospacing="1"/>
      <w:jc w:val="center"/>
    </w:pPr>
    <w:rPr>
      <w:rFonts w:cs="Arial"/>
      <w:b/>
      <w:bCs/>
    </w:rPr>
  </w:style>
  <w:style w:type="paragraph" w:customStyle="1" w:styleId="Recommend">
    <w:name w:val="Recommend"/>
    <w:basedOn w:val="Normal"/>
    <w:pPr>
      <w:tabs>
        <w:tab w:val="left" w:pos="709"/>
        <w:tab w:val="left" w:pos="1418"/>
      </w:tabs>
      <w:jc w:val="both"/>
    </w:pPr>
    <w:rPr>
      <w:szCs w:val="20"/>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styleId="BodyText">
    <w:name w:val="Body Text"/>
    <w:basedOn w:val="Normal"/>
    <w:link w:val="BodyTextChar"/>
    <w:rPr>
      <w:sz w:val="20"/>
      <w:szCs w:val="20"/>
    </w:rPr>
  </w:style>
  <w:style w:type="character" w:customStyle="1" w:styleId="BodyTextChar">
    <w:name w:val="Body Text Char"/>
    <w:link w:val="BodyText"/>
    <w:locked/>
    <w:rsid w:val="00F9431F"/>
    <w:rPr>
      <w:rFonts w:ascii="Arial" w:hAnsi="Arial"/>
      <w:lang w:val="en-GB" w:eastAsia="en-US" w:bidi="ar-SA"/>
    </w:rPr>
  </w:style>
  <w:style w:type="paragraph" w:styleId="BodyText2">
    <w:name w:val="Body Text 2"/>
    <w:basedOn w:val="Normal"/>
    <w:rPr>
      <w:rFonts w:ascii="TimesNewRoman" w:hAnsi="TimesNewRoman"/>
      <w:snapToGrid w:val="0"/>
      <w:sz w:val="21"/>
      <w:szCs w:val="20"/>
    </w:rPr>
  </w:style>
  <w:style w:type="character" w:styleId="FollowedHyperlink">
    <w:name w:val="FollowedHyperlink"/>
    <w:rPr>
      <w:color w:val="800080"/>
      <w:u w:val="single"/>
    </w:rPr>
  </w:style>
  <w:style w:type="character" w:customStyle="1" w:styleId="emailstyle15">
    <w:name w:val="emailstyle15"/>
    <w:basedOn w:val="DefaultParagraphFont"/>
  </w:style>
  <w:style w:type="paragraph" w:styleId="BodyTextIndent2">
    <w:name w:val="Body Text Indent 2"/>
    <w:basedOn w:val="Normal"/>
    <w:link w:val="BodyTextIndent2Char"/>
    <w:pPr>
      <w:ind w:left="360"/>
    </w:pPr>
    <w:rPr>
      <w:rFonts w:cs="Arial"/>
      <w:szCs w:val="24"/>
    </w:rPr>
  </w:style>
  <w:style w:type="character" w:customStyle="1" w:styleId="BodyTextIndent2Char">
    <w:name w:val="Body Text Indent 2 Char"/>
    <w:link w:val="BodyTextIndent2"/>
    <w:locked/>
    <w:rsid w:val="00F9431F"/>
    <w:rPr>
      <w:rFonts w:ascii="Arial" w:hAnsi="Arial" w:cs="Arial"/>
      <w:sz w:val="23"/>
      <w:szCs w:val="24"/>
      <w:lang w:val="en-GB" w:eastAsia="en-US" w:bidi="ar-SA"/>
    </w:rPr>
  </w:style>
  <w:style w:type="paragraph" w:styleId="BodyText3">
    <w:name w:val="Body Text 3"/>
    <w:basedOn w:val="Normal"/>
    <w:pPr>
      <w:autoSpaceDE w:val="0"/>
      <w:autoSpaceDN w:val="0"/>
      <w:adjustRightInd w:val="0"/>
    </w:pPr>
    <w:rPr>
      <w:rFonts w:cs="Arial"/>
      <w:sz w:val="22"/>
      <w:szCs w:val="19"/>
      <w:lang w:val="en-US"/>
    </w:rPr>
  </w:style>
  <w:style w:type="paragraph" w:customStyle="1" w:styleId="BodyText1">
    <w:name w:val="Body Text1"/>
    <w:basedOn w:val="Normal"/>
    <w:pPr>
      <w:spacing w:after="240"/>
    </w:pPr>
    <w:rPr>
      <w:sz w:val="22"/>
      <w:szCs w:val="24"/>
      <w:lang w:eastAsia="en-GB"/>
    </w:rPr>
  </w:style>
  <w:style w:type="character" w:customStyle="1" w:styleId="BodytextChar0">
    <w:name w:val="Body text Char"/>
    <w:rPr>
      <w:rFonts w:ascii="Arial" w:hAnsi="Arial"/>
      <w:sz w:val="22"/>
      <w:szCs w:val="24"/>
      <w:lang w:val="en-GB" w:eastAsia="en-GB" w:bidi="ar-SA"/>
    </w:rPr>
  </w:style>
  <w:style w:type="paragraph" w:customStyle="1" w:styleId="Bullet1">
    <w:name w:val="Bullet 1"/>
    <w:basedOn w:val="Normal"/>
    <w:pPr>
      <w:keepLines/>
      <w:numPr>
        <w:numId w:val="3"/>
      </w:numPr>
      <w:tabs>
        <w:tab w:val="clear" w:pos="757"/>
        <w:tab w:val="num" w:pos="794"/>
      </w:tabs>
      <w:spacing w:before="100"/>
      <w:ind w:left="794"/>
    </w:pPr>
    <w:rPr>
      <w:sz w:val="24"/>
      <w:szCs w:val="24"/>
      <w:lang w:eastAsia="en-GB"/>
    </w:rPr>
  </w:style>
  <w:style w:type="paragraph" w:styleId="PlainText">
    <w:name w:val="Plain Text"/>
    <w:basedOn w:val="Normal"/>
    <w:rPr>
      <w:rFonts w:ascii="Courier New" w:hAnsi="Courier New" w:cs="Courier New"/>
      <w:sz w:val="20"/>
      <w:szCs w:val="20"/>
    </w:rPr>
  </w:style>
  <w:style w:type="paragraph" w:styleId="DocumentMap">
    <w:name w:val="Document Map"/>
    <w:basedOn w:val="Normal"/>
    <w:semiHidden/>
    <w:rsid w:val="009D267F"/>
    <w:pPr>
      <w:shd w:val="clear" w:color="auto" w:fill="000080"/>
    </w:pPr>
    <w:rPr>
      <w:rFonts w:ascii="Tahoma" w:hAnsi="Tahoma" w:cs="Tahoma"/>
      <w:sz w:val="20"/>
      <w:szCs w:val="20"/>
    </w:rPr>
  </w:style>
  <w:style w:type="table" w:styleId="TableGrid">
    <w:name w:val="Table Grid"/>
    <w:basedOn w:val="TableNormal"/>
    <w:uiPriority w:val="39"/>
    <w:rsid w:val="0087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8B7B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DC3ADB"/>
    <w:rPr>
      <w:rFonts w:ascii="Tahoma" w:hAnsi="Tahoma" w:cs="Tahoma"/>
      <w:sz w:val="16"/>
      <w:szCs w:val="16"/>
    </w:rPr>
  </w:style>
  <w:style w:type="character" w:customStyle="1" w:styleId="BalloonTextChar">
    <w:name w:val="Balloon Text Char"/>
    <w:link w:val="BalloonText"/>
    <w:semiHidden/>
    <w:locked/>
    <w:rsid w:val="00F9431F"/>
    <w:rPr>
      <w:rFonts w:ascii="Tahoma" w:hAnsi="Tahoma" w:cs="Tahoma"/>
      <w:sz w:val="16"/>
      <w:szCs w:val="16"/>
      <w:lang w:val="en-GB" w:eastAsia="en-US" w:bidi="ar-SA"/>
    </w:rPr>
  </w:style>
  <w:style w:type="character" w:styleId="CommentReference">
    <w:name w:val="annotation reference"/>
    <w:semiHidden/>
    <w:rsid w:val="006F154E"/>
    <w:rPr>
      <w:sz w:val="16"/>
      <w:szCs w:val="16"/>
    </w:rPr>
  </w:style>
  <w:style w:type="paragraph" w:styleId="CommentText">
    <w:name w:val="annotation text"/>
    <w:basedOn w:val="Normal"/>
    <w:semiHidden/>
    <w:rsid w:val="006F154E"/>
    <w:rPr>
      <w:sz w:val="20"/>
      <w:szCs w:val="20"/>
    </w:rPr>
  </w:style>
  <w:style w:type="paragraph" w:styleId="CommentSubject">
    <w:name w:val="annotation subject"/>
    <w:basedOn w:val="CommentText"/>
    <w:next w:val="CommentText"/>
    <w:semiHidden/>
    <w:rsid w:val="006F154E"/>
    <w:rPr>
      <w:b/>
      <w:bCs/>
    </w:rPr>
  </w:style>
  <w:style w:type="paragraph" w:styleId="Subtitle">
    <w:name w:val="Subtitle"/>
    <w:basedOn w:val="Normal"/>
    <w:next w:val="Normal"/>
    <w:link w:val="SubtitleChar"/>
    <w:qFormat/>
    <w:rsid w:val="00BF49F8"/>
    <w:pPr>
      <w:numPr>
        <w:ilvl w:val="1"/>
      </w:numPr>
    </w:pPr>
    <w:rPr>
      <w:rFonts w:ascii="Tahoma" w:eastAsia="Calibri" w:hAnsi="Tahoma"/>
      <w:i/>
      <w:iCs/>
      <w:spacing w:val="15"/>
      <w:sz w:val="24"/>
      <w:szCs w:val="24"/>
      <w:u w:val="single"/>
      <w:lang w:eastAsia="en-GB"/>
    </w:rPr>
  </w:style>
  <w:style w:type="character" w:customStyle="1" w:styleId="SubtitleChar">
    <w:name w:val="Subtitle Char"/>
    <w:link w:val="Subtitle"/>
    <w:locked/>
    <w:rsid w:val="00BF49F8"/>
    <w:rPr>
      <w:rFonts w:ascii="Tahoma" w:eastAsia="Calibri" w:hAnsi="Tahoma"/>
      <w:i/>
      <w:iCs/>
      <w:spacing w:val="15"/>
      <w:sz w:val="24"/>
      <w:szCs w:val="24"/>
      <w:u w:val="single"/>
      <w:lang w:val="en-GB" w:eastAsia="en-GB" w:bidi="ar-SA"/>
    </w:rPr>
  </w:style>
  <w:style w:type="paragraph" w:styleId="ListParagraph">
    <w:name w:val="List Paragraph"/>
    <w:basedOn w:val="Normal"/>
    <w:link w:val="ListParagraphChar"/>
    <w:uiPriority w:val="34"/>
    <w:qFormat/>
    <w:rsid w:val="00754A17"/>
    <w:pPr>
      <w:ind w:left="720"/>
      <w:contextualSpacing/>
    </w:pPr>
    <w:rPr>
      <w:rFonts w:eastAsia="Calibri"/>
      <w:sz w:val="24"/>
      <w:szCs w:val="20"/>
      <w:u w:val="single"/>
      <w:lang w:eastAsia="en-GB"/>
    </w:rPr>
  </w:style>
  <w:style w:type="paragraph" w:styleId="BlockText">
    <w:name w:val="Block Text"/>
    <w:basedOn w:val="Normal"/>
    <w:semiHidden/>
    <w:rsid w:val="00754A17"/>
    <w:pPr>
      <w:tabs>
        <w:tab w:val="left" w:pos="1843"/>
      </w:tabs>
      <w:spacing w:line="240" w:lineRule="atLeast"/>
      <w:ind w:left="1843" w:right="-142"/>
    </w:pPr>
    <w:rPr>
      <w:rFonts w:eastAsia="Calibri"/>
      <w:sz w:val="24"/>
      <w:szCs w:val="20"/>
      <w:lang w:eastAsia="en-GB"/>
    </w:rPr>
  </w:style>
  <w:style w:type="paragraph" w:styleId="NoSpacing">
    <w:name w:val="No Spacing"/>
    <w:qFormat/>
    <w:rsid w:val="00F9431F"/>
    <w:rPr>
      <w:rFonts w:ascii="Arial" w:hAnsi="Arial"/>
      <w:sz w:val="24"/>
      <w:szCs w:val="22"/>
      <w:lang w:eastAsia="en-US"/>
    </w:rPr>
  </w:style>
  <w:style w:type="paragraph" w:styleId="Title">
    <w:name w:val="Title"/>
    <w:basedOn w:val="Normal"/>
    <w:next w:val="Normal"/>
    <w:link w:val="TitleChar"/>
    <w:qFormat/>
    <w:rsid w:val="00F9431F"/>
    <w:pPr>
      <w:spacing w:after="300"/>
      <w:contextualSpacing/>
    </w:pPr>
    <w:rPr>
      <w:rFonts w:ascii="Tahoma" w:eastAsia="Calibri" w:hAnsi="Tahoma"/>
      <w:spacing w:val="5"/>
      <w:kern w:val="28"/>
      <w:sz w:val="52"/>
      <w:szCs w:val="52"/>
      <w:u w:val="single"/>
      <w:lang w:eastAsia="en-GB"/>
    </w:rPr>
  </w:style>
  <w:style w:type="character" w:customStyle="1" w:styleId="TitleChar">
    <w:name w:val="Title Char"/>
    <w:link w:val="Title"/>
    <w:locked/>
    <w:rsid w:val="00F9431F"/>
    <w:rPr>
      <w:rFonts w:ascii="Tahoma" w:eastAsia="Calibri" w:hAnsi="Tahoma"/>
      <w:spacing w:val="5"/>
      <w:kern w:val="28"/>
      <w:sz w:val="52"/>
      <w:szCs w:val="52"/>
      <w:u w:val="single"/>
      <w:lang w:val="en-GB" w:eastAsia="en-GB" w:bidi="ar-SA"/>
    </w:rPr>
  </w:style>
  <w:style w:type="paragraph" w:styleId="Quote">
    <w:name w:val="Quote"/>
    <w:basedOn w:val="Normal"/>
    <w:next w:val="Normal"/>
    <w:link w:val="QuoteChar"/>
    <w:qFormat/>
    <w:rsid w:val="00F9431F"/>
    <w:rPr>
      <w:rFonts w:eastAsia="Calibri"/>
      <w:i/>
      <w:iCs/>
      <w:sz w:val="24"/>
      <w:szCs w:val="20"/>
      <w:u w:val="single"/>
      <w:lang w:eastAsia="en-GB"/>
    </w:rPr>
  </w:style>
  <w:style w:type="character" w:customStyle="1" w:styleId="QuoteChar">
    <w:name w:val="Quote Char"/>
    <w:link w:val="Quote"/>
    <w:locked/>
    <w:rsid w:val="00F9431F"/>
    <w:rPr>
      <w:rFonts w:ascii="Arial" w:eastAsia="Calibri" w:hAnsi="Arial"/>
      <w:i/>
      <w:iCs/>
      <w:sz w:val="24"/>
      <w:u w:val="single"/>
      <w:lang w:val="en-GB" w:eastAsia="en-GB" w:bidi="ar-SA"/>
    </w:rPr>
  </w:style>
  <w:style w:type="paragraph" w:styleId="IntenseQuote">
    <w:name w:val="Intense Quote"/>
    <w:basedOn w:val="Normal"/>
    <w:next w:val="Normal"/>
    <w:link w:val="IntenseQuoteChar"/>
    <w:qFormat/>
    <w:rsid w:val="00F9431F"/>
    <w:pPr>
      <w:spacing w:before="200" w:after="280"/>
      <w:ind w:left="936" w:right="936"/>
    </w:pPr>
    <w:rPr>
      <w:rFonts w:eastAsia="Calibri"/>
      <w:b/>
      <w:bCs/>
      <w:i/>
      <w:iCs/>
      <w:sz w:val="24"/>
      <w:szCs w:val="20"/>
      <w:u w:val="single"/>
      <w:lang w:eastAsia="en-GB"/>
    </w:rPr>
  </w:style>
  <w:style w:type="character" w:customStyle="1" w:styleId="IntenseQuoteChar">
    <w:name w:val="Intense Quote Char"/>
    <w:link w:val="IntenseQuote"/>
    <w:locked/>
    <w:rsid w:val="00F9431F"/>
    <w:rPr>
      <w:rFonts w:ascii="Arial" w:eastAsia="Calibri" w:hAnsi="Arial"/>
      <w:b/>
      <w:bCs/>
      <w:i/>
      <w:iCs/>
      <w:sz w:val="24"/>
      <w:u w:val="single"/>
      <w:lang w:val="en-GB" w:eastAsia="en-GB" w:bidi="ar-SA"/>
    </w:rPr>
  </w:style>
  <w:style w:type="paragraph" w:customStyle="1" w:styleId="Elementheading">
    <w:name w:val="Element heading"/>
    <w:basedOn w:val="Normal"/>
    <w:rsid w:val="00F9431F"/>
    <w:pPr>
      <w:numPr>
        <w:numId w:val="5"/>
      </w:numPr>
    </w:pPr>
    <w:rPr>
      <w:rFonts w:ascii="Times New Roman" w:eastAsia="Calibri" w:hAnsi="Times New Roman"/>
      <w:b/>
      <w:sz w:val="20"/>
      <w:szCs w:val="20"/>
      <w:lang w:eastAsia="en-GB"/>
    </w:rPr>
  </w:style>
  <w:style w:type="paragraph" w:customStyle="1" w:styleId="inlinenormal">
    <w:name w:val="inlinenormal"/>
    <w:basedOn w:val="Normal"/>
    <w:rsid w:val="00D308B1"/>
    <w:pPr>
      <w:autoSpaceDN w:val="0"/>
      <w:spacing w:before="120" w:after="60" w:line="264" w:lineRule="auto"/>
    </w:pPr>
    <w:rPr>
      <w:rFonts w:cs="Arial"/>
      <w:sz w:val="24"/>
      <w:szCs w:val="24"/>
      <w:lang w:eastAsia="en-GB"/>
    </w:rPr>
  </w:style>
  <w:style w:type="character" w:styleId="Emphasis">
    <w:name w:val="Emphasis"/>
    <w:uiPriority w:val="20"/>
    <w:qFormat/>
    <w:rsid w:val="00D308B1"/>
    <w:rPr>
      <w:i/>
      <w:iCs/>
    </w:rPr>
  </w:style>
  <w:style w:type="character" w:customStyle="1" w:styleId="FootnoteTextChar">
    <w:name w:val="Footnote Text Char"/>
    <w:link w:val="FootnoteText"/>
    <w:uiPriority w:val="99"/>
    <w:semiHidden/>
    <w:locked/>
    <w:rsid w:val="000F34FB"/>
    <w:rPr>
      <w:rFonts w:ascii="Arial" w:hAnsi="Arial"/>
      <w:lang w:val="en-GB" w:eastAsia="en-US" w:bidi="ar-SA"/>
    </w:rPr>
  </w:style>
  <w:style w:type="character" w:customStyle="1" w:styleId="CharChar1">
    <w:name w:val="Char Char1"/>
    <w:semiHidden/>
    <w:locked/>
    <w:rsid w:val="008D5C49"/>
    <w:rPr>
      <w:rFonts w:ascii="Arial" w:hAnsi="Arial"/>
      <w:lang w:val="en-GB" w:eastAsia="en-US" w:bidi="ar-SA"/>
    </w:rPr>
  </w:style>
  <w:style w:type="character" w:customStyle="1" w:styleId="CharChar">
    <w:name w:val="Char Char"/>
    <w:semiHidden/>
    <w:locked/>
    <w:rsid w:val="008D5C49"/>
    <w:rPr>
      <w:rFonts w:ascii="Arial" w:eastAsia="Calibri" w:hAnsi="Arial"/>
      <w:lang w:val="en-GB" w:eastAsia="en-US" w:bidi="ar-SA"/>
    </w:rPr>
  </w:style>
  <w:style w:type="character" w:styleId="Strong">
    <w:name w:val="Strong"/>
    <w:uiPriority w:val="22"/>
    <w:qFormat/>
    <w:rsid w:val="00773808"/>
    <w:rPr>
      <w:b/>
      <w:bCs/>
    </w:rPr>
  </w:style>
  <w:style w:type="paragraph" w:styleId="EndnoteText">
    <w:name w:val="endnote text"/>
    <w:basedOn w:val="Normal"/>
    <w:link w:val="EndnoteTextChar"/>
    <w:rsid w:val="00B709B7"/>
    <w:rPr>
      <w:sz w:val="20"/>
      <w:szCs w:val="20"/>
    </w:rPr>
  </w:style>
  <w:style w:type="character" w:customStyle="1" w:styleId="EndnoteTextChar">
    <w:name w:val="Endnote Text Char"/>
    <w:link w:val="EndnoteText"/>
    <w:rsid w:val="00B709B7"/>
    <w:rPr>
      <w:rFonts w:ascii="Arial" w:hAnsi="Arial"/>
      <w:lang w:eastAsia="en-US"/>
    </w:rPr>
  </w:style>
  <w:style w:type="character" w:styleId="EndnoteReference">
    <w:name w:val="endnote reference"/>
    <w:rsid w:val="00B709B7"/>
    <w:rPr>
      <w:vertAlign w:val="superscript"/>
    </w:rPr>
  </w:style>
  <w:style w:type="paragraph" w:customStyle="1" w:styleId="Default">
    <w:name w:val="Default"/>
    <w:rsid w:val="00D34473"/>
    <w:pPr>
      <w:widowControl w:val="0"/>
      <w:autoSpaceDE w:val="0"/>
      <w:autoSpaceDN w:val="0"/>
      <w:adjustRightInd w:val="0"/>
    </w:pPr>
    <w:rPr>
      <w:rFonts w:ascii="Myriad Pro" w:hAnsi="Myriad Pro" w:cs="Myriad Pro"/>
      <w:color w:val="000000"/>
      <w:sz w:val="24"/>
      <w:szCs w:val="24"/>
    </w:rPr>
  </w:style>
  <w:style w:type="paragraph" w:customStyle="1" w:styleId="GrantThorntonOffices">
    <w:name w:val="Grant Thornton Offices"/>
    <w:basedOn w:val="Normal"/>
    <w:rsid w:val="00A11957"/>
    <w:rPr>
      <w:rFonts w:ascii="Garamond" w:hAnsi="Garamond"/>
      <w:noProof/>
      <w:sz w:val="22"/>
      <w:szCs w:val="24"/>
    </w:rPr>
  </w:style>
  <w:style w:type="character" w:customStyle="1" w:styleId="ListParagraphChar">
    <w:name w:val="List Paragraph Char"/>
    <w:basedOn w:val="DefaultParagraphFont"/>
    <w:link w:val="ListParagraph"/>
    <w:uiPriority w:val="34"/>
    <w:locked/>
    <w:rsid w:val="00A94AD6"/>
    <w:rPr>
      <w:rFonts w:ascii="Arial" w:eastAsia="Calibri" w:hAnsi="Arial"/>
      <w:sz w:val="24"/>
      <w:u w:val="single"/>
    </w:rPr>
  </w:style>
  <w:style w:type="paragraph" w:customStyle="1" w:styleId="CodeNotesExampleText">
    <w:name w:val="CodeNotes Example Text"/>
    <w:basedOn w:val="Normal"/>
    <w:uiPriority w:val="99"/>
    <w:rsid w:val="009367F6"/>
    <w:pPr>
      <w:spacing w:line="240" w:lineRule="atLeast"/>
    </w:pPr>
    <w:rPr>
      <w:color w:val="000000"/>
      <w:sz w:val="18"/>
      <w:szCs w:val="18"/>
    </w:rPr>
  </w:style>
  <w:style w:type="paragraph" w:customStyle="1" w:styleId="ListBullet1">
    <w:name w:val="List Bullet1"/>
    <w:basedOn w:val="Normal"/>
    <w:next w:val="ListBullet"/>
    <w:uiPriority w:val="1"/>
    <w:qFormat/>
    <w:rsid w:val="00553405"/>
    <w:pPr>
      <w:numPr>
        <w:numId w:val="34"/>
      </w:numPr>
      <w:tabs>
        <w:tab w:val="clear" w:pos="284"/>
        <w:tab w:val="num" w:pos="360"/>
      </w:tabs>
      <w:spacing w:after="120" w:line="240" w:lineRule="atLeast"/>
      <w:ind w:left="340" w:hanging="340"/>
    </w:pPr>
    <w:rPr>
      <w:sz w:val="18"/>
      <w:szCs w:val="18"/>
    </w:rPr>
  </w:style>
  <w:style w:type="paragraph" w:customStyle="1" w:styleId="ListBullet21">
    <w:name w:val="List Bullet 21"/>
    <w:basedOn w:val="Normal"/>
    <w:next w:val="ListBullet2"/>
    <w:uiPriority w:val="1"/>
    <w:qFormat/>
    <w:rsid w:val="00553405"/>
    <w:pPr>
      <w:numPr>
        <w:ilvl w:val="1"/>
        <w:numId w:val="34"/>
      </w:numPr>
      <w:tabs>
        <w:tab w:val="clear" w:pos="567"/>
        <w:tab w:val="num" w:pos="1440"/>
      </w:tabs>
      <w:spacing w:after="120" w:line="240" w:lineRule="atLeast"/>
      <w:ind w:left="1440" w:hanging="360"/>
    </w:pPr>
    <w:rPr>
      <w:sz w:val="18"/>
      <w:szCs w:val="18"/>
    </w:rPr>
  </w:style>
  <w:style w:type="numbering" w:customStyle="1" w:styleId="GTListBullet">
    <w:name w:val="GT List Bullet"/>
    <w:uiPriority w:val="99"/>
    <w:rsid w:val="00553405"/>
    <w:pPr>
      <w:numPr>
        <w:numId w:val="33"/>
      </w:numPr>
    </w:pPr>
  </w:style>
  <w:style w:type="paragraph" w:customStyle="1" w:styleId="ListBullet31">
    <w:name w:val="List Bullet 31"/>
    <w:basedOn w:val="Normal"/>
    <w:next w:val="ListBullet3"/>
    <w:uiPriority w:val="1"/>
    <w:qFormat/>
    <w:rsid w:val="00553405"/>
    <w:pPr>
      <w:numPr>
        <w:ilvl w:val="2"/>
        <w:numId w:val="34"/>
      </w:numPr>
      <w:tabs>
        <w:tab w:val="clear" w:pos="851"/>
        <w:tab w:val="num" w:pos="2160"/>
      </w:tabs>
      <w:spacing w:after="120" w:line="240" w:lineRule="atLeast"/>
      <w:ind w:left="2160" w:hanging="360"/>
    </w:pPr>
    <w:rPr>
      <w:sz w:val="18"/>
      <w:szCs w:val="18"/>
    </w:rPr>
  </w:style>
  <w:style w:type="paragraph" w:styleId="ListBullet3">
    <w:name w:val="List Bullet 3"/>
    <w:basedOn w:val="Normal"/>
    <w:rsid w:val="00553405"/>
    <w:pPr>
      <w:numPr>
        <w:numId w:val="35"/>
      </w:numPr>
      <w:contextualSpacing/>
    </w:pPr>
  </w:style>
  <w:style w:type="paragraph" w:styleId="ListBullet">
    <w:name w:val="List Bullet"/>
    <w:basedOn w:val="Normal"/>
    <w:rsid w:val="00553405"/>
    <w:pPr>
      <w:tabs>
        <w:tab w:val="num" w:pos="284"/>
      </w:tabs>
      <w:ind w:left="284" w:hanging="284"/>
      <w:contextualSpacing/>
    </w:pPr>
  </w:style>
  <w:style w:type="paragraph" w:styleId="ListBullet2">
    <w:name w:val="List Bullet 2"/>
    <w:basedOn w:val="Normal"/>
    <w:rsid w:val="00553405"/>
    <w:pPr>
      <w:tabs>
        <w:tab w:val="num" w:pos="720"/>
      </w:tabs>
      <w:ind w:left="720" w:hanging="360"/>
      <w:contextualSpacing/>
    </w:pPr>
  </w:style>
  <w:style w:type="paragraph" w:customStyle="1" w:styleId="paragraph">
    <w:name w:val="paragraph"/>
    <w:basedOn w:val="Normal"/>
    <w:rsid w:val="00B00892"/>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B00892"/>
  </w:style>
  <w:style w:type="character" w:customStyle="1" w:styleId="eop">
    <w:name w:val="eop"/>
    <w:basedOn w:val="DefaultParagraphFont"/>
    <w:rsid w:val="00B00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351">
      <w:bodyDiv w:val="1"/>
      <w:marLeft w:val="0"/>
      <w:marRight w:val="0"/>
      <w:marTop w:val="0"/>
      <w:marBottom w:val="0"/>
      <w:divBdr>
        <w:top w:val="none" w:sz="0" w:space="0" w:color="auto"/>
        <w:left w:val="none" w:sz="0" w:space="0" w:color="auto"/>
        <w:bottom w:val="none" w:sz="0" w:space="0" w:color="auto"/>
        <w:right w:val="none" w:sz="0" w:space="0" w:color="auto"/>
      </w:divBdr>
    </w:div>
    <w:div w:id="53281646">
      <w:bodyDiv w:val="1"/>
      <w:marLeft w:val="0"/>
      <w:marRight w:val="0"/>
      <w:marTop w:val="0"/>
      <w:marBottom w:val="0"/>
      <w:divBdr>
        <w:top w:val="none" w:sz="0" w:space="0" w:color="auto"/>
        <w:left w:val="none" w:sz="0" w:space="0" w:color="auto"/>
        <w:bottom w:val="none" w:sz="0" w:space="0" w:color="auto"/>
        <w:right w:val="none" w:sz="0" w:space="0" w:color="auto"/>
      </w:divBdr>
    </w:div>
    <w:div w:id="55738097">
      <w:bodyDiv w:val="1"/>
      <w:marLeft w:val="0"/>
      <w:marRight w:val="0"/>
      <w:marTop w:val="0"/>
      <w:marBottom w:val="0"/>
      <w:divBdr>
        <w:top w:val="none" w:sz="0" w:space="0" w:color="auto"/>
        <w:left w:val="none" w:sz="0" w:space="0" w:color="auto"/>
        <w:bottom w:val="none" w:sz="0" w:space="0" w:color="auto"/>
        <w:right w:val="none" w:sz="0" w:space="0" w:color="auto"/>
      </w:divBdr>
    </w:div>
    <w:div w:id="64374490">
      <w:bodyDiv w:val="1"/>
      <w:marLeft w:val="0"/>
      <w:marRight w:val="0"/>
      <w:marTop w:val="0"/>
      <w:marBottom w:val="0"/>
      <w:divBdr>
        <w:top w:val="none" w:sz="0" w:space="0" w:color="auto"/>
        <w:left w:val="none" w:sz="0" w:space="0" w:color="auto"/>
        <w:bottom w:val="none" w:sz="0" w:space="0" w:color="auto"/>
        <w:right w:val="none" w:sz="0" w:space="0" w:color="auto"/>
      </w:divBdr>
    </w:div>
    <w:div w:id="74326928">
      <w:bodyDiv w:val="1"/>
      <w:marLeft w:val="0"/>
      <w:marRight w:val="0"/>
      <w:marTop w:val="0"/>
      <w:marBottom w:val="0"/>
      <w:divBdr>
        <w:top w:val="none" w:sz="0" w:space="0" w:color="auto"/>
        <w:left w:val="none" w:sz="0" w:space="0" w:color="auto"/>
        <w:bottom w:val="none" w:sz="0" w:space="0" w:color="auto"/>
        <w:right w:val="none" w:sz="0" w:space="0" w:color="auto"/>
      </w:divBdr>
    </w:div>
    <w:div w:id="130827588">
      <w:bodyDiv w:val="1"/>
      <w:marLeft w:val="0"/>
      <w:marRight w:val="0"/>
      <w:marTop w:val="0"/>
      <w:marBottom w:val="0"/>
      <w:divBdr>
        <w:top w:val="none" w:sz="0" w:space="0" w:color="auto"/>
        <w:left w:val="none" w:sz="0" w:space="0" w:color="auto"/>
        <w:bottom w:val="none" w:sz="0" w:space="0" w:color="auto"/>
        <w:right w:val="none" w:sz="0" w:space="0" w:color="auto"/>
      </w:divBdr>
    </w:div>
    <w:div w:id="155150081">
      <w:bodyDiv w:val="1"/>
      <w:marLeft w:val="0"/>
      <w:marRight w:val="0"/>
      <w:marTop w:val="0"/>
      <w:marBottom w:val="0"/>
      <w:divBdr>
        <w:top w:val="none" w:sz="0" w:space="0" w:color="auto"/>
        <w:left w:val="none" w:sz="0" w:space="0" w:color="auto"/>
        <w:bottom w:val="none" w:sz="0" w:space="0" w:color="auto"/>
        <w:right w:val="none" w:sz="0" w:space="0" w:color="auto"/>
      </w:divBdr>
    </w:div>
    <w:div w:id="276916697">
      <w:bodyDiv w:val="1"/>
      <w:marLeft w:val="0"/>
      <w:marRight w:val="0"/>
      <w:marTop w:val="0"/>
      <w:marBottom w:val="0"/>
      <w:divBdr>
        <w:top w:val="none" w:sz="0" w:space="0" w:color="auto"/>
        <w:left w:val="none" w:sz="0" w:space="0" w:color="auto"/>
        <w:bottom w:val="none" w:sz="0" w:space="0" w:color="auto"/>
        <w:right w:val="none" w:sz="0" w:space="0" w:color="auto"/>
      </w:divBdr>
    </w:div>
    <w:div w:id="293875030">
      <w:bodyDiv w:val="1"/>
      <w:marLeft w:val="0"/>
      <w:marRight w:val="0"/>
      <w:marTop w:val="0"/>
      <w:marBottom w:val="0"/>
      <w:divBdr>
        <w:top w:val="none" w:sz="0" w:space="0" w:color="auto"/>
        <w:left w:val="none" w:sz="0" w:space="0" w:color="auto"/>
        <w:bottom w:val="none" w:sz="0" w:space="0" w:color="auto"/>
        <w:right w:val="none" w:sz="0" w:space="0" w:color="auto"/>
      </w:divBdr>
    </w:div>
    <w:div w:id="294793580">
      <w:bodyDiv w:val="1"/>
      <w:marLeft w:val="0"/>
      <w:marRight w:val="0"/>
      <w:marTop w:val="0"/>
      <w:marBottom w:val="0"/>
      <w:divBdr>
        <w:top w:val="none" w:sz="0" w:space="0" w:color="auto"/>
        <w:left w:val="none" w:sz="0" w:space="0" w:color="auto"/>
        <w:bottom w:val="none" w:sz="0" w:space="0" w:color="auto"/>
        <w:right w:val="none" w:sz="0" w:space="0" w:color="auto"/>
      </w:divBdr>
    </w:div>
    <w:div w:id="320894537">
      <w:bodyDiv w:val="1"/>
      <w:marLeft w:val="0"/>
      <w:marRight w:val="0"/>
      <w:marTop w:val="0"/>
      <w:marBottom w:val="0"/>
      <w:divBdr>
        <w:top w:val="none" w:sz="0" w:space="0" w:color="auto"/>
        <w:left w:val="none" w:sz="0" w:space="0" w:color="auto"/>
        <w:bottom w:val="none" w:sz="0" w:space="0" w:color="auto"/>
        <w:right w:val="none" w:sz="0" w:space="0" w:color="auto"/>
      </w:divBdr>
    </w:div>
    <w:div w:id="370426526">
      <w:bodyDiv w:val="1"/>
      <w:marLeft w:val="0"/>
      <w:marRight w:val="0"/>
      <w:marTop w:val="0"/>
      <w:marBottom w:val="0"/>
      <w:divBdr>
        <w:top w:val="none" w:sz="0" w:space="0" w:color="auto"/>
        <w:left w:val="none" w:sz="0" w:space="0" w:color="auto"/>
        <w:bottom w:val="none" w:sz="0" w:space="0" w:color="auto"/>
        <w:right w:val="none" w:sz="0" w:space="0" w:color="auto"/>
      </w:divBdr>
    </w:div>
    <w:div w:id="422265491">
      <w:bodyDiv w:val="1"/>
      <w:marLeft w:val="0"/>
      <w:marRight w:val="0"/>
      <w:marTop w:val="0"/>
      <w:marBottom w:val="0"/>
      <w:divBdr>
        <w:top w:val="none" w:sz="0" w:space="0" w:color="auto"/>
        <w:left w:val="none" w:sz="0" w:space="0" w:color="auto"/>
        <w:bottom w:val="none" w:sz="0" w:space="0" w:color="auto"/>
        <w:right w:val="none" w:sz="0" w:space="0" w:color="auto"/>
      </w:divBdr>
    </w:div>
    <w:div w:id="422773370">
      <w:bodyDiv w:val="1"/>
      <w:marLeft w:val="0"/>
      <w:marRight w:val="0"/>
      <w:marTop w:val="0"/>
      <w:marBottom w:val="0"/>
      <w:divBdr>
        <w:top w:val="none" w:sz="0" w:space="0" w:color="auto"/>
        <w:left w:val="none" w:sz="0" w:space="0" w:color="auto"/>
        <w:bottom w:val="none" w:sz="0" w:space="0" w:color="auto"/>
        <w:right w:val="none" w:sz="0" w:space="0" w:color="auto"/>
      </w:divBdr>
    </w:div>
    <w:div w:id="425080904">
      <w:bodyDiv w:val="1"/>
      <w:marLeft w:val="0"/>
      <w:marRight w:val="0"/>
      <w:marTop w:val="0"/>
      <w:marBottom w:val="0"/>
      <w:divBdr>
        <w:top w:val="none" w:sz="0" w:space="0" w:color="auto"/>
        <w:left w:val="none" w:sz="0" w:space="0" w:color="auto"/>
        <w:bottom w:val="none" w:sz="0" w:space="0" w:color="auto"/>
        <w:right w:val="none" w:sz="0" w:space="0" w:color="auto"/>
      </w:divBdr>
    </w:div>
    <w:div w:id="427165033">
      <w:bodyDiv w:val="1"/>
      <w:marLeft w:val="0"/>
      <w:marRight w:val="0"/>
      <w:marTop w:val="0"/>
      <w:marBottom w:val="0"/>
      <w:divBdr>
        <w:top w:val="none" w:sz="0" w:space="0" w:color="auto"/>
        <w:left w:val="none" w:sz="0" w:space="0" w:color="auto"/>
        <w:bottom w:val="none" w:sz="0" w:space="0" w:color="auto"/>
        <w:right w:val="none" w:sz="0" w:space="0" w:color="auto"/>
      </w:divBdr>
    </w:div>
    <w:div w:id="431628310">
      <w:bodyDiv w:val="1"/>
      <w:marLeft w:val="0"/>
      <w:marRight w:val="0"/>
      <w:marTop w:val="0"/>
      <w:marBottom w:val="0"/>
      <w:divBdr>
        <w:top w:val="none" w:sz="0" w:space="0" w:color="auto"/>
        <w:left w:val="none" w:sz="0" w:space="0" w:color="auto"/>
        <w:bottom w:val="none" w:sz="0" w:space="0" w:color="auto"/>
        <w:right w:val="none" w:sz="0" w:space="0" w:color="auto"/>
      </w:divBdr>
    </w:div>
    <w:div w:id="436758756">
      <w:bodyDiv w:val="1"/>
      <w:marLeft w:val="0"/>
      <w:marRight w:val="0"/>
      <w:marTop w:val="0"/>
      <w:marBottom w:val="0"/>
      <w:divBdr>
        <w:top w:val="none" w:sz="0" w:space="0" w:color="auto"/>
        <w:left w:val="none" w:sz="0" w:space="0" w:color="auto"/>
        <w:bottom w:val="none" w:sz="0" w:space="0" w:color="auto"/>
        <w:right w:val="none" w:sz="0" w:space="0" w:color="auto"/>
      </w:divBdr>
    </w:div>
    <w:div w:id="438375957">
      <w:bodyDiv w:val="1"/>
      <w:marLeft w:val="0"/>
      <w:marRight w:val="0"/>
      <w:marTop w:val="0"/>
      <w:marBottom w:val="0"/>
      <w:divBdr>
        <w:top w:val="none" w:sz="0" w:space="0" w:color="auto"/>
        <w:left w:val="none" w:sz="0" w:space="0" w:color="auto"/>
        <w:bottom w:val="none" w:sz="0" w:space="0" w:color="auto"/>
        <w:right w:val="none" w:sz="0" w:space="0" w:color="auto"/>
      </w:divBdr>
    </w:div>
    <w:div w:id="458299727">
      <w:bodyDiv w:val="1"/>
      <w:marLeft w:val="0"/>
      <w:marRight w:val="0"/>
      <w:marTop w:val="0"/>
      <w:marBottom w:val="0"/>
      <w:divBdr>
        <w:top w:val="none" w:sz="0" w:space="0" w:color="auto"/>
        <w:left w:val="none" w:sz="0" w:space="0" w:color="auto"/>
        <w:bottom w:val="none" w:sz="0" w:space="0" w:color="auto"/>
        <w:right w:val="none" w:sz="0" w:space="0" w:color="auto"/>
      </w:divBdr>
    </w:div>
    <w:div w:id="464854312">
      <w:bodyDiv w:val="1"/>
      <w:marLeft w:val="0"/>
      <w:marRight w:val="0"/>
      <w:marTop w:val="0"/>
      <w:marBottom w:val="0"/>
      <w:divBdr>
        <w:top w:val="none" w:sz="0" w:space="0" w:color="auto"/>
        <w:left w:val="none" w:sz="0" w:space="0" w:color="auto"/>
        <w:bottom w:val="none" w:sz="0" w:space="0" w:color="auto"/>
        <w:right w:val="none" w:sz="0" w:space="0" w:color="auto"/>
      </w:divBdr>
    </w:div>
    <w:div w:id="484585535">
      <w:bodyDiv w:val="1"/>
      <w:marLeft w:val="0"/>
      <w:marRight w:val="0"/>
      <w:marTop w:val="0"/>
      <w:marBottom w:val="0"/>
      <w:divBdr>
        <w:top w:val="none" w:sz="0" w:space="0" w:color="auto"/>
        <w:left w:val="none" w:sz="0" w:space="0" w:color="auto"/>
        <w:bottom w:val="none" w:sz="0" w:space="0" w:color="auto"/>
        <w:right w:val="none" w:sz="0" w:space="0" w:color="auto"/>
      </w:divBdr>
    </w:div>
    <w:div w:id="529294480">
      <w:bodyDiv w:val="1"/>
      <w:marLeft w:val="0"/>
      <w:marRight w:val="0"/>
      <w:marTop w:val="0"/>
      <w:marBottom w:val="0"/>
      <w:divBdr>
        <w:top w:val="none" w:sz="0" w:space="0" w:color="auto"/>
        <w:left w:val="none" w:sz="0" w:space="0" w:color="auto"/>
        <w:bottom w:val="none" w:sz="0" w:space="0" w:color="auto"/>
        <w:right w:val="none" w:sz="0" w:space="0" w:color="auto"/>
      </w:divBdr>
    </w:div>
    <w:div w:id="530412421">
      <w:bodyDiv w:val="1"/>
      <w:marLeft w:val="0"/>
      <w:marRight w:val="0"/>
      <w:marTop w:val="0"/>
      <w:marBottom w:val="0"/>
      <w:divBdr>
        <w:top w:val="none" w:sz="0" w:space="0" w:color="auto"/>
        <w:left w:val="none" w:sz="0" w:space="0" w:color="auto"/>
        <w:bottom w:val="none" w:sz="0" w:space="0" w:color="auto"/>
        <w:right w:val="none" w:sz="0" w:space="0" w:color="auto"/>
      </w:divBdr>
    </w:div>
    <w:div w:id="556430897">
      <w:bodyDiv w:val="1"/>
      <w:marLeft w:val="0"/>
      <w:marRight w:val="0"/>
      <w:marTop w:val="0"/>
      <w:marBottom w:val="0"/>
      <w:divBdr>
        <w:top w:val="none" w:sz="0" w:space="0" w:color="auto"/>
        <w:left w:val="none" w:sz="0" w:space="0" w:color="auto"/>
        <w:bottom w:val="none" w:sz="0" w:space="0" w:color="auto"/>
        <w:right w:val="none" w:sz="0" w:space="0" w:color="auto"/>
      </w:divBdr>
    </w:div>
    <w:div w:id="557858852">
      <w:bodyDiv w:val="1"/>
      <w:marLeft w:val="0"/>
      <w:marRight w:val="0"/>
      <w:marTop w:val="0"/>
      <w:marBottom w:val="0"/>
      <w:divBdr>
        <w:top w:val="none" w:sz="0" w:space="0" w:color="auto"/>
        <w:left w:val="none" w:sz="0" w:space="0" w:color="auto"/>
        <w:bottom w:val="none" w:sz="0" w:space="0" w:color="auto"/>
        <w:right w:val="none" w:sz="0" w:space="0" w:color="auto"/>
      </w:divBdr>
    </w:div>
    <w:div w:id="577327824">
      <w:bodyDiv w:val="1"/>
      <w:marLeft w:val="0"/>
      <w:marRight w:val="0"/>
      <w:marTop w:val="0"/>
      <w:marBottom w:val="0"/>
      <w:divBdr>
        <w:top w:val="none" w:sz="0" w:space="0" w:color="auto"/>
        <w:left w:val="none" w:sz="0" w:space="0" w:color="auto"/>
        <w:bottom w:val="none" w:sz="0" w:space="0" w:color="auto"/>
        <w:right w:val="none" w:sz="0" w:space="0" w:color="auto"/>
      </w:divBdr>
    </w:div>
    <w:div w:id="586110441">
      <w:bodyDiv w:val="1"/>
      <w:marLeft w:val="0"/>
      <w:marRight w:val="0"/>
      <w:marTop w:val="0"/>
      <w:marBottom w:val="0"/>
      <w:divBdr>
        <w:top w:val="none" w:sz="0" w:space="0" w:color="auto"/>
        <w:left w:val="none" w:sz="0" w:space="0" w:color="auto"/>
        <w:bottom w:val="none" w:sz="0" w:space="0" w:color="auto"/>
        <w:right w:val="none" w:sz="0" w:space="0" w:color="auto"/>
      </w:divBdr>
    </w:div>
    <w:div w:id="591013060">
      <w:bodyDiv w:val="1"/>
      <w:marLeft w:val="0"/>
      <w:marRight w:val="0"/>
      <w:marTop w:val="0"/>
      <w:marBottom w:val="0"/>
      <w:divBdr>
        <w:top w:val="none" w:sz="0" w:space="0" w:color="auto"/>
        <w:left w:val="none" w:sz="0" w:space="0" w:color="auto"/>
        <w:bottom w:val="none" w:sz="0" w:space="0" w:color="auto"/>
        <w:right w:val="none" w:sz="0" w:space="0" w:color="auto"/>
      </w:divBdr>
    </w:div>
    <w:div w:id="594948148">
      <w:bodyDiv w:val="1"/>
      <w:marLeft w:val="0"/>
      <w:marRight w:val="0"/>
      <w:marTop w:val="0"/>
      <w:marBottom w:val="0"/>
      <w:divBdr>
        <w:top w:val="none" w:sz="0" w:space="0" w:color="auto"/>
        <w:left w:val="none" w:sz="0" w:space="0" w:color="auto"/>
        <w:bottom w:val="none" w:sz="0" w:space="0" w:color="auto"/>
        <w:right w:val="none" w:sz="0" w:space="0" w:color="auto"/>
      </w:divBdr>
    </w:div>
    <w:div w:id="613563220">
      <w:bodyDiv w:val="1"/>
      <w:marLeft w:val="0"/>
      <w:marRight w:val="0"/>
      <w:marTop w:val="0"/>
      <w:marBottom w:val="0"/>
      <w:divBdr>
        <w:top w:val="none" w:sz="0" w:space="0" w:color="auto"/>
        <w:left w:val="none" w:sz="0" w:space="0" w:color="auto"/>
        <w:bottom w:val="none" w:sz="0" w:space="0" w:color="auto"/>
        <w:right w:val="none" w:sz="0" w:space="0" w:color="auto"/>
      </w:divBdr>
    </w:div>
    <w:div w:id="657072816">
      <w:bodyDiv w:val="1"/>
      <w:marLeft w:val="0"/>
      <w:marRight w:val="0"/>
      <w:marTop w:val="0"/>
      <w:marBottom w:val="0"/>
      <w:divBdr>
        <w:top w:val="none" w:sz="0" w:space="0" w:color="auto"/>
        <w:left w:val="none" w:sz="0" w:space="0" w:color="auto"/>
        <w:bottom w:val="none" w:sz="0" w:space="0" w:color="auto"/>
        <w:right w:val="none" w:sz="0" w:space="0" w:color="auto"/>
      </w:divBdr>
    </w:div>
    <w:div w:id="696590392">
      <w:bodyDiv w:val="1"/>
      <w:marLeft w:val="0"/>
      <w:marRight w:val="0"/>
      <w:marTop w:val="0"/>
      <w:marBottom w:val="0"/>
      <w:divBdr>
        <w:top w:val="none" w:sz="0" w:space="0" w:color="auto"/>
        <w:left w:val="none" w:sz="0" w:space="0" w:color="auto"/>
        <w:bottom w:val="none" w:sz="0" w:space="0" w:color="auto"/>
        <w:right w:val="none" w:sz="0" w:space="0" w:color="auto"/>
      </w:divBdr>
    </w:div>
    <w:div w:id="708068190">
      <w:bodyDiv w:val="1"/>
      <w:marLeft w:val="0"/>
      <w:marRight w:val="0"/>
      <w:marTop w:val="0"/>
      <w:marBottom w:val="0"/>
      <w:divBdr>
        <w:top w:val="none" w:sz="0" w:space="0" w:color="auto"/>
        <w:left w:val="none" w:sz="0" w:space="0" w:color="auto"/>
        <w:bottom w:val="none" w:sz="0" w:space="0" w:color="auto"/>
        <w:right w:val="none" w:sz="0" w:space="0" w:color="auto"/>
      </w:divBdr>
    </w:div>
    <w:div w:id="716396082">
      <w:bodyDiv w:val="1"/>
      <w:marLeft w:val="0"/>
      <w:marRight w:val="0"/>
      <w:marTop w:val="0"/>
      <w:marBottom w:val="0"/>
      <w:divBdr>
        <w:top w:val="none" w:sz="0" w:space="0" w:color="auto"/>
        <w:left w:val="none" w:sz="0" w:space="0" w:color="auto"/>
        <w:bottom w:val="none" w:sz="0" w:space="0" w:color="auto"/>
        <w:right w:val="none" w:sz="0" w:space="0" w:color="auto"/>
      </w:divBdr>
    </w:div>
    <w:div w:id="753162434">
      <w:bodyDiv w:val="1"/>
      <w:marLeft w:val="0"/>
      <w:marRight w:val="0"/>
      <w:marTop w:val="0"/>
      <w:marBottom w:val="0"/>
      <w:divBdr>
        <w:top w:val="none" w:sz="0" w:space="0" w:color="auto"/>
        <w:left w:val="none" w:sz="0" w:space="0" w:color="auto"/>
        <w:bottom w:val="none" w:sz="0" w:space="0" w:color="auto"/>
        <w:right w:val="none" w:sz="0" w:space="0" w:color="auto"/>
      </w:divBdr>
    </w:div>
    <w:div w:id="761411165">
      <w:bodyDiv w:val="1"/>
      <w:marLeft w:val="0"/>
      <w:marRight w:val="0"/>
      <w:marTop w:val="0"/>
      <w:marBottom w:val="0"/>
      <w:divBdr>
        <w:top w:val="none" w:sz="0" w:space="0" w:color="auto"/>
        <w:left w:val="none" w:sz="0" w:space="0" w:color="auto"/>
        <w:bottom w:val="none" w:sz="0" w:space="0" w:color="auto"/>
        <w:right w:val="none" w:sz="0" w:space="0" w:color="auto"/>
      </w:divBdr>
    </w:div>
    <w:div w:id="839391098">
      <w:bodyDiv w:val="1"/>
      <w:marLeft w:val="0"/>
      <w:marRight w:val="0"/>
      <w:marTop w:val="0"/>
      <w:marBottom w:val="0"/>
      <w:divBdr>
        <w:top w:val="none" w:sz="0" w:space="0" w:color="auto"/>
        <w:left w:val="none" w:sz="0" w:space="0" w:color="auto"/>
        <w:bottom w:val="none" w:sz="0" w:space="0" w:color="auto"/>
        <w:right w:val="none" w:sz="0" w:space="0" w:color="auto"/>
      </w:divBdr>
    </w:div>
    <w:div w:id="873037180">
      <w:bodyDiv w:val="1"/>
      <w:marLeft w:val="0"/>
      <w:marRight w:val="0"/>
      <w:marTop w:val="0"/>
      <w:marBottom w:val="0"/>
      <w:divBdr>
        <w:top w:val="none" w:sz="0" w:space="0" w:color="auto"/>
        <w:left w:val="none" w:sz="0" w:space="0" w:color="auto"/>
        <w:bottom w:val="none" w:sz="0" w:space="0" w:color="auto"/>
        <w:right w:val="none" w:sz="0" w:space="0" w:color="auto"/>
      </w:divBdr>
    </w:div>
    <w:div w:id="884803538">
      <w:bodyDiv w:val="1"/>
      <w:marLeft w:val="0"/>
      <w:marRight w:val="0"/>
      <w:marTop w:val="0"/>
      <w:marBottom w:val="0"/>
      <w:divBdr>
        <w:top w:val="none" w:sz="0" w:space="0" w:color="auto"/>
        <w:left w:val="none" w:sz="0" w:space="0" w:color="auto"/>
        <w:bottom w:val="none" w:sz="0" w:space="0" w:color="auto"/>
        <w:right w:val="none" w:sz="0" w:space="0" w:color="auto"/>
      </w:divBdr>
    </w:div>
    <w:div w:id="893005772">
      <w:bodyDiv w:val="1"/>
      <w:marLeft w:val="0"/>
      <w:marRight w:val="0"/>
      <w:marTop w:val="0"/>
      <w:marBottom w:val="0"/>
      <w:divBdr>
        <w:top w:val="none" w:sz="0" w:space="0" w:color="auto"/>
        <w:left w:val="none" w:sz="0" w:space="0" w:color="auto"/>
        <w:bottom w:val="none" w:sz="0" w:space="0" w:color="auto"/>
        <w:right w:val="none" w:sz="0" w:space="0" w:color="auto"/>
      </w:divBdr>
    </w:div>
    <w:div w:id="897860403">
      <w:bodyDiv w:val="1"/>
      <w:marLeft w:val="0"/>
      <w:marRight w:val="0"/>
      <w:marTop w:val="0"/>
      <w:marBottom w:val="0"/>
      <w:divBdr>
        <w:top w:val="none" w:sz="0" w:space="0" w:color="auto"/>
        <w:left w:val="none" w:sz="0" w:space="0" w:color="auto"/>
        <w:bottom w:val="none" w:sz="0" w:space="0" w:color="auto"/>
        <w:right w:val="none" w:sz="0" w:space="0" w:color="auto"/>
      </w:divBdr>
    </w:div>
    <w:div w:id="921262476">
      <w:bodyDiv w:val="1"/>
      <w:marLeft w:val="0"/>
      <w:marRight w:val="0"/>
      <w:marTop w:val="0"/>
      <w:marBottom w:val="0"/>
      <w:divBdr>
        <w:top w:val="none" w:sz="0" w:space="0" w:color="auto"/>
        <w:left w:val="none" w:sz="0" w:space="0" w:color="auto"/>
        <w:bottom w:val="none" w:sz="0" w:space="0" w:color="auto"/>
        <w:right w:val="none" w:sz="0" w:space="0" w:color="auto"/>
      </w:divBdr>
    </w:div>
    <w:div w:id="950548096">
      <w:bodyDiv w:val="1"/>
      <w:marLeft w:val="0"/>
      <w:marRight w:val="0"/>
      <w:marTop w:val="0"/>
      <w:marBottom w:val="0"/>
      <w:divBdr>
        <w:top w:val="none" w:sz="0" w:space="0" w:color="auto"/>
        <w:left w:val="none" w:sz="0" w:space="0" w:color="auto"/>
        <w:bottom w:val="none" w:sz="0" w:space="0" w:color="auto"/>
        <w:right w:val="none" w:sz="0" w:space="0" w:color="auto"/>
      </w:divBdr>
    </w:div>
    <w:div w:id="979268205">
      <w:bodyDiv w:val="1"/>
      <w:marLeft w:val="0"/>
      <w:marRight w:val="0"/>
      <w:marTop w:val="0"/>
      <w:marBottom w:val="0"/>
      <w:divBdr>
        <w:top w:val="none" w:sz="0" w:space="0" w:color="auto"/>
        <w:left w:val="none" w:sz="0" w:space="0" w:color="auto"/>
        <w:bottom w:val="none" w:sz="0" w:space="0" w:color="auto"/>
        <w:right w:val="none" w:sz="0" w:space="0" w:color="auto"/>
      </w:divBdr>
    </w:div>
    <w:div w:id="989528468">
      <w:bodyDiv w:val="1"/>
      <w:marLeft w:val="0"/>
      <w:marRight w:val="0"/>
      <w:marTop w:val="0"/>
      <w:marBottom w:val="0"/>
      <w:divBdr>
        <w:top w:val="none" w:sz="0" w:space="0" w:color="auto"/>
        <w:left w:val="none" w:sz="0" w:space="0" w:color="auto"/>
        <w:bottom w:val="none" w:sz="0" w:space="0" w:color="auto"/>
        <w:right w:val="none" w:sz="0" w:space="0" w:color="auto"/>
      </w:divBdr>
    </w:div>
    <w:div w:id="1020472537">
      <w:bodyDiv w:val="1"/>
      <w:marLeft w:val="0"/>
      <w:marRight w:val="0"/>
      <w:marTop w:val="0"/>
      <w:marBottom w:val="0"/>
      <w:divBdr>
        <w:top w:val="none" w:sz="0" w:space="0" w:color="auto"/>
        <w:left w:val="none" w:sz="0" w:space="0" w:color="auto"/>
        <w:bottom w:val="none" w:sz="0" w:space="0" w:color="auto"/>
        <w:right w:val="none" w:sz="0" w:space="0" w:color="auto"/>
      </w:divBdr>
    </w:div>
    <w:div w:id="1026633342">
      <w:bodyDiv w:val="1"/>
      <w:marLeft w:val="0"/>
      <w:marRight w:val="0"/>
      <w:marTop w:val="0"/>
      <w:marBottom w:val="0"/>
      <w:divBdr>
        <w:top w:val="none" w:sz="0" w:space="0" w:color="auto"/>
        <w:left w:val="none" w:sz="0" w:space="0" w:color="auto"/>
        <w:bottom w:val="none" w:sz="0" w:space="0" w:color="auto"/>
        <w:right w:val="none" w:sz="0" w:space="0" w:color="auto"/>
      </w:divBdr>
    </w:div>
    <w:div w:id="1046292555">
      <w:bodyDiv w:val="1"/>
      <w:marLeft w:val="0"/>
      <w:marRight w:val="0"/>
      <w:marTop w:val="0"/>
      <w:marBottom w:val="0"/>
      <w:divBdr>
        <w:top w:val="none" w:sz="0" w:space="0" w:color="auto"/>
        <w:left w:val="none" w:sz="0" w:space="0" w:color="auto"/>
        <w:bottom w:val="none" w:sz="0" w:space="0" w:color="auto"/>
        <w:right w:val="none" w:sz="0" w:space="0" w:color="auto"/>
      </w:divBdr>
    </w:div>
    <w:div w:id="1049454656">
      <w:bodyDiv w:val="1"/>
      <w:marLeft w:val="0"/>
      <w:marRight w:val="0"/>
      <w:marTop w:val="0"/>
      <w:marBottom w:val="0"/>
      <w:divBdr>
        <w:top w:val="none" w:sz="0" w:space="0" w:color="auto"/>
        <w:left w:val="none" w:sz="0" w:space="0" w:color="auto"/>
        <w:bottom w:val="none" w:sz="0" w:space="0" w:color="auto"/>
        <w:right w:val="none" w:sz="0" w:space="0" w:color="auto"/>
      </w:divBdr>
    </w:div>
    <w:div w:id="1073623425">
      <w:bodyDiv w:val="1"/>
      <w:marLeft w:val="0"/>
      <w:marRight w:val="0"/>
      <w:marTop w:val="0"/>
      <w:marBottom w:val="0"/>
      <w:divBdr>
        <w:top w:val="none" w:sz="0" w:space="0" w:color="auto"/>
        <w:left w:val="none" w:sz="0" w:space="0" w:color="auto"/>
        <w:bottom w:val="none" w:sz="0" w:space="0" w:color="auto"/>
        <w:right w:val="none" w:sz="0" w:space="0" w:color="auto"/>
      </w:divBdr>
    </w:div>
    <w:div w:id="1089615326">
      <w:bodyDiv w:val="1"/>
      <w:marLeft w:val="0"/>
      <w:marRight w:val="0"/>
      <w:marTop w:val="0"/>
      <w:marBottom w:val="0"/>
      <w:divBdr>
        <w:top w:val="none" w:sz="0" w:space="0" w:color="auto"/>
        <w:left w:val="none" w:sz="0" w:space="0" w:color="auto"/>
        <w:bottom w:val="none" w:sz="0" w:space="0" w:color="auto"/>
        <w:right w:val="none" w:sz="0" w:space="0" w:color="auto"/>
      </w:divBdr>
    </w:div>
    <w:div w:id="1109085396">
      <w:bodyDiv w:val="1"/>
      <w:marLeft w:val="0"/>
      <w:marRight w:val="0"/>
      <w:marTop w:val="0"/>
      <w:marBottom w:val="0"/>
      <w:divBdr>
        <w:top w:val="none" w:sz="0" w:space="0" w:color="auto"/>
        <w:left w:val="none" w:sz="0" w:space="0" w:color="auto"/>
        <w:bottom w:val="none" w:sz="0" w:space="0" w:color="auto"/>
        <w:right w:val="none" w:sz="0" w:space="0" w:color="auto"/>
      </w:divBdr>
    </w:div>
    <w:div w:id="1109932222">
      <w:bodyDiv w:val="1"/>
      <w:marLeft w:val="0"/>
      <w:marRight w:val="0"/>
      <w:marTop w:val="0"/>
      <w:marBottom w:val="0"/>
      <w:divBdr>
        <w:top w:val="none" w:sz="0" w:space="0" w:color="auto"/>
        <w:left w:val="none" w:sz="0" w:space="0" w:color="auto"/>
        <w:bottom w:val="none" w:sz="0" w:space="0" w:color="auto"/>
        <w:right w:val="none" w:sz="0" w:space="0" w:color="auto"/>
      </w:divBdr>
    </w:div>
    <w:div w:id="1159464706">
      <w:bodyDiv w:val="1"/>
      <w:marLeft w:val="0"/>
      <w:marRight w:val="0"/>
      <w:marTop w:val="0"/>
      <w:marBottom w:val="0"/>
      <w:divBdr>
        <w:top w:val="none" w:sz="0" w:space="0" w:color="auto"/>
        <w:left w:val="none" w:sz="0" w:space="0" w:color="auto"/>
        <w:bottom w:val="none" w:sz="0" w:space="0" w:color="auto"/>
        <w:right w:val="none" w:sz="0" w:space="0" w:color="auto"/>
      </w:divBdr>
    </w:div>
    <w:div w:id="1172186984">
      <w:bodyDiv w:val="1"/>
      <w:marLeft w:val="0"/>
      <w:marRight w:val="0"/>
      <w:marTop w:val="0"/>
      <w:marBottom w:val="0"/>
      <w:divBdr>
        <w:top w:val="none" w:sz="0" w:space="0" w:color="auto"/>
        <w:left w:val="none" w:sz="0" w:space="0" w:color="auto"/>
        <w:bottom w:val="none" w:sz="0" w:space="0" w:color="auto"/>
        <w:right w:val="none" w:sz="0" w:space="0" w:color="auto"/>
      </w:divBdr>
    </w:div>
    <w:div w:id="1188250164">
      <w:bodyDiv w:val="1"/>
      <w:marLeft w:val="0"/>
      <w:marRight w:val="0"/>
      <w:marTop w:val="0"/>
      <w:marBottom w:val="0"/>
      <w:divBdr>
        <w:top w:val="none" w:sz="0" w:space="0" w:color="auto"/>
        <w:left w:val="none" w:sz="0" w:space="0" w:color="auto"/>
        <w:bottom w:val="none" w:sz="0" w:space="0" w:color="auto"/>
        <w:right w:val="none" w:sz="0" w:space="0" w:color="auto"/>
      </w:divBdr>
    </w:div>
    <w:div w:id="1194418220">
      <w:bodyDiv w:val="1"/>
      <w:marLeft w:val="0"/>
      <w:marRight w:val="0"/>
      <w:marTop w:val="0"/>
      <w:marBottom w:val="0"/>
      <w:divBdr>
        <w:top w:val="none" w:sz="0" w:space="0" w:color="auto"/>
        <w:left w:val="none" w:sz="0" w:space="0" w:color="auto"/>
        <w:bottom w:val="none" w:sz="0" w:space="0" w:color="auto"/>
        <w:right w:val="none" w:sz="0" w:space="0" w:color="auto"/>
      </w:divBdr>
    </w:div>
    <w:div w:id="1226601321">
      <w:bodyDiv w:val="1"/>
      <w:marLeft w:val="0"/>
      <w:marRight w:val="0"/>
      <w:marTop w:val="0"/>
      <w:marBottom w:val="0"/>
      <w:divBdr>
        <w:top w:val="none" w:sz="0" w:space="0" w:color="auto"/>
        <w:left w:val="none" w:sz="0" w:space="0" w:color="auto"/>
        <w:bottom w:val="none" w:sz="0" w:space="0" w:color="auto"/>
        <w:right w:val="none" w:sz="0" w:space="0" w:color="auto"/>
      </w:divBdr>
    </w:div>
    <w:div w:id="1273364952">
      <w:bodyDiv w:val="1"/>
      <w:marLeft w:val="0"/>
      <w:marRight w:val="0"/>
      <w:marTop w:val="0"/>
      <w:marBottom w:val="0"/>
      <w:divBdr>
        <w:top w:val="none" w:sz="0" w:space="0" w:color="auto"/>
        <w:left w:val="none" w:sz="0" w:space="0" w:color="auto"/>
        <w:bottom w:val="none" w:sz="0" w:space="0" w:color="auto"/>
        <w:right w:val="none" w:sz="0" w:space="0" w:color="auto"/>
      </w:divBdr>
    </w:div>
    <w:div w:id="1314336612">
      <w:bodyDiv w:val="1"/>
      <w:marLeft w:val="0"/>
      <w:marRight w:val="0"/>
      <w:marTop w:val="0"/>
      <w:marBottom w:val="0"/>
      <w:divBdr>
        <w:top w:val="none" w:sz="0" w:space="0" w:color="auto"/>
        <w:left w:val="none" w:sz="0" w:space="0" w:color="auto"/>
        <w:bottom w:val="none" w:sz="0" w:space="0" w:color="auto"/>
        <w:right w:val="none" w:sz="0" w:space="0" w:color="auto"/>
      </w:divBdr>
    </w:div>
    <w:div w:id="1328753853">
      <w:bodyDiv w:val="1"/>
      <w:marLeft w:val="0"/>
      <w:marRight w:val="0"/>
      <w:marTop w:val="0"/>
      <w:marBottom w:val="0"/>
      <w:divBdr>
        <w:top w:val="none" w:sz="0" w:space="0" w:color="auto"/>
        <w:left w:val="none" w:sz="0" w:space="0" w:color="auto"/>
        <w:bottom w:val="none" w:sz="0" w:space="0" w:color="auto"/>
        <w:right w:val="none" w:sz="0" w:space="0" w:color="auto"/>
      </w:divBdr>
    </w:div>
    <w:div w:id="1334340959">
      <w:bodyDiv w:val="1"/>
      <w:marLeft w:val="0"/>
      <w:marRight w:val="0"/>
      <w:marTop w:val="0"/>
      <w:marBottom w:val="0"/>
      <w:divBdr>
        <w:top w:val="none" w:sz="0" w:space="0" w:color="auto"/>
        <w:left w:val="none" w:sz="0" w:space="0" w:color="auto"/>
        <w:bottom w:val="none" w:sz="0" w:space="0" w:color="auto"/>
        <w:right w:val="none" w:sz="0" w:space="0" w:color="auto"/>
      </w:divBdr>
    </w:div>
    <w:div w:id="1359358898">
      <w:bodyDiv w:val="1"/>
      <w:marLeft w:val="0"/>
      <w:marRight w:val="0"/>
      <w:marTop w:val="0"/>
      <w:marBottom w:val="0"/>
      <w:divBdr>
        <w:top w:val="none" w:sz="0" w:space="0" w:color="auto"/>
        <w:left w:val="none" w:sz="0" w:space="0" w:color="auto"/>
        <w:bottom w:val="none" w:sz="0" w:space="0" w:color="auto"/>
        <w:right w:val="none" w:sz="0" w:space="0" w:color="auto"/>
      </w:divBdr>
      <w:divsChild>
        <w:div w:id="1387804097">
          <w:marLeft w:val="274"/>
          <w:marRight w:val="144"/>
          <w:marTop w:val="80"/>
          <w:marBottom w:val="0"/>
          <w:divBdr>
            <w:top w:val="none" w:sz="0" w:space="0" w:color="auto"/>
            <w:left w:val="none" w:sz="0" w:space="0" w:color="auto"/>
            <w:bottom w:val="none" w:sz="0" w:space="0" w:color="auto"/>
            <w:right w:val="none" w:sz="0" w:space="0" w:color="auto"/>
          </w:divBdr>
        </w:div>
      </w:divsChild>
    </w:div>
    <w:div w:id="1369069934">
      <w:bodyDiv w:val="1"/>
      <w:marLeft w:val="0"/>
      <w:marRight w:val="0"/>
      <w:marTop w:val="0"/>
      <w:marBottom w:val="0"/>
      <w:divBdr>
        <w:top w:val="none" w:sz="0" w:space="0" w:color="auto"/>
        <w:left w:val="none" w:sz="0" w:space="0" w:color="auto"/>
        <w:bottom w:val="none" w:sz="0" w:space="0" w:color="auto"/>
        <w:right w:val="none" w:sz="0" w:space="0" w:color="auto"/>
      </w:divBdr>
    </w:div>
    <w:div w:id="1375082676">
      <w:bodyDiv w:val="1"/>
      <w:marLeft w:val="0"/>
      <w:marRight w:val="0"/>
      <w:marTop w:val="0"/>
      <w:marBottom w:val="0"/>
      <w:divBdr>
        <w:top w:val="none" w:sz="0" w:space="0" w:color="auto"/>
        <w:left w:val="none" w:sz="0" w:space="0" w:color="auto"/>
        <w:bottom w:val="none" w:sz="0" w:space="0" w:color="auto"/>
        <w:right w:val="none" w:sz="0" w:space="0" w:color="auto"/>
      </w:divBdr>
    </w:div>
    <w:div w:id="1384451328">
      <w:bodyDiv w:val="1"/>
      <w:marLeft w:val="0"/>
      <w:marRight w:val="0"/>
      <w:marTop w:val="0"/>
      <w:marBottom w:val="0"/>
      <w:divBdr>
        <w:top w:val="none" w:sz="0" w:space="0" w:color="auto"/>
        <w:left w:val="none" w:sz="0" w:space="0" w:color="auto"/>
        <w:bottom w:val="none" w:sz="0" w:space="0" w:color="auto"/>
        <w:right w:val="none" w:sz="0" w:space="0" w:color="auto"/>
      </w:divBdr>
    </w:div>
    <w:div w:id="1409109825">
      <w:bodyDiv w:val="1"/>
      <w:marLeft w:val="0"/>
      <w:marRight w:val="0"/>
      <w:marTop w:val="0"/>
      <w:marBottom w:val="0"/>
      <w:divBdr>
        <w:top w:val="none" w:sz="0" w:space="0" w:color="auto"/>
        <w:left w:val="none" w:sz="0" w:space="0" w:color="auto"/>
        <w:bottom w:val="none" w:sz="0" w:space="0" w:color="auto"/>
        <w:right w:val="none" w:sz="0" w:space="0" w:color="auto"/>
      </w:divBdr>
    </w:div>
    <w:div w:id="1409158535">
      <w:bodyDiv w:val="1"/>
      <w:marLeft w:val="0"/>
      <w:marRight w:val="0"/>
      <w:marTop w:val="0"/>
      <w:marBottom w:val="0"/>
      <w:divBdr>
        <w:top w:val="none" w:sz="0" w:space="0" w:color="auto"/>
        <w:left w:val="none" w:sz="0" w:space="0" w:color="auto"/>
        <w:bottom w:val="none" w:sz="0" w:space="0" w:color="auto"/>
        <w:right w:val="none" w:sz="0" w:space="0" w:color="auto"/>
      </w:divBdr>
    </w:div>
    <w:div w:id="1456097062">
      <w:bodyDiv w:val="1"/>
      <w:marLeft w:val="0"/>
      <w:marRight w:val="0"/>
      <w:marTop w:val="0"/>
      <w:marBottom w:val="0"/>
      <w:divBdr>
        <w:top w:val="none" w:sz="0" w:space="0" w:color="auto"/>
        <w:left w:val="none" w:sz="0" w:space="0" w:color="auto"/>
        <w:bottom w:val="none" w:sz="0" w:space="0" w:color="auto"/>
        <w:right w:val="none" w:sz="0" w:space="0" w:color="auto"/>
      </w:divBdr>
    </w:div>
    <w:div w:id="1465154965">
      <w:bodyDiv w:val="1"/>
      <w:marLeft w:val="0"/>
      <w:marRight w:val="0"/>
      <w:marTop w:val="0"/>
      <w:marBottom w:val="0"/>
      <w:divBdr>
        <w:top w:val="none" w:sz="0" w:space="0" w:color="auto"/>
        <w:left w:val="none" w:sz="0" w:space="0" w:color="auto"/>
        <w:bottom w:val="none" w:sz="0" w:space="0" w:color="auto"/>
        <w:right w:val="none" w:sz="0" w:space="0" w:color="auto"/>
      </w:divBdr>
    </w:div>
    <w:div w:id="1491016603">
      <w:bodyDiv w:val="1"/>
      <w:marLeft w:val="0"/>
      <w:marRight w:val="0"/>
      <w:marTop w:val="0"/>
      <w:marBottom w:val="0"/>
      <w:divBdr>
        <w:top w:val="none" w:sz="0" w:space="0" w:color="auto"/>
        <w:left w:val="none" w:sz="0" w:space="0" w:color="auto"/>
        <w:bottom w:val="none" w:sz="0" w:space="0" w:color="auto"/>
        <w:right w:val="none" w:sz="0" w:space="0" w:color="auto"/>
      </w:divBdr>
    </w:div>
    <w:div w:id="1491409098">
      <w:bodyDiv w:val="1"/>
      <w:marLeft w:val="0"/>
      <w:marRight w:val="0"/>
      <w:marTop w:val="0"/>
      <w:marBottom w:val="0"/>
      <w:divBdr>
        <w:top w:val="none" w:sz="0" w:space="0" w:color="auto"/>
        <w:left w:val="none" w:sz="0" w:space="0" w:color="auto"/>
        <w:bottom w:val="none" w:sz="0" w:space="0" w:color="auto"/>
        <w:right w:val="none" w:sz="0" w:space="0" w:color="auto"/>
      </w:divBdr>
    </w:div>
    <w:div w:id="1509060628">
      <w:bodyDiv w:val="1"/>
      <w:marLeft w:val="0"/>
      <w:marRight w:val="0"/>
      <w:marTop w:val="0"/>
      <w:marBottom w:val="0"/>
      <w:divBdr>
        <w:top w:val="none" w:sz="0" w:space="0" w:color="auto"/>
        <w:left w:val="none" w:sz="0" w:space="0" w:color="auto"/>
        <w:bottom w:val="none" w:sz="0" w:space="0" w:color="auto"/>
        <w:right w:val="none" w:sz="0" w:space="0" w:color="auto"/>
      </w:divBdr>
    </w:div>
    <w:div w:id="1525943759">
      <w:bodyDiv w:val="1"/>
      <w:marLeft w:val="0"/>
      <w:marRight w:val="0"/>
      <w:marTop w:val="0"/>
      <w:marBottom w:val="0"/>
      <w:divBdr>
        <w:top w:val="none" w:sz="0" w:space="0" w:color="auto"/>
        <w:left w:val="none" w:sz="0" w:space="0" w:color="auto"/>
        <w:bottom w:val="none" w:sz="0" w:space="0" w:color="auto"/>
        <w:right w:val="none" w:sz="0" w:space="0" w:color="auto"/>
      </w:divBdr>
    </w:div>
    <w:div w:id="1528131663">
      <w:bodyDiv w:val="1"/>
      <w:marLeft w:val="0"/>
      <w:marRight w:val="0"/>
      <w:marTop w:val="0"/>
      <w:marBottom w:val="0"/>
      <w:divBdr>
        <w:top w:val="none" w:sz="0" w:space="0" w:color="auto"/>
        <w:left w:val="none" w:sz="0" w:space="0" w:color="auto"/>
        <w:bottom w:val="none" w:sz="0" w:space="0" w:color="auto"/>
        <w:right w:val="none" w:sz="0" w:space="0" w:color="auto"/>
      </w:divBdr>
    </w:div>
    <w:div w:id="1529759853">
      <w:bodyDiv w:val="1"/>
      <w:marLeft w:val="0"/>
      <w:marRight w:val="0"/>
      <w:marTop w:val="0"/>
      <w:marBottom w:val="0"/>
      <w:divBdr>
        <w:top w:val="none" w:sz="0" w:space="0" w:color="auto"/>
        <w:left w:val="none" w:sz="0" w:space="0" w:color="auto"/>
        <w:bottom w:val="none" w:sz="0" w:space="0" w:color="auto"/>
        <w:right w:val="none" w:sz="0" w:space="0" w:color="auto"/>
      </w:divBdr>
    </w:div>
    <w:div w:id="1534994256">
      <w:bodyDiv w:val="1"/>
      <w:marLeft w:val="0"/>
      <w:marRight w:val="0"/>
      <w:marTop w:val="0"/>
      <w:marBottom w:val="0"/>
      <w:divBdr>
        <w:top w:val="none" w:sz="0" w:space="0" w:color="auto"/>
        <w:left w:val="none" w:sz="0" w:space="0" w:color="auto"/>
        <w:bottom w:val="none" w:sz="0" w:space="0" w:color="auto"/>
        <w:right w:val="none" w:sz="0" w:space="0" w:color="auto"/>
      </w:divBdr>
    </w:div>
    <w:div w:id="1558280195">
      <w:bodyDiv w:val="1"/>
      <w:marLeft w:val="0"/>
      <w:marRight w:val="0"/>
      <w:marTop w:val="0"/>
      <w:marBottom w:val="0"/>
      <w:divBdr>
        <w:top w:val="none" w:sz="0" w:space="0" w:color="auto"/>
        <w:left w:val="none" w:sz="0" w:space="0" w:color="auto"/>
        <w:bottom w:val="none" w:sz="0" w:space="0" w:color="auto"/>
        <w:right w:val="none" w:sz="0" w:space="0" w:color="auto"/>
      </w:divBdr>
    </w:div>
    <w:div w:id="1559439437">
      <w:bodyDiv w:val="1"/>
      <w:marLeft w:val="0"/>
      <w:marRight w:val="0"/>
      <w:marTop w:val="0"/>
      <w:marBottom w:val="0"/>
      <w:divBdr>
        <w:top w:val="none" w:sz="0" w:space="0" w:color="auto"/>
        <w:left w:val="none" w:sz="0" w:space="0" w:color="auto"/>
        <w:bottom w:val="none" w:sz="0" w:space="0" w:color="auto"/>
        <w:right w:val="none" w:sz="0" w:space="0" w:color="auto"/>
      </w:divBdr>
      <w:divsChild>
        <w:div w:id="2125270623">
          <w:marLeft w:val="0"/>
          <w:marRight w:val="0"/>
          <w:marTop w:val="0"/>
          <w:marBottom w:val="0"/>
          <w:divBdr>
            <w:top w:val="none" w:sz="0" w:space="0" w:color="auto"/>
            <w:left w:val="none" w:sz="0" w:space="0" w:color="auto"/>
            <w:bottom w:val="none" w:sz="0" w:space="0" w:color="auto"/>
            <w:right w:val="none" w:sz="0" w:space="0" w:color="auto"/>
          </w:divBdr>
        </w:div>
      </w:divsChild>
    </w:div>
    <w:div w:id="1567717841">
      <w:bodyDiv w:val="1"/>
      <w:marLeft w:val="0"/>
      <w:marRight w:val="0"/>
      <w:marTop w:val="0"/>
      <w:marBottom w:val="0"/>
      <w:divBdr>
        <w:top w:val="none" w:sz="0" w:space="0" w:color="auto"/>
        <w:left w:val="none" w:sz="0" w:space="0" w:color="auto"/>
        <w:bottom w:val="none" w:sz="0" w:space="0" w:color="auto"/>
        <w:right w:val="none" w:sz="0" w:space="0" w:color="auto"/>
      </w:divBdr>
    </w:div>
    <w:div w:id="1599560680">
      <w:bodyDiv w:val="1"/>
      <w:marLeft w:val="0"/>
      <w:marRight w:val="0"/>
      <w:marTop w:val="0"/>
      <w:marBottom w:val="0"/>
      <w:divBdr>
        <w:top w:val="none" w:sz="0" w:space="0" w:color="auto"/>
        <w:left w:val="none" w:sz="0" w:space="0" w:color="auto"/>
        <w:bottom w:val="none" w:sz="0" w:space="0" w:color="auto"/>
        <w:right w:val="none" w:sz="0" w:space="0" w:color="auto"/>
      </w:divBdr>
    </w:div>
    <w:div w:id="1609503977">
      <w:bodyDiv w:val="1"/>
      <w:marLeft w:val="0"/>
      <w:marRight w:val="0"/>
      <w:marTop w:val="0"/>
      <w:marBottom w:val="0"/>
      <w:divBdr>
        <w:top w:val="none" w:sz="0" w:space="0" w:color="auto"/>
        <w:left w:val="none" w:sz="0" w:space="0" w:color="auto"/>
        <w:bottom w:val="none" w:sz="0" w:space="0" w:color="auto"/>
        <w:right w:val="none" w:sz="0" w:space="0" w:color="auto"/>
      </w:divBdr>
    </w:div>
    <w:div w:id="1621448182">
      <w:bodyDiv w:val="1"/>
      <w:marLeft w:val="0"/>
      <w:marRight w:val="0"/>
      <w:marTop w:val="0"/>
      <w:marBottom w:val="0"/>
      <w:divBdr>
        <w:top w:val="none" w:sz="0" w:space="0" w:color="auto"/>
        <w:left w:val="none" w:sz="0" w:space="0" w:color="auto"/>
        <w:bottom w:val="none" w:sz="0" w:space="0" w:color="auto"/>
        <w:right w:val="none" w:sz="0" w:space="0" w:color="auto"/>
      </w:divBdr>
    </w:div>
    <w:div w:id="1646276086">
      <w:bodyDiv w:val="1"/>
      <w:marLeft w:val="0"/>
      <w:marRight w:val="0"/>
      <w:marTop w:val="0"/>
      <w:marBottom w:val="0"/>
      <w:divBdr>
        <w:top w:val="none" w:sz="0" w:space="0" w:color="auto"/>
        <w:left w:val="none" w:sz="0" w:space="0" w:color="auto"/>
        <w:bottom w:val="none" w:sz="0" w:space="0" w:color="auto"/>
        <w:right w:val="none" w:sz="0" w:space="0" w:color="auto"/>
      </w:divBdr>
    </w:div>
    <w:div w:id="1663466588">
      <w:bodyDiv w:val="1"/>
      <w:marLeft w:val="0"/>
      <w:marRight w:val="0"/>
      <w:marTop w:val="0"/>
      <w:marBottom w:val="0"/>
      <w:divBdr>
        <w:top w:val="none" w:sz="0" w:space="0" w:color="auto"/>
        <w:left w:val="none" w:sz="0" w:space="0" w:color="auto"/>
        <w:bottom w:val="none" w:sz="0" w:space="0" w:color="auto"/>
        <w:right w:val="none" w:sz="0" w:space="0" w:color="auto"/>
      </w:divBdr>
    </w:div>
    <w:div w:id="1712221872">
      <w:bodyDiv w:val="1"/>
      <w:marLeft w:val="0"/>
      <w:marRight w:val="0"/>
      <w:marTop w:val="0"/>
      <w:marBottom w:val="0"/>
      <w:divBdr>
        <w:top w:val="none" w:sz="0" w:space="0" w:color="auto"/>
        <w:left w:val="none" w:sz="0" w:space="0" w:color="auto"/>
        <w:bottom w:val="none" w:sz="0" w:space="0" w:color="auto"/>
        <w:right w:val="none" w:sz="0" w:space="0" w:color="auto"/>
      </w:divBdr>
    </w:div>
    <w:div w:id="1738162333">
      <w:bodyDiv w:val="1"/>
      <w:marLeft w:val="0"/>
      <w:marRight w:val="0"/>
      <w:marTop w:val="0"/>
      <w:marBottom w:val="0"/>
      <w:divBdr>
        <w:top w:val="none" w:sz="0" w:space="0" w:color="auto"/>
        <w:left w:val="none" w:sz="0" w:space="0" w:color="auto"/>
        <w:bottom w:val="none" w:sz="0" w:space="0" w:color="auto"/>
        <w:right w:val="none" w:sz="0" w:space="0" w:color="auto"/>
      </w:divBdr>
    </w:div>
    <w:div w:id="1739942346">
      <w:bodyDiv w:val="1"/>
      <w:marLeft w:val="0"/>
      <w:marRight w:val="0"/>
      <w:marTop w:val="0"/>
      <w:marBottom w:val="0"/>
      <w:divBdr>
        <w:top w:val="none" w:sz="0" w:space="0" w:color="auto"/>
        <w:left w:val="none" w:sz="0" w:space="0" w:color="auto"/>
        <w:bottom w:val="none" w:sz="0" w:space="0" w:color="auto"/>
        <w:right w:val="none" w:sz="0" w:space="0" w:color="auto"/>
      </w:divBdr>
    </w:div>
    <w:div w:id="1753550738">
      <w:bodyDiv w:val="1"/>
      <w:marLeft w:val="0"/>
      <w:marRight w:val="0"/>
      <w:marTop w:val="0"/>
      <w:marBottom w:val="0"/>
      <w:divBdr>
        <w:top w:val="none" w:sz="0" w:space="0" w:color="auto"/>
        <w:left w:val="none" w:sz="0" w:space="0" w:color="auto"/>
        <w:bottom w:val="none" w:sz="0" w:space="0" w:color="auto"/>
        <w:right w:val="none" w:sz="0" w:space="0" w:color="auto"/>
      </w:divBdr>
    </w:div>
    <w:div w:id="1760785136">
      <w:bodyDiv w:val="1"/>
      <w:marLeft w:val="0"/>
      <w:marRight w:val="0"/>
      <w:marTop w:val="0"/>
      <w:marBottom w:val="0"/>
      <w:divBdr>
        <w:top w:val="none" w:sz="0" w:space="0" w:color="auto"/>
        <w:left w:val="none" w:sz="0" w:space="0" w:color="auto"/>
        <w:bottom w:val="none" w:sz="0" w:space="0" w:color="auto"/>
        <w:right w:val="none" w:sz="0" w:space="0" w:color="auto"/>
      </w:divBdr>
      <w:divsChild>
        <w:div w:id="1063210569">
          <w:marLeft w:val="0"/>
          <w:marRight w:val="0"/>
          <w:marTop w:val="0"/>
          <w:marBottom w:val="0"/>
          <w:divBdr>
            <w:top w:val="none" w:sz="0" w:space="0" w:color="auto"/>
            <w:left w:val="none" w:sz="0" w:space="0" w:color="auto"/>
            <w:bottom w:val="none" w:sz="0" w:space="0" w:color="auto"/>
            <w:right w:val="none" w:sz="0" w:space="0" w:color="auto"/>
          </w:divBdr>
        </w:div>
      </w:divsChild>
    </w:div>
    <w:div w:id="1769304848">
      <w:bodyDiv w:val="1"/>
      <w:marLeft w:val="0"/>
      <w:marRight w:val="0"/>
      <w:marTop w:val="0"/>
      <w:marBottom w:val="0"/>
      <w:divBdr>
        <w:top w:val="none" w:sz="0" w:space="0" w:color="auto"/>
        <w:left w:val="none" w:sz="0" w:space="0" w:color="auto"/>
        <w:bottom w:val="none" w:sz="0" w:space="0" w:color="auto"/>
        <w:right w:val="none" w:sz="0" w:space="0" w:color="auto"/>
      </w:divBdr>
    </w:div>
    <w:div w:id="1772624907">
      <w:bodyDiv w:val="1"/>
      <w:marLeft w:val="0"/>
      <w:marRight w:val="0"/>
      <w:marTop w:val="0"/>
      <w:marBottom w:val="0"/>
      <w:divBdr>
        <w:top w:val="none" w:sz="0" w:space="0" w:color="auto"/>
        <w:left w:val="none" w:sz="0" w:space="0" w:color="auto"/>
        <w:bottom w:val="none" w:sz="0" w:space="0" w:color="auto"/>
        <w:right w:val="none" w:sz="0" w:space="0" w:color="auto"/>
      </w:divBdr>
    </w:div>
    <w:div w:id="1803570779">
      <w:bodyDiv w:val="1"/>
      <w:marLeft w:val="0"/>
      <w:marRight w:val="0"/>
      <w:marTop w:val="0"/>
      <w:marBottom w:val="0"/>
      <w:divBdr>
        <w:top w:val="none" w:sz="0" w:space="0" w:color="auto"/>
        <w:left w:val="none" w:sz="0" w:space="0" w:color="auto"/>
        <w:bottom w:val="none" w:sz="0" w:space="0" w:color="auto"/>
        <w:right w:val="none" w:sz="0" w:space="0" w:color="auto"/>
      </w:divBdr>
    </w:div>
    <w:div w:id="1827670674">
      <w:bodyDiv w:val="1"/>
      <w:marLeft w:val="0"/>
      <w:marRight w:val="0"/>
      <w:marTop w:val="0"/>
      <w:marBottom w:val="0"/>
      <w:divBdr>
        <w:top w:val="none" w:sz="0" w:space="0" w:color="auto"/>
        <w:left w:val="none" w:sz="0" w:space="0" w:color="auto"/>
        <w:bottom w:val="none" w:sz="0" w:space="0" w:color="auto"/>
        <w:right w:val="none" w:sz="0" w:space="0" w:color="auto"/>
      </w:divBdr>
    </w:div>
    <w:div w:id="1858275021">
      <w:bodyDiv w:val="1"/>
      <w:marLeft w:val="0"/>
      <w:marRight w:val="0"/>
      <w:marTop w:val="0"/>
      <w:marBottom w:val="0"/>
      <w:divBdr>
        <w:top w:val="none" w:sz="0" w:space="0" w:color="auto"/>
        <w:left w:val="none" w:sz="0" w:space="0" w:color="auto"/>
        <w:bottom w:val="none" w:sz="0" w:space="0" w:color="auto"/>
        <w:right w:val="none" w:sz="0" w:space="0" w:color="auto"/>
      </w:divBdr>
    </w:div>
    <w:div w:id="1867214004">
      <w:bodyDiv w:val="1"/>
      <w:marLeft w:val="0"/>
      <w:marRight w:val="0"/>
      <w:marTop w:val="0"/>
      <w:marBottom w:val="0"/>
      <w:divBdr>
        <w:top w:val="none" w:sz="0" w:space="0" w:color="auto"/>
        <w:left w:val="none" w:sz="0" w:space="0" w:color="auto"/>
        <w:bottom w:val="none" w:sz="0" w:space="0" w:color="auto"/>
        <w:right w:val="none" w:sz="0" w:space="0" w:color="auto"/>
      </w:divBdr>
    </w:div>
    <w:div w:id="1905601484">
      <w:bodyDiv w:val="1"/>
      <w:marLeft w:val="0"/>
      <w:marRight w:val="0"/>
      <w:marTop w:val="0"/>
      <w:marBottom w:val="0"/>
      <w:divBdr>
        <w:top w:val="none" w:sz="0" w:space="0" w:color="auto"/>
        <w:left w:val="none" w:sz="0" w:space="0" w:color="auto"/>
        <w:bottom w:val="none" w:sz="0" w:space="0" w:color="auto"/>
        <w:right w:val="none" w:sz="0" w:space="0" w:color="auto"/>
      </w:divBdr>
    </w:div>
    <w:div w:id="1915116931">
      <w:bodyDiv w:val="1"/>
      <w:marLeft w:val="0"/>
      <w:marRight w:val="0"/>
      <w:marTop w:val="0"/>
      <w:marBottom w:val="0"/>
      <w:divBdr>
        <w:top w:val="none" w:sz="0" w:space="0" w:color="auto"/>
        <w:left w:val="none" w:sz="0" w:space="0" w:color="auto"/>
        <w:bottom w:val="none" w:sz="0" w:space="0" w:color="auto"/>
        <w:right w:val="none" w:sz="0" w:space="0" w:color="auto"/>
      </w:divBdr>
    </w:div>
    <w:div w:id="1922786619">
      <w:bodyDiv w:val="1"/>
      <w:marLeft w:val="0"/>
      <w:marRight w:val="0"/>
      <w:marTop w:val="0"/>
      <w:marBottom w:val="0"/>
      <w:divBdr>
        <w:top w:val="none" w:sz="0" w:space="0" w:color="auto"/>
        <w:left w:val="none" w:sz="0" w:space="0" w:color="auto"/>
        <w:bottom w:val="none" w:sz="0" w:space="0" w:color="auto"/>
        <w:right w:val="none" w:sz="0" w:space="0" w:color="auto"/>
      </w:divBdr>
    </w:div>
    <w:div w:id="1929805626">
      <w:bodyDiv w:val="1"/>
      <w:marLeft w:val="0"/>
      <w:marRight w:val="0"/>
      <w:marTop w:val="0"/>
      <w:marBottom w:val="0"/>
      <w:divBdr>
        <w:top w:val="none" w:sz="0" w:space="0" w:color="auto"/>
        <w:left w:val="none" w:sz="0" w:space="0" w:color="auto"/>
        <w:bottom w:val="none" w:sz="0" w:space="0" w:color="auto"/>
        <w:right w:val="none" w:sz="0" w:space="0" w:color="auto"/>
      </w:divBdr>
    </w:div>
    <w:div w:id="1931427466">
      <w:bodyDiv w:val="1"/>
      <w:marLeft w:val="0"/>
      <w:marRight w:val="0"/>
      <w:marTop w:val="0"/>
      <w:marBottom w:val="0"/>
      <w:divBdr>
        <w:top w:val="none" w:sz="0" w:space="0" w:color="auto"/>
        <w:left w:val="none" w:sz="0" w:space="0" w:color="auto"/>
        <w:bottom w:val="none" w:sz="0" w:space="0" w:color="auto"/>
        <w:right w:val="none" w:sz="0" w:space="0" w:color="auto"/>
      </w:divBdr>
    </w:div>
    <w:div w:id="1942564892">
      <w:bodyDiv w:val="1"/>
      <w:marLeft w:val="0"/>
      <w:marRight w:val="0"/>
      <w:marTop w:val="0"/>
      <w:marBottom w:val="0"/>
      <w:divBdr>
        <w:top w:val="none" w:sz="0" w:space="0" w:color="auto"/>
        <w:left w:val="none" w:sz="0" w:space="0" w:color="auto"/>
        <w:bottom w:val="none" w:sz="0" w:space="0" w:color="auto"/>
        <w:right w:val="none" w:sz="0" w:space="0" w:color="auto"/>
      </w:divBdr>
    </w:div>
    <w:div w:id="1963686489">
      <w:bodyDiv w:val="1"/>
      <w:marLeft w:val="0"/>
      <w:marRight w:val="0"/>
      <w:marTop w:val="0"/>
      <w:marBottom w:val="0"/>
      <w:divBdr>
        <w:top w:val="none" w:sz="0" w:space="0" w:color="auto"/>
        <w:left w:val="none" w:sz="0" w:space="0" w:color="auto"/>
        <w:bottom w:val="none" w:sz="0" w:space="0" w:color="auto"/>
        <w:right w:val="none" w:sz="0" w:space="0" w:color="auto"/>
      </w:divBdr>
    </w:div>
    <w:div w:id="2019304811">
      <w:bodyDiv w:val="1"/>
      <w:marLeft w:val="0"/>
      <w:marRight w:val="0"/>
      <w:marTop w:val="0"/>
      <w:marBottom w:val="0"/>
      <w:divBdr>
        <w:top w:val="none" w:sz="0" w:space="0" w:color="auto"/>
        <w:left w:val="none" w:sz="0" w:space="0" w:color="auto"/>
        <w:bottom w:val="none" w:sz="0" w:space="0" w:color="auto"/>
        <w:right w:val="none" w:sz="0" w:space="0" w:color="auto"/>
      </w:divBdr>
    </w:div>
    <w:div w:id="2028603863">
      <w:bodyDiv w:val="1"/>
      <w:marLeft w:val="0"/>
      <w:marRight w:val="0"/>
      <w:marTop w:val="0"/>
      <w:marBottom w:val="0"/>
      <w:divBdr>
        <w:top w:val="none" w:sz="0" w:space="0" w:color="auto"/>
        <w:left w:val="none" w:sz="0" w:space="0" w:color="auto"/>
        <w:bottom w:val="none" w:sz="0" w:space="0" w:color="auto"/>
        <w:right w:val="none" w:sz="0" w:space="0" w:color="auto"/>
      </w:divBdr>
    </w:div>
    <w:div w:id="2038701983">
      <w:bodyDiv w:val="1"/>
      <w:marLeft w:val="0"/>
      <w:marRight w:val="0"/>
      <w:marTop w:val="0"/>
      <w:marBottom w:val="0"/>
      <w:divBdr>
        <w:top w:val="none" w:sz="0" w:space="0" w:color="auto"/>
        <w:left w:val="none" w:sz="0" w:space="0" w:color="auto"/>
        <w:bottom w:val="none" w:sz="0" w:space="0" w:color="auto"/>
        <w:right w:val="none" w:sz="0" w:space="0" w:color="auto"/>
      </w:divBdr>
    </w:div>
    <w:div w:id="2041010140">
      <w:bodyDiv w:val="1"/>
      <w:marLeft w:val="0"/>
      <w:marRight w:val="0"/>
      <w:marTop w:val="0"/>
      <w:marBottom w:val="0"/>
      <w:divBdr>
        <w:top w:val="none" w:sz="0" w:space="0" w:color="auto"/>
        <w:left w:val="none" w:sz="0" w:space="0" w:color="auto"/>
        <w:bottom w:val="none" w:sz="0" w:space="0" w:color="auto"/>
        <w:right w:val="none" w:sz="0" w:space="0" w:color="auto"/>
      </w:divBdr>
    </w:div>
    <w:div w:id="2058888658">
      <w:bodyDiv w:val="1"/>
      <w:marLeft w:val="0"/>
      <w:marRight w:val="0"/>
      <w:marTop w:val="0"/>
      <w:marBottom w:val="0"/>
      <w:divBdr>
        <w:top w:val="none" w:sz="0" w:space="0" w:color="auto"/>
        <w:left w:val="none" w:sz="0" w:space="0" w:color="auto"/>
        <w:bottom w:val="none" w:sz="0" w:space="0" w:color="auto"/>
        <w:right w:val="none" w:sz="0" w:space="0" w:color="auto"/>
      </w:divBdr>
    </w:div>
    <w:div w:id="2064668657">
      <w:bodyDiv w:val="1"/>
      <w:marLeft w:val="0"/>
      <w:marRight w:val="0"/>
      <w:marTop w:val="0"/>
      <w:marBottom w:val="0"/>
      <w:divBdr>
        <w:top w:val="none" w:sz="0" w:space="0" w:color="auto"/>
        <w:left w:val="none" w:sz="0" w:space="0" w:color="auto"/>
        <w:bottom w:val="none" w:sz="0" w:space="0" w:color="auto"/>
        <w:right w:val="none" w:sz="0" w:space="0" w:color="auto"/>
      </w:divBdr>
    </w:div>
    <w:div w:id="2077432316">
      <w:bodyDiv w:val="1"/>
      <w:marLeft w:val="0"/>
      <w:marRight w:val="0"/>
      <w:marTop w:val="0"/>
      <w:marBottom w:val="0"/>
      <w:divBdr>
        <w:top w:val="none" w:sz="0" w:space="0" w:color="auto"/>
        <w:left w:val="none" w:sz="0" w:space="0" w:color="auto"/>
        <w:bottom w:val="none" w:sz="0" w:space="0" w:color="auto"/>
        <w:right w:val="none" w:sz="0" w:space="0" w:color="auto"/>
      </w:divBdr>
    </w:div>
    <w:div w:id="2082945562">
      <w:bodyDiv w:val="1"/>
      <w:marLeft w:val="0"/>
      <w:marRight w:val="0"/>
      <w:marTop w:val="0"/>
      <w:marBottom w:val="0"/>
      <w:divBdr>
        <w:top w:val="none" w:sz="0" w:space="0" w:color="auto"/>
        <w:left w:val="none" w:sz="0" w:space="0" w:color="auto"/>
        <w:bottom w:val="none" w:sz="0" w:space="0" w:color="auto"/>
        <w:right w:val="none" w:sz="0" w:space="0" w:color="auto"/>
      </w:divBdr>
    </w:div>
    <w:div w:id="2089645536">
      <w:bodyDiv w:val="1"/>
      <w:marLeft w:val="0"/>
      <w:marRight w:val="0"/>
      <w:marTop w:val="0"/>
      <w:marBottom w:val="0"/>
      <w:divBdr>
        <w:top w:val="none" w:sz="0" w:space="0" w:color="auto"/>
        <w:left w:val="none" w:sz="0" w:space="0" w:color="auto"/>
        <w:bottom w:val="none" w:sz="0" w:space="0" w:color="auto"/>
        <w:right w:val="none" w:sz="0" w:space="0" w:color="auto"/>
      </w:divBdr>
      <w:divsChild>
        <w:div w:id="1723750686">
          <w:marLeft w:val="0"/>
          <w:marRight w:val="0"/>
          <w:marTop w:val="0"/>
          <w:marBottom w:val="0"/>
          <w:divBdr>
            <w:top w:val="none" w:sz="0" w:space="0" w:color="auto"/>
            <w:left w:val="none" w:sz="0" w:space="0" w:color="auto"/>
            <w:bottom w:val="none" w:sz="0" w:space="0" w:color="auto"/>
            <w:right w:val="none" w:sz="0" w:space="0" w:color="auto"/>
          </w:divBdr>
        </w:div>
        <w:div w:id="2039357432">
          <w:marLeft w:val="0"/>
          <w:marRight w:val="0"/>
          <w:marTop w:val="0"/>
          <w:marBottom w:val="0"/>
          <w:divBdr>
            <w:top w:val="none" w:sz="0" w:space="0" w:color="auto"/>
            <w:left w:val="none" w:sz="0" w:space="0" w:color="auto"/>
            <w:bottom w:val="none" w:sz="0" w:space="0" w:color="auto"/>
            <w:right w:val="none" w:sz="0" w:space="0" w:color="auto"/>
          </w:divBdr>
        </w:div>
        <w:div w:id="1571161402">
          <w:marLeft w:val="0"/>
          <w:marRight w:val="0"/>
          <w:marTop w:val="0"/>
          <w:marBottom w:val="0"/>
          <w:divBdr>
            <w:top w:val="none" w:sz="0" w:space="0" w:color="auto"/>
            <w:left w:val="none" w:sz="0" w:space="0" w:color="auto"/>
            <w:bottom w:val="none" w:sz="0" w:space="0" w:color="auto"/>
            <w:right w:val="none" w:sz="0" w:space="0" w:color="auto"/>
          </w:divBdr>
        </w:div>
      </w:divsChild>
    </w:div>
    <w:div w:id="2111775811">
      <w:bodyDiv w:val="1"/>
      <w:marLeft w:val="0"/>
      <w:marRight w:val="0"/>
      <w:marTop w:val="0"/>
      <w:marBottom w:val="0"/>
      <w:divBdr>
        <w:top w:val="none" w:sz="0" w:space="0" w:color="auto"/>
        <w:left w:val="none" w:sz="0" w:space="0" w:color="auto"/>
        <w:bottom w:val="none" w:sz="0" w:space="0" w:color="auto"/>
        <w:right w:val="none" w:sz="0" w:space="0" w:color="auto"/>
      </w:divBdr>
    </w:div>
    <w:div w:id="2114402629">
      <w:bodyDiv w:val="1"/>
      <w:marLeft w:val="0"/>
      <w:marRight w:val="0"/>
      <w:marTop w:val="0"/>
      <w:marBottom w:val="0"/>
      <w:divBdr>
        <w:top w:val="none" w:sz="0" w:space="0" w:color="auto"/>
        <w:left w:val="none" w:sz="0" w:space="0" w:color="auto"/>
        <w:bottom w:val="none" w:sz="0" w:space="0" w:color="auto"/>
        <w:right w:val="none" w:sz="0" w:space="0" w:color="auto"/>
      </w:divBdr>
    </w:div>
    <w:div w:id="21199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10.emf"/><Relationship Id="rId39" Type="http://schemas.openxmlformats.org/officeDocument/2006/relationships/image" Target="media/image23.emf"/><Relationship Id="rId21" Type="http://schemas.openxmlformats.org/officeDocument/2006/relationships/header" Target="header6.xml"/><Relationship Id="rId34" Type="http://schemas.openxmlformats.org/officeDocument/2006/relationships/image" Target="media/image18.emf"/><Relationship Id="rId42" Type="http://schemas.openxmlformats.org/officeDocument/2006/relationships/image" Target="media/image26.e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image" Target="media/image15.emf"/><Relationship Id="rId44" Type="http://schemas.openxmlformats.org/officeDocument/2006/relationships/image" Target="media/image28.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image" Target="media/image30.jpeg"/><Relationship Id="rId20" Type="http://schemas.openxmlformats.org/officeDocument/2006/relationships/footer" Target="footer3.xml"/><Relationship Id="rId41" Type="http://schemas.openxmlformats.org/officeDocument/2006/relationships/image" Target="media/image2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8A4AC-4D62-4207-80CA-15704D13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25130</Words>
  <Characters>140289</Characters>
  <Application>Microsoft Office Word</Application>
  <DocSecurity>0</DocSecurity>
  <Lines>1169</Lines>
  <Paragraphs>330</Paragraphs>
  <ScaleCrop>false</ScaleCrop>
  <HeadingPairs>
    <vt:vector size="2" baseType="variant">
      <vt:variant>
        <vt:lpstr>Title</vt:lpstr>
      </vt:variant>
      <vt:variant>
        <vt:i4>1</vt:i4>
      </vt:variant>
    </vt:vector>
  </HeadingPairs>
  <TitlesOfParts>
    <vt:vector size="1" baseType="lpstr">
      <vt:lpstr>Statement of Accounts 2014-15</vt:lpstr>
    </vt:vector>
  </TitlesOfParts>
  <Manager>Muriel Coom</Manager>
  <Company>Lake District National Park Authority</Company>
  <LinksUpToDate>false</LinksUpToDate>
  <CharactersWithSpaces>165089</CharactersWithSpaces>
  <SharedDoc>false</SharedDoc>
  <HLinks>
    <vt:vector size="6" baseType="variant">
      <vt:variant>
        <vt:i4>7602234</vt:i4>
      </vt:variant>
      <vt:variant>
        <vt:i4>9</vt:i4>
      </vt:variant>
      <vt:variant>
        <vt:i4>0</vt:i4>
      </vt:variant>
      <vt:variant>
        <vt:i4>5</vt:i4>
      </vt:variant>
      <vt:variant>
        <vt:lpwstr>http://www.frc.org.uk/auditorsresponsibilities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Accounts 2014-15</dc:title>
  <dc:subject>Statement of Accounts 2014-15</dc:subject>
  <dc:creator>Sue King</dc:creator>
  <cp:keywords/>
  <cp:lastModifiedBy>Peter Notley</cp:lastModifiedBy>
  <cp:revision>20</cp:revision>
  <cp:lastPrinted>2019-09-24T11:30:00Z</cp:lastPrinted>
  <dcterms:created xsi:type="dcterms:W3CDTF">2023-05-31T10:00:00Z</dcterms:created>
  <dcterms:modified xsi:type="dcterms:W3CDTF">2023-05-31T15:13:00Z</dcterms:modified>
  <cp:category>Corporate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ritten By">
    <vt:lpwstr>Richard Webber</vt:lpwstr>
  </property>
  <property fmtid="{D5CDD505-2E9C-101B-9397-08002B2CF9AE}" pid="3" name="Publisher">
    <vt:lpwstr>Lake District National Park Authority</vt:lpwstr>
  </property>
  <property fmtid="{D5CDD505-2E9C-101B-9397-08002B2CF9AE}" pid="4" name="Last Edited By">
    <vt:lpwstr>Richard Webber</vt:lpwstr>
  </property>
  <property fmtid="{D5CDD505-2E9C-101B-9397-08002B2CF9AE}" pid="5" name="Language">
    <vt:lpwstr>English</vt:lpwstr>
  </property>
  <property fmtid="{D5CDD505-2E9C-101B-9397-08002B2CF9AE}" pid="6" name="Document Type">
    <vt:lpwstr>Other</vt:lpwstr>
  </property>
</Properties>
</file>